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nio-20241231x20f.htm"/>
        <w:bookmarkStart w:id="1" w:name="ksnio20241231x20f"/>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e1ef6e9a_6a04_4648_ad53_7e13037e4e4c"/>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20-F</w:t>
      </w:r>
    </w:p>
    <w:p>
      <w:pPr>
        <w:pStyle w:val="TextBody"/>
        <w:bidi w:val="0"/>
        <w:spacing w:before="0" w:after="240"/>
        <w:ind w:left="0" w:right="0" w:hanging="0"/>
        <w:jc w:val="center"/>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(Mark One)</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EKRYQOibHku8oBRVl5pVrQ_13_1"/>
      <w:bookmarkStart w:id="4" w:name="Tc_LIi4M6t4ikexoQUH8oU4lQ_11_1"/>
      <w:bookmarkStart w:id="5" w:name="Tc_XEm2YJndKE-uyqKNLja2kA_9_1"/>
      <w:bookmarkStart w:id="6" w:name="Tc_kuDt5Ob32ky-sni0vGcNzg_7_1"/>
      <w:bookmarkStart w:id="7" w:name="Tc_bRAcE--FcUWC4LPRQuoxKQ_6_1"/>
      <w:bookmarkStart w:id="8" w:name="Tc_hLEzKWRE50ejc-kxKn9ryg_5_1"/>
      <w:bookmarkStart w:id="9" w:name="Tc_7udVbJlbvkmvH-jWy-Talw_4_1"/>
      <w:bookmarkStart w:id="10" w:name="Tc_mtB7hxTnMUiwQlJcf3_78w_3_1"/>
      <w:bookmarkStart w:id="11" w:name="Tc_eUYLUQE41Ea1kABGHCF9iw_2_1"/>
      <w:bookmarkStart w:id="12" w:name="Tc_Ck-yE63e3ECDDqp3HKE4AA_1_1"/>
      <w:bookmarkStart w:id="13" w:name="Tc_QO48C6Q9qEaJ9ju40uWPNw_0_1"/>
      <w:bookmarkStart w:id="14" w:name="_cbbc7b9d_0e0a_4b6e_9f39_24c2bd803b63"/>
      <w:bookmarkStart w:id="15" w:name="Tc_EKRYQOibHku8oBRVl5pVrQ_13_1"/>
      <w:bookmarkStart w:id="16" w:name="Tc_LIi4M6t4ikexoQUH8oU4lQ_11_1"/>
      <w:bookmarkStart w:id="17" w:name="Tc_XEm2YJndKE-uyqKNLja2kA_9_1"/>
      <w:bookmarkStart w:id="18" w:name="Tc_kuDt5Ob32ky-sni0vGcNzg_7_1"/>
      <w:bookmarkStart w:id="19" w:name="Tc_bRAcE--FcUWC4LPRQuoxKQ_6_1"/>
      <w:bookmarkStart w:id="20" w:name="Tc_hLEzKWRE50ejc-kxKn9ryg_5_1"/>
      <w:bookmarkStart w:id="21" w:name="Tc_7udVbJlbvkmvH-jWy-Talw_4_1"/>
      <w:bookmarkStart w:id="22" w:name="Tc_mtB7hxTnMUiwQlJcf3_78w_3_1"/>
      <w:bookmarkStart w:id="23" w:name="Tc_eUYLUQE41Ea1kABGHCF9iw_2_1"/>
      <w:bookmarkStart w:id="24" w:name="Tc_Ck-yE63e3ECDDqp3HKE4AA_1_1"/>
      <w:bookmarkStart w:id="25" w:name="Tc_QO48C6Q9qEaJ9ju40uWPNw_0_1"/>
      <w:bookmarkStart w:id="26" w:name="_cbbc7b9d_0e0a_4b6e_9f39_24c2bd803b63"/>
      <w:bookmarkEnd w:id="15"/>
      <w:bookmarkEnd w:id="16"/>
      <w:bookmarkEnd w:id="17"/>
      <w:bookmarkEnd w:id="18"/>
      <w:bookmarkEnd w:id="19"/>
      <w:bookmarkEnd w:id="20"/>
      <w:bookmarkEnd w:id="21"/>
      <w:bookmarkEnd w:id="22"/>
      <w:bookmarkEnd w:id="23"/>
      <w:bookmarkEnd w:id="24"/>
      <w:bookmarkEnd w:id="25"/>
      <w:bookmarkEnd w:id="2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REGISTRATION STATEMENT PURSUANT TO SECTION 12(b) OR (g) OF THE SECURITIES EXCHANGE ACT OF 1934</w:t>
            </w:r>
          </w:p>
        </w:tc>
      </w:tr>
      <w:tr>
        <w:trPr/>
        <w:tc>
          <w:tcPr>
            <w:tcW w:w="331" w:type="dxa"/>
            <w:tcBorders/>
            <w:vAlign w:val="center"/>
          </w:tcPr>
          <w:p>
            <w:pPr>
              <w:pStyle w:val="TableContents"/>
              <w:bidi w:val="0"/>
              <w:spacing w:before="0" w:after="0"/>
              <w:ind w:left="0" w:right="0" w:hanging="0"/>
              <w:jc w:val="left"/>
              <w:rPr/>
            </w:pPr>
            <w:r>
              <w:rPr/>
              <w:t> </w:t>
            </w:r>
          </w:p>
        </w:tc>
        <w:tc>
          <w:tcPr>
            <w:tcW w:w="987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r>
        <w:trPr/>
        <w:tc>
          <w:tcPr>
            <w:tcW w:w="331" w:type="dxa"/>
            <w:tcBorders/>
            <w:vAlign w:val="center"/>
          </w:tcPr>
          <w:p>
            <w:pPr>
              <w:pStyle w:val="TableContents"/>
              <w:bidi w:val="0"/>
              <w:spacing w:before="0" w:after="0"/>
              <w:ind w:left="0" w:right="0" w:hanging="0"/>
              <w:jc w:val="left"/>
              <w:rPr/>
            </w:pPr>
            <w:r>
              <w:rPr/>
              <w:t> </w:t>
            </w:r>
          </w:p>
        </w:tc>
        <w:tc>
          <w:tcPr>
            <w:tcW w:w="987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fiscal year ended December 31, 2024.</w:t>
            </w:r>
          </w:p>
        </w:tc>
      </w:tr>
      <w:tr>
        <w:trPr/>
        <w:tc>
          <w:tcPr>
            <w:tcW w:w="331" w:type="dxa"/>
            <w:tcBorders/>
            <w:vAlign w:val="center"/>
          </w:tcPr>
          <w:p>
            <w:pPr>
              <w:pStyle w:val="TableContents"/>
              <w:bidi w:val="0"/>
              <w:spacing w:before="0" w:after="0"/>
              <w:ind w:left="0" w:right="0" w:hanging="0"/>
              <w:jc w:val="left"/>
              <w:rPr/>
            </w:pPr>
            <w:r>
              <w:rPr/>
              <w:t> </w:t>
            </w:r>
          </w:p>
        </w:tc>
        <w:tc>
          <w:tcPr>
            <w:tcW w:w="987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331" w:type="dxa"/>
            <w:tcBorders/>
            <w:vAlign w:val="center"/>
          </w:tcPr>
          <w:p>
            <w:pPr>
              <w:pStyle w:val="TableContents"/>
              <w:bidi w:val="0"/>
              <w:spacing w:before="0" w:after="0"/>
              <w:ind w:left="0" w:right="0" w:hanging="0"/>
              <w:jc w:val="left"/>
              <w:rPr/>
            </w:pPr>
            <w:r>
              <w:rPr/>
              <w:t> </w:t>
            </w:r>
          </w:p>
        </w:tc>
        <w:tc>
          <w:tcPr>
            <w:tcW w:w="987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SHELL COMPANY REPORT PURSUANT TO SECTION 13 OR 15(d) OF THE SECURITIES EXCHANGE ACT OF 1934</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 </w:t>
            </w:r>
          </w:p>
        </w:tc>
        <w:tc>
          <w:tcPr>
            <w:tcW w:w="98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of event requiring this shell company report.</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transition period from          to          .</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 </w:t>
            </w:r>
          </w:p>
        </w:tc>
        <w:tc>
          <w:tcPr>
            <w:tcW w:w="98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Commission file number: 001-38638</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NIO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(Translation of Registrant’s Name into English)</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Cayman Islands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(Jurisdiction of Incorporation or Organization)</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Building 19, No. 1355, Caobao Road, Minhang</w:t>
      </w:r>
      <w:r>
        <w:rPr>
          <w:rFonts w:ascii="Times New Roman;Times;serif" w:hAnsi="Times New Roman;Times;serif"/>
          <w:sz w:val="20"/>
        </w:rPr>
        <w:t xml:space="preserve"> </w:t>
      </w:r>
      <w:r>
        <w:rPr>
          <w:rFonts w:ascii="Times New Roman;Times;serif" w:hAnsi="Times New Roman;Times;serif"/>
          <w:b/>
          <w:sz w:val="20"/>
        </w:rPr>
        <w:t>District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Shanghai, People’s Republic of China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 Qu, Chief Financial Officer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Building 19, No. 1355, Caobao Road, Minhang</w:t>
      </w:r>
      <w:r>
        <w:rPr>
          <w:rFonts w:ascii="Times New Roman;Times;serif" w:hAnsi="Times New Roman;Times;serif"/>
          <w:sz w:val="20"/>
        </w:rPr>
        <w:t xml:space="preserve"> </w:t>
      </w:r>
      <w:r>
        <w:rPr>
          <w:rFonts w:ascii="Times New Roman;Times;serif" w:hAnsi="Times New Roman;Times;serif"/>
          <w:b/>
          <w:sz w:val="20"/>
        </w:rPr>
        <w:t>District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Shanghai, People’s Republic of China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Telephone: +8621-6908 2018</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Email: ir@nio.com</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Telephone, Email and/or Facsimile number and Address of Company Contact Person)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or to be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7" w:name="Tc_Y9XfbBLG4kCiEvZRc8SwLg_4_4"/>
      <w:bookmarkStart w:id="28" w:name="Tc_vblPjTs5SUuj5xKlf-G8nQ_4_2"/>
      <w:bookmarkStart w:id="29" w:name="Tc_YMc8JnJvNUOPUg8CO0NWMQ_4_0"/>
      <w:bookmarkStart w:id="30" w:name="Tc_fzKtTJQBOEiAm1ARKNzfrA_3_4"/>
      <w:bookmarkStart w:id="31" w:name="Tc_QRYUK8s690qJLTUH-MkVkA_3_2"/>
      <w:bookmarkStart w:id="32" w:name="Tc_4NA_WJ92K0StAqENdjcaOQ_2_0"/>
      <w:bookmarkStart w:id="33" w:name="Tc_iughPO8N6UmwQDLYHt6QaQ_1_4"/>
      <w:bookmarkStart w:id="34" w:name="Tc_VFs2ze4xn0-xkJr1LLw2wQ_1_2"/>
      <w:bookmarkStart w:id="35" w:name="Tc_4MRYG0yp8kKD1WUFGdN68Q_1_0"/>
      <w:bookmarkStart w:id="36" w:name="_78e371ed_d6ff_4676_8b04_88afc9036b02"/>
      <w:bookmarkStart w:id="37" w:name="Tc_Y9XfbBLG4kCiEvZRc8SwLg_4_4"/>
      <w:bookmarkStart w:id="38" w:name="Tc_vblPjTs5SUuj5xKlf-G8nQ_4_2"/>
      <w:bookmarkStart w:id="39" w:name="Tc_YMc8JnJvNUOPUg8CO0NWMQ_4_0"/>
      <w:bookmarkStart w:id="40" w:name="Tc_fzKtTJQBOEiAm1ARKNzfrA_3_4"/>
      <w:bookmarkStart w:id="41" w:name="Tc_QRYUK8s690qJLTUH-MkVkA_3_2"/>
      <w:bookmarkStart w:id="42" w:name="Tc_4NA_WJ92K0StAqENdjcaOQ_2_0"/>
      <w:bookmarkStart w:id="43" w:name="Tc_iughPO8N6UmwQDLYHt6QaQ_1_4"/>
      <w:bookmarkStart w:id="44" w:name="Tc_VFs2ze4xn0-xkJr1LLw2wQ_1_2"/>
      <w:bookmarkStart w:id="45" w:name="Tc_4MRYG0yp8kKD1WUFGdN68Q_1_0"/>
      <w:bookmarkStart w:id="46" w:name="_78e371ed_d6ff_4676_8b04_88afc9036b02"/>
      <w:bookmarkEnd w:id="37"/>
      <w:bookmarkEnd w:id="38"/>
      <w:bookmarkEnd w:id="39"/>
      <w:bookmarkEnd w:id="40"/>
      <w:bookmarkEnd w:id="41"/>
      <w:bookmarkEnd w:id="42"/>
      <w:bookmarkEnd w:id="43"/>
      <w:bookmarkEnd w:id="44"/>
      <w:bookmarkEnd w:id="45"/>
      <w:bookmarkEnd w:id="46"/>
    </w:p>
    <w:tbl>
      <w:tblPr>
        <w:tblW w:w="10205" w:type="dxa"/>
        <w:jc w:val="left"/>
        <w:tblInd w:w="0" w:type="dxa"/>
        <w:tblLayout w:type="fixed"/>
        <w:tblCellMar>
          <w:top w:w="0" w:type="dxa"/>
          <w:left w:w="0" w:type="dxa"/>
          <w:bottom w:w="0" w:type="dxa"/>
          <w:right w:w="0" w:type="dxa"/>
        </w:tblCellMar>
      </w:tblPr>
      <w:tblGrid>
        <w:gridCol w:w="5415"/>
        <w:gridCol w:w="326"/>
        <w:gridCol w:w="1198"/>
        <w:gridCol w:w="326"/>
        <w:gridCol w:w="2940"/>
      </w:tblGrid>
      <w:tr>
        <w:trPr/>
        <w:tc>
          <w:tcPr>
            <w:tcW w:w="5415"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11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40" w:type="dxa"/>
            <w:tcBorders/>
            <w:vAlign w:val="center"/>
          </w:tcPr>
          <w:p>
            <w:pPr>
              <w:pStyle w:val="TableContents"/>
              <w:bidi w:val="0"/>
              <w:spacing w:before="0" w:after="283"/>
              <w:ind w:left="0" w:right="0" w:hanging="0"/>
              <w:jc w:val="left"/>
              <w:rPr>
                <w:sz w:val="4"/>
                <w:szCs w:val="4"/>
              </w:rPr>
            </w:pPr>
            <w:r>
              <w:rPr>
                <w:sz w:val="4"/>
                <w:szCs w:val="4"/>
              </w:rPr>
            </w:r>
          </w:p>
        </w:tc>
      </w:tr>
      <w:tr>
        <w:trPr/>
        <w:tc>
          <w:tcPr>
            <w:tcW w:w="54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26" w:type="dxa"/>
            <w:tcBorders/>
            <w:vAlign w:val="center"/>
          </w:tcPr>
          <w:p>
            <w:pPr>
              <w:pStyle w:val="TableContents"/>
              <w:bidi w:val="0"/>
              <w:spacing w:before="0" w:after="0"/>
              <w:ind w:left="0" w:right="0" w:hanging="0"/>
              <w:jc w:val="left"/>
              <w:rPr/>
            </w:pPr>
            <w:r>
              <w:rPr/>
              <w:t>    </w:t>
            </w:r>
          </w:p>
        </w:tc>
        <w:tc>
          <w:tcPr>
            <w:tcW w:w="119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326" w:type="dxa"/>
            <w:tcBorders/>
            <w:vAlign w:val="center"/>
          </w:tcPr>
          <w:p>
            <w:pPr>
              <w:pStyle w:val="TableContents"/>
              <w:bidi w:val="0"/>
              <w:spacing w:before="0" w:after="0"/>
              <w:ind w:left="0" w:right="0" w:hanging="0"/>
              <w:jc w:val="center"/>
              <w:rPr/>
            </w:pPr>
            <w:r>
              <w:rPr/>
              <w:t>    </w:t>
            </w:r>
          </w:p>
        </w:tc>
        <w:tc>
          <w:tcPr>
            <w:tcW w:w="29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5415"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American depositary shares (each representing one Class A ordinary share),par value US$0.00025 per share</w:t>
            </w:r>
          </w:p>
        </w:tc>
        <w:tc>
          <w:tcPr>
            <w:tcW w:w="326" w:type="dxa"/>
            <w:tcBorders/>
            <w:vAlign w:val="center"/>
          </w:tcPr>
          <w:p>
            <w:pPr>
              <w:pStyle w:val="TableContents"/>
              <w:bidi w:val="0"/>
              <w:spacing w:before="0" w:after="240"/>
              <w:ind w:left="0" w:right="0" w:hanging="0"/>
              <w:jc w:val="left"/>
              <w:rPr/>
            </w:pPr>
            <w:r>
              <w:rPr/>
              <w:t>​</w:t>
            </w:r>
          </w:p>
        </w:tc>
        <w:tc>
          <w:tcPr>
            <w:tcW w:w="1198"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NIO</w:t>
            </w:r>
          </w:p>
        </w:tc>
        <w:tc>
          <w:tcPr>
            <w:tcW w:w="326" w:type="dxa"/>
            <w:tcBorders/>
            <w:vAlign w:val="center"/>
          </w:tcPr>
          <w:p>
            <w:pPr>
              <w:pStyle w:val="TableContents"/>
              <w:bidi w:val="0"/>
              <w:spacing w:before="0" w:after="240"/>
              <w:ind w:left="0" w:right="0" w:hanging="0"/>
              <w:jc w:val="center"/>
              <w:rPr/>
            </w:pPr>
            <w:r>
              <w:rPr/>
              <w:t>​</w:t>
            </w:r>
          </w:p>
        </w:tc>
        <w:tc>
          <w:tcPr>
            <w:tcW w:w="2940"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r>
        <w:trPr/>
        <w:tc>
          <w:tcPr>
            <w:tcW w:w="541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A ordinary shares, par value US$0.00025 per share</w:t>
            </w:r>
          </w:p>
        </w:tc>
        <w:tc>
          <w:tcPr>
            <w:tcW w:w="326" w:type="dxa"/>
            <w:tcBorders/>
            <w:vAlign w:val="center"/>
          </w:tcPr>
          <w:p>
            <w:pPr>
              <w:pStyle w:val="TableContents"/>
              <w:bidi w:val="0"/>
              <w:spacing w:before="0" w:after="240"/>
              <w:ind w:left="0" w:right="0" w:hanging="0"/>
              <w:jc w:val="left"/>
              <w:rPr/>
            </w:pPr>
            <w:r>
              <w:rPr/>
              <w:t>​</w:t>
            </w:r>
          </w:p>
        </w:tc>
        <w:tc>
          <w:tcPr>
            <w:tcW w:w="119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9866</w:t>
            </w:r>
          </w:p>
        </w:tc>
        <w:tc>
          <w:tcPr>
            <w:tcW w:w="326" w:type="dxa"/>
            <w:tcBorders/>
            <w:vAlign w:val="center"/>
          </w:tcPr>
          <w:p>
            <w:pPr>
              <w:pStyle w:val="TableContents"/>
              <w:bidi w:val="0"/>
              <w:spacing w:before="0" w:after="240"/>
              <w:ind w:left="0" w:right="0" w:hanging="0"/>
              <w:jc w:val="center"/>
              <w:rPr/>
            </w:pPr>
            <w:r>
              <w:rPr/>
              <w:t>​</w:t>
            </w:r>
          </w:p>
        </w:tc>
        <w:tc>
          <w:tcPr>
            <w:tcW w:w="29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Stock Exchange of Hong Kong Limited</w:t>
            </w:r>
          </w:p>
        </w:tc>
      </w:tr>
      <w:tr>
        <w:trPr/>
        <w:tc>
          <w:tcPr>
            <w:tcW w:w="541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A ordinary shares, par value US$0.00025 per share</w:t>
            </w:r>
          </w:p>
        </w:tc>
        <w:tc>
          <w:tcPr>
            <w:tcW w:w="326" w:type="dxa"/>
            <w:tcBorders/>
            <w:vAlign w:val="center"/>
          </w:tcPr>
          <w:p>
            <w:pPr>
              <w:pStyle w:val="TableContents"/>
              <w:bidi w:val="0"/>
              <w:spacing w:before="0" w:after="240"/>
              <w:ind w:left="0" w:right="0" w:hanging="0"/>
              <w:jc w:val="left"/>
              <w:rPr/>
            </w:pPr>
            <w:r>
              <w:rPr/>
              <w:t>​</w:t>
            </w:r>
          </w:p>
        </w:tc>
        <w:tc>
          <w:tcPr>
            <w:tcW w:w="119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NIO</w:t>
            </w:r>
          </w:p>
        </w:tc>
        <w:tc>
          <w:tcPr>
            <w:tcW w:w="326" w:type="dxa"/>
            <w:tcBorders/>
            <w:vAlign w:val="center"/>
          </w:tcPr>
          <w:p>
            <w:pPr>
              <w:pStyle w:val="TableContents"/>
              <w:bidi w:val="0"/>
              <w:spacing w:before="0" w:after="240"/>
              <w:ind w:left="0" w:right="0" w:hanging="0"/>
              <w:jc w:val="center"/>
              <w:rPr/>
            </w:pPr>
            <w:r>
              <w:rPr/>
              <w:t>​</w:t>
            </w:r>
          </w:p>
        </w:tc>
        <w:tc>
          <w:tcPr>
            <w:tcW w:w="29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Singapore Exchange Securities Trading Limited</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or to be registered pursuant to Section 12(g) of the Act: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Class)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for which there is a reporting obligation pursuant to Section 15(d) of the Act: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Class)</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the number of outstanding shares of each of the issuer’s classes of capital or common stock as of the close of the period covered by the annual report: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2024, there were (i) 1,953,174,559 Class A ordinary shares outstanding, par value US$0.00025 per share, and (ii) 148,500,000 Class C ordinary shares outstanding, par value US$0.00025 per share.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if the registrant is a well-known seasoned issuer, as defined in Rule 405 of the Securities Act.</w:t>
      </w:r>
    </w:p>
    <w:p>
      <w:pPr>
        <w:pStyle w:val="TextBody"/>
        <w:bidi w:val="0"/>
        <w:spacing w:before="0" w:after="0"/>
        <w:ind w:left="0" w:right="0" w:hanging="0"/>
        <w:jc w:val="both"/>
        <w:rPr/>
      </w:pPr>
      <w:r>
        <w:rPr/>
        <w:t xml:space="preserve">☒ </w:t>
      </w:r>
      <w:r>
        <w:rPr>
          <w:rFonts w:ascii="Times New Roman;Times;serif" w:hAnsi="Times New Roman;Times;serif"/>
          <w:sz w:val="20"/>
        </w:rPr>
        <w:t>Yes ☐ No</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this report is an annual or transition report, indicate by check mark if the registrant is not required to file reports pursuant to Section 13 or 15(d) of the Securities Exchange Act of 1934. ☐ Yes ☒ No</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Indicate by check mark whether the registrant is a large accelerated filer, an accelerated filer, a non-accelerated filer, or an emerging growth company. See the definitions of “large accelerated filer,” “accelerated filer,” and “emerging growth company” in Rule 12b-2 of the Exchange Act. </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47" w:name="Tc_Rns2PR_AZEq_EuiVURZEjg_1_2"/>
      <w:bookmarkStart w:id="48" w:name="Tc_lMzozDEhuEWQMAUKW8ruzg_1_1"/>
      <w:bookmarkStart w:id="49" w:name="Tc_rqA-oWx6kUK_Eb6KiVyJ-Q_1_0"/>
      <w:bookmarkStart w:id="50" w:name="Tc_yxLytZLLZEacLH6IY_mLng_0_3"/>
      <w:bookmarkStart w:id="51" w:name="Tc_aIRenIbfPUy8C71KZvtKJA_0_2"/>
      <w:bookmarkStart w:id="52" w:name="Tc_uc5CUWqMuEqWhS97Q3aMng_0_1"/>
      <w:bookmarkStart w:id="53" w:name="_04d4c5c4_83df_4018_a258_a19b2bbfd77a"/>
      <w:bookmarkStart w:id="54" w:name="Tc_Rns2PR_AZEq_EuiVURZEjg_1_2"/>
      <w:bookmarkStart w:id="55" w:name="Tc_lMzozDEhuEWQMAUKW8ruzg_1_1"/>
      <w:bookmarkStart w:id="56" w:name="Tc_rqA-oWx6kUK_Eb6KiVyJ-Q_1_0"/>
      <w:bookmarkStart w:id="57" w:name="Tc_yxLytZLLZEacLH6IY_mLng_0_3"/>
      <w:bookmarkStart w:id="58" w:name="Tc_aIRenIbfPUy8C71KZvtKJA_0_2"/>
      <w:bookmarkStart w:id="59" w:name="Tc_uc5CUWqMuEqWhS97Q3aMng_0_1"/>
      <w:bookmarkStart w:id="60" w:name="_04d4c5c4_83df_4018_a258_a19b2bbfd77a"/>
      <w:bookmarkEnd w:id="54"/>
      <w:bookmarkEnd w:id="55"/>
      <w:bookmarkEnd w:id="56"/>
      <w:bookmarkEnd w:id="57"/>
      <w:bookmarkEnd w:id="58"/>
      <w:bookmarkEnd w:id="59"/>
      <w:bookmarkEnd w:id="60"/>
    </w:p>
    <w:tbl>
      <w:tblPr>
        <w:tblW w:w="4954" w:type="dxa"/>
        <w:jc w:val="left"/>
        <w:tblInd w:w="0" w:type="dxa"/>
        <w:tblLayout w:type="fixed"/>
        <w:tblCellMar>
          <w:top w:w="0" w:type="dxa"/>
          <w:left w:w="0" w:type="dxa"/>
          <w:bottom w:w="0" w:type="dxa"/>
          <w:right w:w="0" w:type="dxa"/>
        </w:tblCellMar>
      </w:tblPr>
      <w:tblGrid>
        <w:gridCol w:w="1921"/>
        <w:gridCol w:w="316"/>
        <w:gridCol w:w="2356"/>
        <w:gridCol w:w="361"/>
      </w:tblGrid>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Accelerated filer </w:t>
            </w:r>
          </w:p>
        </w:tc>
        <w:tc>
          <w:tcPr>
            <w:tcW w:w="361" w:type="dxa"/>
            <w:tcBorders/>
            <w:vAlign w:val="center"/>
          </w:tcPr>
          <w:p>
            <w:pPr>
              <w:pStyle w:val="TableContents"/>
              <w:bidi w:val="0"/>
              <w:spacing w:before="0" w:after="0"/>
              <w:ind w:left="0" w:right="0" w:hanging="0"/>
              <w:jc w:val="both"/>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Emerging growth company </w:t>
            </w:r>
          </w:p>
        </w:tc>
        <w:tc>
          <w:tcPr>
            <w:tcW w:w="36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both"/>
        <w:rPr/>
      </w:pPr>
      <w:r>
        <w:rPr/>
        <w:t>​</w:t>
      </w:r>
    </w:p>
    <w:p>
      <w:pPr>
        <w:pStyle w:val="TextBody"/>
        <w:bidi w:val="0"/>
        <w:spacing w:before="0" w:after="0"/>
        <w:ind w:left="0" w:right="0" w:hanging="0"/>
        <w:jc w:val="both"/>
        <w:rPr/>
      </w:pPr>
      <w:r>
        <w:rPr/>
        <w:t>†</w:t>
      </w:r>
      <w:r>
        <w:rPr>
          <w:rFonts w:ascii="Times New Roman;Times;serif" w:hAnsi="Times New Roman;Times;serif"/>
          <w:sz w:val="20"/>
        </w:rPr>
        <w:t>The term “new or revised financial accounting standard” refers to any update issued by the Financial Accounting Standards Board to its Accounting Standards Codification after April 5, 2012.</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which basis of accounting the registrant has used to prepare the financial statements included in this filing:</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212"/>
        <w:gridCol w:w="316"/>
        <w:gridCol w:w="7759"/>
        <w:gridCol w:w="316"/>
        <w:gridCol w:w="602"/>
      </w:tblGrid>
      <w:tr>
        <w:trPr/>
        <w:tc>
          <w:tcPr>
            <w:tcW w:w="1212"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U.S. GAAP</w:t>
            </w:r>
          </w:p>
        </w:tc>
        <w:tc>
          <w:tcPr>
            <w:tcW w:w="316" w:type="dxa"/>
            <w:tcBorders/>
            <w:vAlign w:val="center"/>
          </w:tcPr>
          <w:p>
            <w:pPr>
              <w:pStyle w:val="TableContents"/>
              <w:bidi w:val="0"/>
              <w:spacing w:before="0" w:after="0"/>
              <w:ind w:left="0" w:right="0" w:hanging="0"/>
              <w:jc w:val="left"/>
              <w:rPr/>
            </w:pPr>
            <w:r>
              <w:rPr/>
              <w:t>☐</w:t>
            </w:r>
          </w:p>
        </w:tc>
        <w:tc>
          <w:tcPr>
            <w:tcW w:w="775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International Financial Reporting Standards as issued by the International Accounting Standards Board</w:t>
            </w:r>
          </w:p>
        </w:tc>
        <w:tc>
          <w:tcPr>
            <w:tcW w:w="316" w:type="dxa"/>
            <w:tcBorders/>
            <w:vAlign w:val="center"/>
          </w:tcPr>
          <w:p>
            <w:pPr>
              <w:pStyle w:val="TableContents"/>
              <w:bidi w:val="0"/>
              <w:spacing w:before="0" w:after="0"/>
              <w:ind w:left="0" w:right="0" w:hanging="0"/>
              <w:jc w:val="left"/>
              <w:rPr/>
            </w:pPr>
            <w:r>
              <w:rPr/>
              <w:t>☐</w:t>
            </w:r>
          </w:p>
        </w:tc>
        <w:tc>
          <w:tcPr>
            <w:tcW w:w="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“Other” has been checked in response to the previous question, indicate by check mark which financial statement item the registrant has elected to follow. ☐ Item 17 ☐ Item 18</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this is an annual report, indicate by check mark whether the registrant is a shell company (as defined in Rule 12b-2 of the Exchange Act). ☐ Yes ☒ No</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(APPLICABLE ONLY TO ISSUERS INVOLVED IN BANKRUPTCY PROCEEDINGS DURING THE PAST FIVE YEARS)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filed all documents and reports required to be filed by Sections 12, 13 or 15(d) of the Securities Exchange Act of 1934 subsequent to the distribution of securities under a plan confirmed by a court. ☐ Yes ☐ No</w:t>
      </w:r>
    </w:p>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lineRule="atLeast" w:line="142" w:before="0" w:after="240"/>
        <w:ind w:left="0" w:right="0" w:hanging="0"/>
        <w:jc w:val="center"/>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61" w:name="_3f740757_bfee_40ef_9999_3aec07bce6bf"/>
      <w:bookmarkStart w:id="62" w:name="TOC"/>
      <w:bookmarkEnd w:id="61"/>
      <w:bookmarkEnd w:id="62"/>
      <w:r>
        <w:rPr>
          <w:rFonts w:ascii="Times New Roman;Times;serif" w:hAnsi="Times New Roman;Times;serif"/>
          <w:b/>
          <w:sz w:val="20"/>
        </w:rPr>
        <w:t>TABLE OF CONTENTS</w:t>
      </w:r>
    </w:p>
    <w:tbl>
      <w:tblPr>
        <w:tblW w:w="9797" w:type="dxa"/>
        <w:jc w:val="left"/>
        <w:tblInd w:w="0" w:type="dxa"/>
        <w:tblLayout w:type="fixed"/>
        <w:tblCellMar>
          <w:top w:w="0" w:type="dxa"/>
          <w:left w:w="0" w:type="dxa"/>
          <w:bottom w:w="0" w:type="dxa"/>
          <w:right w:w="0" w:type="dxa"/>
        </w:tblCellMar>
      </w:tblPr>
      <w:tblGrid>
        <w:gridCol w:w="9331"/>
        <w:gridCol w:w="466"/>
      </w:tblGrid>
      <w:tr>
        <w:trPr/>
        <w:tc>
          <w:tcPr>
            <w:tcW w:w="9331" w:type="dxa"/>
            <w:tcBorders/>
            <w:shd w:fill="CCEEFF" w:val="clear"/>
            <w:vAlign w:val="center"/>
          </w:tcPr>
          <w:p>
            <w:pPr>
              <w:pStyle w:val="TableContents"/>
              <w:bidi w:val="0"/>
              <w:spacing w:before="0" w:after="0"/>
              <w:ind w:left="0" w:right="0" w:hanging="0"/>
              <w:jc w:val="left"/>
              <w:rPr/>
            </w:pPr>
            <w:hyperlink w:anchor="INTRODUCTION_915874">
              <w:r>
                <w:rPr>
                  <w:rStyle w:val="InternetLink"/>
                  <w:rFonts w:ascii="Times New Roman;Times;serif" w:hAnsi="Times New Roman;Times;serif"/>
                  <w:b w:val="false"/>
                  <w:i w:val="false"/>
                  <w:caps w:val="false"/>
                  <w:smallCaps w:val="false"/>
                  <w:sz w:val="20"/>
                </w:rPr>
                <w:t>INTRODUCTION</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FORWARDLOOKINGINFORMATION_719749">
              <w:r>
                <w:rPr>
                  <w:rStyle w:val="InternetLink"/>
                  <w:rFonts w:ascii="Times New Roman;Times;serif" w:hAnsi="Times New Roman;Times;serif"/>
                  <w:b w:val="false"/>
                  <w:i w:val="false"/>
                  <w:caps w:val="false"/>
                  <w:smallCaps w:val="false"/>
                  <w:sz w:val="20"/>
                </w:rPr>
                <w:t>FORWARD-LOOKING INFORMATION</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PARTI_119099">
              <w:r>
                <w:rPr>
                  <w:rStyle w:val="InternetLink"/>
                  <w:rFonts w:ascii="Times New Roman;Times;serif" w:hAnsi="Times New Roman;Times;serif"/>
                  <w:b w:val="false"/>
                  <w:i w:val="false"/>
                  <w:caps w:val="false"/>
                  <w:smallCaps w:val="false"/>
                  <w:sz w:val="20"/>
                </w:rPr>
                <w:t>PART I.</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IDENTITYOFDIRECTORSSENIORMANAGEMENT">
              <w:r>
                <w:rPr>
                  <w:rStyle w:val="InternetLink"/>
                  <w:rFonts w:ascii="Times New Roman;Times;serif" w:hAnsi="Times New Roman;Times;serif"/>
                  <w:b w:val="false"/>
                  <w:i w:val="false"/>
                  <w:caps w:val="false"/>
                  <w:smallCaps w:val="false"/>
                  <w:sz w:val="20"/>
                </w:rPr>
                <w:t>ITEM 1. IDENTITY OF DIRECTORS, SENIOR MANAGEMENT AND ADVISERS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2OFFERSTATISTICSANDEXPECTEDTIMETABLE">
              <w:r>
                <w:rPr>
                  <w:rStyle w:val="InternetLink"/>
                  <w:rFonts w:ascii="Times New Roman;Times;serif" w:hAnsi="Times New Roman;Times;serif"/>
                  <w:b w:val="false"/>
                  <w:i w:val="false"/>
                  <w:caps w:val="false"/>
                  <w:smallCaps w:val="false"/>
                  <w:sz w:val="20"/>
                </w:rPr>
                <w:t>ITEM 2. OFFER STATISTICS AND EXPECTED TIMETABLE</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3KEYINFORMATION_382009">
              <w:r>
                <w:rPr>
                  <w:rStyle w:val="InternetLink"/>
                  <w:rFonts w:ascii="Times New Roman;Times;serif" w:hAnsi="Times New Roman;Times;serif"/>
                  <w:b w:val="false"/>
                  <w:i w:val="false"/>
                  <w:caps w:val="false"/>
                  <w:smallCaps w:val="false"/>
                  <w:sz w:val="20"/>
                </w:rPr>
                <w:t>ITEM 3. KEY INFORMATION</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4INFORMATIONONTHECOMPANY_610331">
              <w:r>
                <w:rPr>
                  <w:rStyle w:val="InternetLink"/>
                  <w:rFonts w:ascii="Times New Roman;Times;serif" w:hAnsi="Times New Roman;Times;serif"/>
                  <w:b w:val="false"/>
                  <w:i w:val="false"/>
                  <w:caps w:val="false"/>
                  <w:smallCaps w:val="false"/>
                  <w:sz w:val="20"/>
                </w:rPr>
                <w:t>ITEM 4. INFORMATION ON THE COMPANY</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4AUNRESOLVEDSTAFFCOMMENTS_923733">
              <w:r>
                <w:rPr>
                  <w:rStyle w:val="InternetLink"/>
                  <w:rFonts w:ascii="Times New Roman;Times;serif" w:hAnsi="Times New Roman;Times;serif"/>
                  <w:b w:val="false"/>
                  <w:i w:val="false"/>
                  <w:caps w:val="false"/>
                  <w:smallCaps w:val="false"/>
                  <w:sz w:val="20"/>
                </w:rPr>
                <w:t>ITEM 4A. UNRESOLVED STAFF COMMENTS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ITEM 5. OPERATING AND FINANCIAL REVIEW AND PROSPECTS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ITEM 6. DIRECTORS, SENIOR MANAGEMENT AND EMPLOYEES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7MAJORSHAREHOLDERSANDRELATEDPARTYTRA">
              <w:r>
                <w:rPr>
                  <w:rStyle w:val="InternetLink"/>
                  <w:rFonts w:ascii="Times New Roman;Times;serif" w:hAnsi="Times New Roman;Times;serif"/>
                  <w:b w:val="false"/>
                  <w:i w:val="false"/>
                  <w:caps w:val="false"/>
                  <w:smallCaps w:val="false"/>
                  <w:sz w:val="20"/>
                </w:rPr>
                <w:t>ITEM 7. MAJOR SHAREHOLDERS AND RELATED PARTY TRANSACTIONS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8FINANCIALINFORMATION_102005">
              <w:r>
                <w:rPr>
                  <w:rStyle w:val="InternetLink"/>
                  <w:rFonts w:ascii="Times New Roman;Times;serif" w:hAnsi="Times New Roman;Times;serif"/>
                  <w:b w:val="false"/>
                  <w:i w:val="false"/>
                  <w:caps w:val="false"/>
                  <w:smallCaps w:val="false"/>
                  <w:sz w:val="20"/>
                </w:rPr>
                <w:t>ITEM 8. FINANCIAL INFORMATION</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9THEOFFERANDLISTING_319192">
              <w:r>
                <w:rPr>
                  <w:rStyle w:val="InternetLink"/>
                  <w:rFonts w:ascii="Times New Roman;Times;serif" w:hAnsi="Times New Roman;Times;serif"/>
                  <w:b w:val="false"/>
                  <w:i w:val="false"/>
                  <w:caps w:val="false"/>
                  <w:smallCaps w:val="false"/>
                  <w:sz w:val="20"/>
                </w:rPr>
                <w:t>ITEM 9. THE OFFER AND LISTING</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0ADDITIONALINFORMATION_708540">
              <w:r>
                <w:rPr>
                  <w:rStyle w:val="InternetLink"/>
                  <w:rFonts w:ascii="Times New Roman;Times;serif" w:hAnsi="Times New Roman;Times;serif"/>
                  <w:b w:val="false"/>
                  <w:i w:val="false"/>
                  <w:caps w:val="false"/>
                  <w:smallCaps w:val="false"/>
                  <w:sz w:val="20"/>
                </w:rPr>
                <w:t>ITEM 10. ADDITIONAL INFORMATION</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ITEM 11. QUANTITATIVE AND QUALITATIVE DISCLOSURES ABOUT MARKET RISK</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ITEM 12. DESCRIPTION OF SECURITIES OTHER THAN EQUITY SECURITIES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PARTII_720597">
              <w:r>
                <w:rPr>
                  <w:rStyle w:val="InternetLink"/>
                  <w:rFonts w:ascii="Times New Roman;Times;serif" w:hAnsi="Times New Roman;Times;serif"/>
                  <w:b w:val="false"/>
                  <w:i w:val="false"/>
                  <w:caps w:val="false"/>
                  <w:smallCaps w:val="false"/>
                  <w:sz w:val="20"/>
                </w:rPr>
                <w:t>PART II.</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ITEM 13. DEFAULTS, DIVIDEND ARREARAGES AND DELINQUENCIES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ITEM 14. MATERIAL MODIFICATIONS TO THE RIGHTS OF SECURITY HOLDERS AND USE OF PROCEEDS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5CONTROLSANDPROCEDURES_980504">
              <w:r>
                <w:rPr>
                  <w:rStyle w:val="InternetLink"/>
                  <w:rFonts w:ascii="Times New Roman;Times;serif" w:hAnsi="Times New Roman;Times;serif"/>
                  <w:b w:val="false"/>
                  <w:i w:val="false"/>
                  <w:caps w:val="false"/>
                  <w:smallCaps w:val="false"/>
                  <w:sz w:val="20"/>
                </w:rPr>
                <w:t>ITEM 15. CONTROLS AND PROCEDURES</w:t>
              </w:r>
            </w:hyperlink>
            <w:r>
              <w:rPr>
                <w:rFonts w:ascii="Times New Roman;Times;serif" w:hAnsi="Times New Roman;Times;serif"/>
                <w:sz w:val="20"/>
              </w:rPr>
              <w:t xml:space="preserve">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6_18215">
              <w:r>
                <w:rPr>
                  <w:rStyle w:val="InternetLink"/>
                  <w:rFonts w:ascii="Times New Roman;Times;serif" w:hAnsi="Times New Roman;Times;serif"/>
                  <w:b w:val="false"/>
                  <w:i w:val="false"/>
                  <w:caps w:val="false"/>
                  <w:smallCaps w:val="false"/>
                  <w:sz w:val="20"/>
                </w:rPr>
                <w:t>ITEM 16.</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6AAUDITCOMMITTEEFINANCIALEXPERT_902">
              <w:r>
                <w:rPr>
                  <w:rStyle w:val="InternetLink"/>
                  <w:rFonts w:ascii="Times New Roman;Times;serif" w:hAnsi="Times New Roman;Times;serif"/>
                  <w:b w:val="false"/>
                  <w:i w:val="false"/>
                  <w:caps w:val="false"/>
                  <w:smallCaps w:val="false"/>
                  <w:sz w:val="20"/>
                </w:rPr>
                <w:t>ITEM 16A. AUDIT COMMITTEE FINANCIAL EXPERT</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6BCODEOFETHICS_632986">
              <w:r>
                <w:rPr>
                  <w:rStyle w:val="InternetLink"/>
                  <w:rFonts w:ascii="Times New Roman;Times;serif" w:hAnsi="Times New Roman;Times;serif"/>
                  <w:b w:val="false"/>
                  <w:i w:val="false"/>
                  <w:caps w:val="false"/>
                  <w:smallCaps w:val="false"/>
                  <w:sz w:val="20"/>
                </w:rPr>
                <w:t>ITEM 16B. CODE OF ETHICS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6CPRINCIPALACCOUNTANTFEESANDSERVICE">
              <w:r>
                <w:rPr>
                  <w:rStyle w:val="InternetLink"/>
                  <w:rFonts w:ascii="Times New Roman;Times;serif" w:hAnsi="Times New Roman;Times;serif"/>
                  <w:b w:val="false"/>
                  <w:i w:val="false"/>
                  <w:caps w:val="false"/>
                  <w:smallCaps w:val="false"/>
                  <w:sz w:val="20"/>
                </w:rPr>
                <w:t>ITEM 16C. PRINCIPAL ACCOUNTANT FEES AND SERVICES</w:t>
              </w:r>
            </w:hyperlink>
            <w:r>
              <w:rPr>
                <w:rFonts w:ascii="Times New Roman;Times;serif" w:hAnsi="Times New Roman;Times;serif"/>
                <w:sz w:val="20"/>
              </w:rPr>
              <w:t xml:space="preserve">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6DEXEMPTIONSFROMTHELISTINGSTANDARDS">
              <w:r>
                <w:rPr>
                  <w:rStyle w:val="InternetLink"/>
                  <w:rFonts w:ascii="Times New Roman;Times;serif" w:hAnsi="Times New Roman;Times;serif"/>
                  <w:b w:val="false"/>
                  <w:i w:val="false"/>
                  <w:caps w:val="false"/>
                  <w:smallCaps w:val="false"/>
                  <w:sz w:val="20"/>
                </w:rPr>
                <w:t>ITEM 16D. EXEMPTIONS FROM THE LISTING STANDARDS FOR AUDIT COMMITTEES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6EPURCHASESOFEQUITYSECURITIESBYTHEI">
              <w:r>
                <w:rPr>
                  <w:rStyle w:val="InternetLink"/>
                  <w:rFonts w:ascii="Times New Roman;Times;serif" w:hAnsi="Times New Roman;Times;serif"/>
                  <w:b w:val="false"/>
                  <w:i w:val="false"/>
                  <w:caps w:val="false"/>
                  <w:smallCaps w:val="false"/>
                  <w:sz w:val="20"/>
                </w:rPr>
                <w:t>ITEM 16E. PURCHASES OF EQUITY SECURITIES BY THE ISSUER AND AFFILIATED PURCHASERS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6FCHANGEINREGISTRANTSCERTIFYINGACCO">
              <w:r>
                <w:rPr>
                  <w:rStyle w:val="InternetLink"/>
                  <w:rFonts w:ascii="Times New Roman;Times;serif" w:hAnsi="Times New Roman;Times;serif"/>
                  <w:b w:val="false"/>
                  <w:i w:val="false"/>
                  <w:caps w:val="false"/>
                  <w:smallCaps w:val="false"/>
                  <w:sz w:val="20"/>
                </w:rPr>
                <w:t>ITEM 16F. CHANGE IN REGISTRANT’S CERTIFYING ACCOUNTANT</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6GCORPORATEGOVERNANCE_15671">
              <w:r>
                <w:rPr>
                  <w:rStyle w:val="InternetLink"/>
                  <w:rFonts w:ascii="Times New Roman;Times;serif" w:hAnsi="Times New Roman;Times;serif"/>
                  <w:b w:val="false"/>
                  <w:i w:val="false"/>
                  <w:caps w:val="false"/>
                  <w:smallCaps w:val="false"/>
                  <w:sz w:val="20"/>
                </w:rPr>
                <w:t>ITEM 16G. CORPORATE GOVERNANCE</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6HMINESAFETYDISCLOSURE_996240">
              <w:r>
                <w:rPr>
                  <w:rStyle w:val="InternetLink"/>
                  <w:rFonts w:ascii="Times New Roman;Times;serif" w:hAnsi="Times New Roman;Times;serif"/>
                  <w:b w:val="false"/>
                  <w:i w:val="false"/>
                  <w:caps w:val="false"/>
                  <w:smallCaps w:val="false"/>
                  <w:sz w:val="20"/>
                </w:rPr>
                <w:t>ITEM 16H. MINE SAFETY DISCLOSURE</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6IDISCLOSUREREGARDINGFOREIGN_94417">
              <w:r>
                <w:rPr>
                  <w:rStyle w:val="InternetLink"/>
                  <w:rFonts w:ascii="Times New Roman;Times;serif" w:hAnsi="Times New Roman;Times;serif"/>
                  <w:b w:val="false"/>
                  <w:i w:val="false"/>
                  <w:caps w:val="false"/>
                  <w:smallCaps w:val="false"/>
                  <w:sz w:val="20"/>
                </w:rPr>
                <w:t>ITEM 16I. DISCLOSURE REGARDING FOREIGN JURISDICTIONS THAT PREVENT INSPECTIONS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6JINSIDERTRADINGPOLICIES_500942">
              <w:r>
                <w:rPr>
                  <w:rStyle w:val="InternetLink"/>
                  <w:rFonts w:ascii="Times New Roman;Times;serif" w:hAnsi="Times New Roman;Times;serif"/>
                  <w:b w:val="false"/>
                  <w:i w:val="false"/>
                  <w:caps w:val="false"/>
                  <w:smallCaps w:val="false"/>
                  <w:sz w:val="20"/>
                </w:rPr>
                <w:t>ITEM 16J. INSIDER TRADING POLICIES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6KCYBERSECURITY_797065">
              <w:r>
                <w:rPr>
                  <w:rStyle w:val="InternetLink"/>
                  <w:rFonts w:ascii="Times New Roman;Times;serif" w:hAnsi="Times New Roman;Times;serif"/>
                  <w:b w:val="false"/>
                  <w:i w:val="false"/>
                  <w:caps w:val="false"/>
                  <w:smallCaps w:val="false"/>
                  <w:sz w:val="20"/>
                </w:rPr>
                <w:t>ITEM 16K. CYBERSECURITY</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PARTIII_669066">
              <w:r>
                <w:rPr>
                  <w:rStyle w:val="InternetLink"/>
                  <w:rFonts w:ascii="Times New Roman;Times;serif" w:hAnsi="Times New Roman;Times;serif"/>
                  <w:b w:val="false"/>
                  <w:i w:val="false"/>
                  <w:caps w:val="false"/>
                  <w:smallCaps w:val="false"/>
                  <w:sz w:val="20"/>
                </w:rPr>
                <w:t>PART III.</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7FINANCIALSTATEMENTS_53801">
              <w:r>
                <w:rPr>
                  <w:rStyle w:val="InternetLink"/>
                  <w:rFonts w:ascii="Times New Roman;Times;serif" w:hAnsi="Times New Roman;Times;serif"/>
                  <w:b w:val="false"/>
                  <w:i w:val="false"/>
                  <w:caps w:val="false"/>
                  <w:smallCaps w:val="false"/>
                  <w:sz w:val="20"/>
                </w:rPr>
                <w:t>ITEM 17. FINANCIAL STATEMENTS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8FINANCIALSTATEMENTS_61780">
              <w:r>
                <w:rPr>
                  <w:rStyle w:val="InternetLink"/>
                  <w:rFonts w:ascii="Times New Roman;Times;serif" w:hAnsi="Times New Roman;Times;serif"/>
                  <w:b w:val="false"/>
                  <w:i w:val="false"/>
                  <w:caps w:val="false"/>
                  <w:smallCaps w:val="false"/>
                  <w:sz w:val="20"/>
                </w:rPr>
                <w:t>ITEM 18. FINANCIAL STATEMENTS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9EXHIBITS_846193">
              <w:r>
                <w:rPr>
                  <w:rStyle w:val="InternetLink"/>
                  <w:rFonts w:ascii="Times New Roman;Times;serif" w:hAnsi="Times New Roman;Times;serif"/>
                  <w:b w:val="false"/>
                  <w:i w:val="false"/>
                  <w:caps w:val="false"/>
                  <w:smallCaps w:val="false"/>
                  <w:sz w:val="20"/>
                </w:rPr>
                <w:t>ITEM 19. EXHIBITS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SIGNATURES_823750">
              <w:r>
                <w:rPr>
                  <w:rStyle w:val="InternetLink"/>
                  <w:rFonts w:ascii="Times New Roman;Times;serif" w:hAnsi="Times New Roman;Times;serif"/>
                  <w:b w:val="false"/>
                  <w:i w:val="false"/>
                  <w:caps w:val="false"/>
                  <w:smallCaps w:val="false"/>
                  <w:sz w:val="20"/>
                </w:rPr>
                <w:t>SIGNATURES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3" w:name="INTRODUCTION_915874"/>
      <w:bookmarkStart w:id="64" w:name="_52dd3e6e_1e22_4ac1_b48c_e95a20dd090e"/>
      <w:bookmarkEnd w:id="63"/>
      <w:bookmarkEnd w:id="64"/>
      <w:r>
        <w:rPr>
          <w:rFonts w:ascii="Times New Roman;Times;serif" w:hAnsi="Times New Roman;Times;serif"/>
          <w:b/>
          <w:sz w:val="20"/>
        </w:rPr>
        <w:t>INTRODUCTION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this annual report on Form 20-F, except where the context otherwise requires and for purposes of this annual report only:</w:t>
      </w:r>
    </w:p>
    <w:tbl>
      <w:tblPr>
        <w:tblW w:w="4791" w:type="dxa"/>
        <w:jc w:val="left"/>
        <w:tblInd w:w="0" w:type="dxa"/>
        <w:tblLayout w:type="fixed"/>
        <w:tblCellMar>
          <w:top w:w="28" w:type="dxa"/>
          <w:left w:w="28" w:type="dxa"/>
          <w:bottom w:w="28" w:type="dxa"/>
          <w:right w:w="28" w:type="dxa"/>
        </w:tblCellMar>
      </w:tblPr>
      <w:tblGrid>
        <w:gridCol w:w="124"/>
        <w:gridCol w:w="25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1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ADAS” refers to advanced driver assistance system;</w:t>
            </w:r>
          </w:p>
        </w:tc>
      </w:tr>
    </w:tbl>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ADR” refers to the American depositary receipt that evidences the ADS;</w:t>
            </w:r>
          </w:p>
        </w:tc>
      </w:tr>
    </w:tbl>
    <w:tbl>
      <w:tblPr>
        <w:tblW w:w="8706" w:type="dxa"/>
        <w:jc w:val="left"/>
        <w:tblInd w:w="0" w:type="dxa"/>
        <w:tblLayout w:type="fixed"/>
        <w:tblCellMar>
          <w:top w:w="28" w:type="dxa"/>
          <w:left w:w="28" w:type="dxa"/>
          <w:bottom w:w="28" w:type="dxa"/>
          <w:right w:w="28" w:type="dxa"/>
        </w:tblCellMar>
      </w:tblPr>
      <w:tblGrid>
        <w:gridCol w:w="124"/>
        <w:gridCol w:w="256"/>
        <w:gridCol w:w="8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2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ADSs” refer to our American depositary shares, each of which represents one Class A ordinary share;</w:t>
            </w:r>
          </w:p>
        </w:tc>
      </w:tr>
    </w:tbl>
    <w:tbl>
      <w:tblPr>
        <w:tblW w:w="3426" w:type="dxa"/>
        <w:jc w:val="left"/>
        <w:tblInd w:w="0" w:type="dxa"/>
        <w:tblLayout w:type="fixed"/>
        <w:tblCellMar>
          <w:top w:w="28" w:type="dxa"/>
          <w:left w:w="28" w:type="dxa"/>
          <w:bottom w:w="28" w:type="dxa"/>
          <w:right w:w="28" w:type="dxa"/>
        </w:tblCellMar>
      </w:tblPr>
      <w:tblGrid>
        <w:gridCol w:w="124"/>
        <w:gridCol w:w="256"/>
        <w:gridCol w:w="3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4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AI” refers to artificial intelligence;</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Anhui NIO AT” refers to Anhui NIO AI Technology Co., Ltd., one of the VIEs; </w:t>
            </w:r>
          </w:p>
        </w:tc>
      </w:tr>
    </w:tbl>
    <w:tbl>
      <w:tblPr>
        <w:tblW w:w="7131" w:type="dxa"/>
        <w:jc w:val="left"/>
        <w:tblInd w:w="0" w:type="dxa"/>
        <w:tblLayout w:type="fixed"/>
        <w:tblCellMar>
          <w:top w:w="28" w:type="dxa"/>
          <w:left w:w="28" w:type="dxa"/>
          <w:bottom w:w="28" w:type="dxa"/>
          <w:right w:w="28" w:type="dxa"/>
        </w:tblCellMar>
      </w:tblPr>
      <w:tblGrid>
        <w:gridCol w:w="124"/>
        <w:gridCol w:w="256"/>
        <w:gridCol w:w="6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5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Anhui NIO DT” refers to Anhui NIO Data Technology Co., Ltd., one of the VIEs;</w:t>
            </w:r>
          </w:p>
        </w:tc>
      </w:tr>
    </w:tbl>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Beijing NIO” refers to Beijing NIO Network Technology Co., Ltd., one of the VIEs;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China” or the “PRC” refers to the People’s Republic of China, excluding, for the purpose of this annual report only, Hong Kong, Macau and Taiwan;</w:t>
            </w:r>
          </w:p>
        </w:tc>
      </w:tr>
    </w:tbl>
    <w:tbl>
      <w:tblPr>
        <w:tblW w:w="8211" w:type="dxa"/>
        <w:jc w:val="left"/>
        <w:tblInd w:w="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ordinary shares” refer to our Class A ordinary shares, par value US$0.00025 per share;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Class B ordinary shares” refer to the Class B ordinary shares that we historically authorized and issued, par value US$0.00025 per share. All the authorized Class B ordinary shares were redesignated as Class A ordinary shares at the annual general meeting held on August 25, 2022; </w:t>
            </w:r>
          </w:p>
        </w:tc>
      </w:tr>
    </w:tbl>
    <w:tbl>
      <w:tblPr>
        <w:tblW w:w="8211" w:type="dxa"/>
        <w:jc w:val="left"/>
        <w:tblInd w:w="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Class C ordinary shares” refer to our Class C ordinary shares, par value US$0.00025 per share;</w:t>
            </w:r>
          </w:p>
        </w:tc>
      </w:tr>
    </w:tbl>
    <w:tbl>
      <w:tblPr>
        <w:tblW w:w="3861" w:type="dxa"/>
        <w:jc w:val="left"/>
        <w:tblInd w:w="0" w:type="dxa"/>
        <w:tblLayout w:type="fixed"/>
        <w:tblCellMar>
          <w:top w:w="28" w:type="dxa"/>
          <w:left w:w="28" w:type="dxa"/>
          <w:bottom w:w="28" w:type="dxa"/>
          <w:right w:w="28" w:type="dxa"/>
        </w:tblCellMar>
      </w:tblPr>
      <w:tblGrid>
        <w:gridCol w:w="124"/>
        <w:gridCol w:w="256"/>
        <w:gridCol w:w="3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8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EV” refers to electric passenger vehicle;</w:t>
            </w:r>
          </w:p>
        </w:tc>
      </w:tr>
    </w:tbl>
    <w:tbl>
      <w:tblPr>
        <w:tblW w:w="9756" w:type="dxa"/>
        <w:jc w:val="left"/>
        <w:tblInd w:w="0" w:type="dxa"/>
        <w:tblLayout w:type="fixed"/>
        <w:tblCellMar>
          <w:top w:w="28" w:type="dxa"/>
          <w:left w:w="28" w:type="dxa"/>
          <w:bottom w:w="28" w:type="dxa"/>
          <w:right w:w="28" w:type="dxa"/>
        </w:tblCellMar>
      </w:tblPr>
      <w:tblGrid>
        <w:gridCol w:w="124"/>
        <w:gridCol w:w="256"/>
        <w:gridCol w:w="9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7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Hong Kong” or “HK” refers to the Hong Kong Special Administrative Region of the People’s Republic of China;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Hong Kong Listing Rules” refer to the Rules Governing the Listing of Securities on The Stock Exchange of Hong Kong Limited, as amended or supplemented from time to time;</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Hong Kong Stock Exchange” refers to The Stock Exchange of Hong Kong Limited;</w:t>
            </w:r>
          </w:p>
        </w:tc>
      </w:tr>
    </w:tbl>
    <w:tbl>
      <w:tblPr>
        <w:tblW w:w="4071" w:type="dxa"/>
        <w:jc w:val="left"/>
        <w:tblInd w:w="0" w:type="dxa"/>
        <w:tblLayout w:type="fixed"/>
        <w:tblCellMar>
          <w:top w:w="28" w:type="dxa"/>
          <w:left w:w="28" w:type="dxa"/>
          <w:bottom w:w="28" w:type="dxa"/>
          <w:right w:w="28" w:type="dxa"/>
        </w:tblCellMar>
      </w:tblPr>
      <w:tblGrid>
        <w:gridCol w:w="124"/>
        <w:gridCol w:w="25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9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ICE” refers to internal combustion engine;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Main Board of the Hong Kong Stock Exchange” refers to the stock market (excluding the option market) operated by the Hong Kong Stock Exchange which is independent from and operated in parallel with the Growth Enterprise Market of the Hong Kong Stock Exchange;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Main Board of the Singapore Exchange” refers to the stock market operated by The Singapore Exchange Securities Trading Limited;</w:t>
            </w:r>
          </w:p>
        </w:tc>
      </w:tr>
    </w:tbl>
    <w:tbl>
      <w:tblPr>
        <w:tblW w:w="4401" w:type="dxa"/>
        <w:jc w:val="left"/>
        <w:tblInd w:w="0" w:type="dxa"/>
        <w:tblLayout w:type="fixed"/>
        <w:tblCellMar>
          <w:top w:w="28" w:type="dxa"/>
          <w:left w:w="28" w:type="dxa"/>
          <w:bottom w:w="28" w:type="dxa"/>
          <w:right w:w="28"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2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NEVs” refer to new energy passenger vehicles;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NIO,” “we,” “us,” “our company,” and “our” refer to NIO Inc., our Cayman Islands holding company and its subsidiaries, and, in the context of describing our operations and consolidated financial information, include the VIEs, namely Beijing NIO, Anhui NIO AT, Anhui NIO DT, and their subsidiary;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refer to our Class A ordinary shares and Class C ordinary shares, each of par value US$0.00025 per share;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Relevant Period” refers to the period commencing from the date on which any of our shares first become secondary listed on the Hong Kong Stock Exchange to and including the date immediately before the day on which the secondary listing is withdrawn from the Hong Kong Stock Exchange. As of the date of this annual report, we are in the Relevant Period;</w:t>
            </w:r>
          </w:p>
        </w:tc>
      </w:tr>
    </w:tbl>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RMB” or “Renminbi” refers to the legal currency of China;</w:t>
            </w:r>
          </w:p>
        </w:tc>
      </w:tr>
    </w:tbl>
    <w:tbl>
      <w:tblPr>
        <w:tblW w:w="7806" w:type="dxa"/>
        <w:jc w:val="left"/>
        <w:tblInd w:w="0" w:type="dxa"/>
        <w:tblLayout w:type="fixed"/>
        <w:tblCellMar>
          <w:top w:w="28" w:type="dxa"/>
          <w:left w:w="28" w:type="dxa"/>
          <w:bottom w:w="28" w:type="dxa"/>
          <w:right w:w="28" w:type="dxa"/>
        </w:tblCellMar>
      </w:tblPr>
      <w:tblGrid>
        <w:gridCol w:w="124"/>
        <w:gridCol w:w="256"/>
        <w:gridCol w:w="7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2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Singapore Exchange” refers to The Singapore Exchange Securities Trading Limited; and</w:t>
            </w:r>
          </w:p>
        </w:tc>
      </w:tr>
    </w:tbl>
    <w:tbl>
      <w:tblPr>
        <w:tblW w:w="7056" w:type="dxa"/>
        <w:jc w:val="left"/>
        <w:tblInd w:w="0" w:type="dxa"/>
        <w:tblLayout w:type="fixed"/>
        <w:tblCellMar>
          <w:top w:w="28" w:type="dxa"/>
          <w:left w:w="28" w:type="dxa"/>
          <w:bottom w:w="28" w:type="dxa"/>
          <w:right w:w="28" w:type="dxa"/>
        </w:tblCellMar>
      </w:tblPr>
      <w:tblGrid>
        <w:gridCol w:w="124"/>
        <w:gridCol w:w="256"/>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7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 “dollars” or “U.S. dollars” refer to the legal currency of the United States.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Unless otherwise noted, all translations from Renminbi to U.S. dollars and from U.S. dollars to Renminbi in this annual report are made at a rate of RMB7.2993 to US$1.00, the exchange rate in effect as of December 31, 2024 as set forth in the H.10 statistical release of the Board of Governors of the Federal Reserve System. We make no representation that any Renminbi or U.S. dollar amounts could have been, or could be, converted into U.S. dollars or Renminbi, as the case may be, at any particular rate, or at all. Unless otherwise specified, the description of our vehicles, services and business models in this report refers to our business in China.</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5" w:name="FORWARDLOOKINGINFORMATION_719749"/>
      <w:bookmarkStart w:id="66" w:name="_65048869_8777_415d_90c4_4e534be55b90"/>
      <w:bookmarkEnd w:id="65"/>
      <w:bookmarkEnd w:id="66"/>
      <w:r>
        <w:rPr>
          <w:rFonts w:ascii="Times New Roman;Times;serif" w:hAnsi="Times New Roman;Times;serif"/>
          <w:b/>
          <w:sz w:val="20"/>
        </w:rPr>
        <w:t>FORWARD-LOOKING INFORMATION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This annual report contains forward-looking statements that reflect our current expectations and views of future events. These forward-looking statements are made under the “safe-harbor” provisions of the U.S. Private Securities Litigation Reform Act of 1995. Known and unknown risks, uncertainties and other factors, may cause our actual results, performance or achievements to be materially different from those expressed or implied by the forward-looking statements. These statements involve known and unknown risks, uncertainties and other factors, including those listed under “Item 3. Key Information—D. Risk Factors,” that may cause our actual results, performance or achievements to be materially different from those expressed or implied by the forward-looking statements.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You can identify these forward-looking statements by words or phrases such as “may,” “will,” “expect,” “anticipate,” “aim,” “estimate,” “intend,” “plan,” “believe,”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 our goals and growth strategies, our future business development, financial condition and results of operations, our expectations regarding demand for and market acceptance of our products and services, and assumptions underlying or related to any of the foregoing.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Although we believe that our expectations expressed in these forward-looking statements are reasonable, our expectations may later be found to be incorrect. Our actual results could be materially different from our expectations.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This annual report contains certain data and information that we obtained from various government and private publications. Statistical data in these publications also include projections based on a number of assumptions. The electric vehicles industry may not grow at the rate projected by market data, or at all. Failure of this market to grow at the projected rate may have a material adverse effect on our business and the market price of our ADSs or Class A ordinary shares. In addition, the rapidly evolving nature of the electric vehicles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exhibits to this annual report completely and with the understanding that our actual future results may be materially different from what we expect. We qualify all of our forward-looking statements by these cautionary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7" w:name="PARTI_119099"/>
      <w:bookmarkStart w:id="68" w:name="_292685f8_5ebc_437e_b285_8e262029826d"/>
      <w:bookmarkEnd w:id="67"/>
      <w:bookmarkEnd w:id="68"/>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69" w:name="ITEM1IDENTITYOFDIRECTORSSENIORMANAGEMENT"/>
      <w:bookmarkEnd w:id="69"/>
      <w:r>
        <w:rPr>
          <w:rFonts w:ascii="Times New Roman;Times;serif" w:hAnsi="Times New Roman;Times;serif"/>
          <w:b/>
          <w:sz w:val="20"/>
        </w:rPr>
        <w:t>ITEM 1.       IDENTITY OF DIRECTORS, SENIOR MANAGEMENT AND ADVISERS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0" w:name="ITEM2OFFERSTATISTICSANDEXPECTEDTIMETABLE"/>
      <w:bookmarkStart w:id="71" w:name="_9a98c5a8_57e3_49b2_9c29_12adcee1d961"/>
      <w:bookmarkEnd w:id="70"/>
      <w:bookmarkEnd w:id="71"/>
      <w:r>
        <w:rPr>
          <w:rFonts w:ascii="Times New Roman;Times;serif" w:hAnsi="Times New Roman;Times;serif"/>
          <w:b/>
          <w:sz w:val="20"/>
        </w:rPr>
        <w:t>ITEM 2.       OFFER STATISTICS AND EXPECTED TIMETABLE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2" w:name="ITEM3KEYINFORMATION_382009"/>
      <w:bookmarkStart w:id="73" w:name="_8df07ae9_d4f3_4424_a552_5f36da1afcbb"/>
      <w:bookmarkEnd w:id="72"/>
      <w:bookmarkEnd w:id="73"/>
      <w:r>
        <w:rPr>
          <w:rFonts w:ascii="Times New Roman;Times;serif" w:hAnsi="Times New Roman;Times;serif"/>
          <w:b/>
          <w:sz w:val="20"/>
        </w:rPr>
        <w:t>ITEM 3.       KEY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Holding Company Structure and Contractual Arrangements with the VIEs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NIO Inc. is not an operating company in China but a Cayman Islands holding company with no equity ownership in its consolidated variable interest entities, or VIEs. We conduct our operations in China (i) primarily through our PRC subsidiaries, and (ii) to a much lesser extent, through the VIEs, namely Beijing NIO, Anhui NIO AT, and Anhui NIO DT, with each of which we maintain contractual arrangements, and their subsidiary. We have also established subsidiaries in the United States, Germany, the United Kingdom, Norway and other overseas jurisdictions to promote our services and businesses, enter into business contracts with offshore counterparties and hold overseas intellectual properties.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PRC laws and regulations (i) restrict and impose conditions on foreign investment in value-added telecommunication services, including without limitation, performing internet information services and holding certain related licenses; and (ii) prohibit foreign investment in certain services related to autonomous driving as well as the holding of related licenses by foreign entities. Additionally, in practice, subject to the qualifications set by China Banking and Insurance Regulatory Commission (currently known as the National Administration of Financial Regulation) for foreign shareholders of the insurance brokerage companies, the China Banking and Insurance Regulatory Commission typically would not approve the establishment of a foreign-invested insurance brokerage company to perform insurance brokerage services and hold certain related licenses. We operate these businesses in China through Beijing NIO, Anhui NIO AT, and Anhui NIO DT, or as referred to as the VIEs, and NIO Insurance Broker Co., Ltd., the subsidiary of Anhui NIO DT. We rely on contractual arrangements among our PRC subsidiaries, the VIEs and their nominee shareholders to maintain a controlling financial interest as the primary beneficiary of each VIE (as defined in U.S. GAAP, ASC 810). Under U.S. GAAP, we consolidate each VIE within our consolidated financial statements. Specifically, we operate value-added telecommunication services, including without limitation, performing internet information services, and hold certain related licenses, through Beijing NIO. We rely on the contractual arrangements with Anhui NIO DT and its shareholders to operate insurance brokerage services. NIO Insurance Broker Co., Ltd. currently holds an insurance brokerage license and provides insurance brokerage services primarily related to vehicles and properties. We intend to obtain requisite licenses for certain supporting functions during the development of our assisted and intelligent driving technology through Anhui NIO AT. As of the date of this annual report, the business operations of the VIEs are insignificant in relation to our total revenues and net loss. As used in this annual report, “NIO,” “we,” “us,” “our company,” and “our” refer to NIO Inc., our Cayman Islands holding company and its subsidiaries, and in the context of describing our operations and consolidated financial information, include the VIEs and NIO Insurance Broker Co., Ltd., the subsidiary of Anhui NIO DT.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diagram illustrates our corporate structure, including our principal subsidiaries and the VIEs, as of the date of this annual report:</w:t>
      </w:r>
    </w:p>
    <w:p>
      <w:pPr>
        <w:pStyle w:val="TextBody"/>
        <w:bidi w:val="0"/>
        <w:spacing w:before="0" w:after="0"/>
        <w:ind w:left="0" w:right="0" w:hanging="0"/>
        <w:jc w:val="center"/>
        <w:rPr/>
      </w:pPr>
      <w:r>
        <w:rPr/>
        <w:drawing>
          <wp:inline distT="0" distB="0" distL="0" distR="0">
            <wp:extent cx="6534785" cy="61201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534785" cy="6120130"/>
                    </a:xfrm>
                    <a:prstGeom prst="rect">
                      <a:avLst/>
                    </a:prstGeom>
                  </pic:spPr>
                </pic:pic>
              </a:graphicData>
            </a:graphic>
          </wp:inline>
        </w:drawing>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April 2018, we entered into a series of contractual arrangements through one of our PRC subsidiaries with Beijing NIO and its shareholders, which were replaced by a new set of contractual arrangements we entered into with the same parties in April 2021. Further, in November 2022 and December 2022, we entered into a series of contractual arrangements through our respective PRC subsidiaries with each of Anhui NIO AT and Anhui NIO DT, respectively, and their respective shareholders, to conduct certain future operations in China. These contractual arrangements enable us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 the economic benefits that could potentially be significant to the VIEs in consideration for the services provided by our subsidiaries;</w:t>
            </w:r>
          </w:p>
        </w:tc>
      </w:tr>
    </w:tbl>
    <w:tbl>
      <w:tblPr>
        <w:tblW w:w="4116" w:type="dxa"/>
        <w:jc w:val="left"/>
        <w:tblInd w:w="0" w:type="dxa"/>
        <w:tblLayout w:type="fixed"/>
        <w:tblCellMar>
          <w:top w:w="28" w:type="dxa"/>
          <w:left w:w="28" w:type="dxa"/>
          <w:bottom w:w="28" w:type="dxa"/>
          <w:right w:w="28" w:type="dxa"/>
        </w:tblCellMar>
      </w:tblPr>
      <w:tblGrid>
        <w:gridCol w:w="124"/>
        <w:gridCol w:w="256"/>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effective control over the VIEs;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 an exclusive option to purchase all or part of the equity interests in the VIEs when and to the extent permitted by PRC law.</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contractual agreements include an exclusive business cooperation agreement, exclusive option agreement, equity pledge agreement, loan agreement and power of attorney. For more details of these contractual arrangements, see “Item 4. Information on the Company—C. Organizational Structure—Contractual Agreements with the VIEs and Their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Beijing NIO, Anhui NIO AT, and Anhui NIO DT and its subsidiary, taking into account all of their respective business with or without foreign investment restrictions and prohibitions under PRC laws, contributed insignificantly to our total revenues, accounting for nil, RMB13.8 million and RMB31.3 million (US$4.3 million) for the years ended December 31, 2022, 2023 and 2024, respectively. The VIEs provided services internally to our subsidiaries, and such services amounted to RMB89.2 million, RMB110.5 million and RMB126.3 million (US$17.3 million) for the years ended December 31, 2022, 2023 and 2024, respectively. As of December 31, 2022, 2023 and 2024, none of Beijing NIO, Anhui NIO AT and Anhui NIO DT had significant operations or any material assets or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Holdings of our ADSs and Class A ordinary shares are not holding equity interests in the VIEs in China but instead are holding equity interests in a holding company incorporated in the Cayman Islands. We do not have any equity interests in the VIEs. However, as a result of contractual arrangements, we have a controlling financial interest over and are considered the primary beneficiary of each of the VIEs, and we have consolidated the financial results, pursuant to U.S. GAAP, each of these entities in our consolidated financial statements. However, the contractual arrangements may not be as effective as direct ownership in providing us with control over the VIEs and we may incur substantial costs to enforce the terms of the arrangements. If the VIEs or the nominee shareholders fail to perform their respective obligations under the contractual arrangements, we could be limited in our ability to enforce the contractual arrangements that give us effective control over the VIEs. Furthermore, if we are unable to maintain effective control, we would not be able to continue to consolidate the financial results of the VIEs in our financial statements. See “Item 3. Key Information—D. Risk Factors—Risks Related to Our Corporate Structure—We rely on contractual arrangements with the VIEs and their shareholders to hold a controlling financial interest over each VIE, which may not be as effective as direct ownership in providing operational control” and “Item 3. Key Information—D. Risk Factors—Risks Related to Our Corporate Structure—The shareholders of the VIEs have conflicts of interest with us, which may materially and adversely affect our business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also substantial uncertainties regarding the interpretation and application of current and future PRC laws, regulations and rules regarding the status of the rights of our Cayman Islands holding company with respect to its contractual arrangements with the VIEs and their nominee shareholders. It is uncertain whether any new PRC laws or regulations relating to contractual arrangements will be adopted or if adopted, what they would provide. If we or any of the VIEs is found to be in violation of any existing or future PRC laws or regulations, or fail to obtain or maintain any of the required permits or approvals, the PRC regulatory authorities would have broad discretion to take action in dealing with such violations or failures. Our Cayman Islands holding company, our PRC subsidiaries and the VIEs,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whole. See “Item 3. Key Information—D. Risk Factors—Risks Related to Our Corporate Structure—If the PRC government deems that our VIE arrangements do not comply with PRC laws, or if these PRC laws change, we could be subject to severe penalties or be forced to relinquish our interests in those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or become worthless. For more details, see “Item 3. Key Information—D. Risk Factors—Risks Related to Doing Business in China—The PRC government’s significant oversight over our business operation could result in a material adverse change in our operations and the value of our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Risks and uncertainties regarding the interpretation and enforcement of laws and quickly evolving rules and regulations in China, could result in a material adverse change in our operations and the value of our ADSs. For more details, see “Item 3. Key Information—D. Risk Factors—Risks Related to Doing Business in China—Uncertainties in the interpretation and enforcement of PRC laws and regulations could limit the legal protections available to you and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Permissions Required from the PRC Authorities for Our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operations in China are governed by PRC laws and regulations. As of the date of this annual report, our PRC subsidiaries and the VIEs have obtained the requisite licenses and permits from the PRC government authorities that are material for the main business operations of our holding company, our PRC subsidiaries and the VIEs in China, including, among others, a license for conducting internet content provision services, or the ICP license, and the insurance brokerage license. In addition, we have completed the filing process for our electric passenger vehicle investment project with the authorities in Anhui province and have been included in the Ministry of Industry and Information Technology’s catalogue of approved manufacturers. Given the uncertainties of interpretation and implementation of laws and regulations and the enforcement practice by government authorities, we may be required to obtain additional licenses, permits, filings or approvals for our business operations in the future. For more detailed information, see “Item 3. Key Information—D. Risk Factors—Risks Related to Doing Business in China—We may be adversely affected by the complexity, uncertainties and changes in PRC regulations on internet-related business, automotive businesses and other business carried out by our PRC subsidiaries and the VIEs.”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Meanwhile, the PRC government has sought to exert more oversight and control over capital raising activities of listed companies that are conducted overseas and/or foreign investment in China-based issuers. In December 2021, the Cyberspace Administration of China, or the CAC, together with other authorities, jointly promulgated the Cybersecurity Review Measures, which took effect on February 15, 2022 and replaces its predecessor regulation. Pursuant to the Cybersecurity Review Measures, critical information infrastructure operators that procure internet products and services and network platform operators that conduct data process activities must be subject to the cybersecurity review if their activities affect or may affect national security. On February 17, 2023, China Securities Regulatory Commission, or the CSRC, released several regulations regarding the filing requirements for overseas offerings and listings by domestic companies, including the Trial Administrative Measures of Overseas Securities Offering and Listing by Domestic Companies and five supporting guidelines, which were formally implemented on March 31, 2023. According to these rules, domestic enterprises like us that have completed overseas listings are not required to file with CSRC immediately, but shall carry out filing procedures as required if we conduct refinancing or fall within other circumstances that require filing with the CSRC. Any failure to obtain or delay in obtaining such approval or completing such procedures could subject us to restrictions and penalties imposed by the CSRC, the CAC or other PRC regulatory authorities, which could include fines and penalties on our operations in China, delays of or restrictions on the repatriation of the proceeds from our offshore offerings into China, or other actions that could materially and adversely affect our business, financial condition, results of operations, and prospects, as well as the trading price of our ADSs. For more detailed information, see “Item 3. Key Information—D. Risk Factors—Risks Related to Doing Business in China—The approval of or the filing with the CSRC or other PRC government authorities may be required in connection with our future offshore listings and capital raising activities. We cannot predict whether or for how long we will be able to obtain such approval or filing.”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Holding Foreign Companies Accountable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Holding Foreign Companies Accountable Act, which was enacted on December 18, 2020 and further amended by the Consolidated Appropriations Act, 2023, signed into law on December 29, 2022, or the HFCAA, if the SEC determines that we have filed audit reports issued by a registered public accounting firm that has not been subject to inspections by the Public Company Accounting Oversight Board (United States), or the PCAOB, for two consecutive years, the SEC will prohibit our shares or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In May 2022, the SEC conclusively listed NIO Inc. as a Commission-Identified Issuer under the HFCAA following the filing of our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As of the date of this annual report, the PCAOB has not issued any new determination that it is unable to inspect or investigate completely registered public accounting firms headquartered in any jurisdiction. For this reason, we do not expect to be identified as a Commission-Identified Issuer under the HFCAA after we file this annual report on Form 20-F.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For more details, see “Item 3. Key Information—D. Risk Factors—Risks Related to Doing Business in China—The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“Item 3. Key Information—D. Risk Factors—Risks Related to Doing Business in China—Our ADSs may be prohibited from trading in the United States under the HFCAA in the future if the PCAOB is unable to inspect or investigate completely auditors located in China. The delisting or prohibition of trading of the ADSs, or the threat of their being delisted or prohibited from trading, may materially and adversely affect the value of your investment.”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Flows through Our Organization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NIO Inc. is a holding company with no material operations of its own. We conduct our operations in China (i) primarily through our PRC subsidiaries, and (ii) to a much lesser extent, the VIEs and their subsidiary. As a result, although other means are available for us to obtain financing at the holding company level, NIO Inc.’s ability to pay dividends to the shareholders and to service any debt it may incur may depend upon dividends paid by our PRC subsidiaries and service fees paid by the VIEs in China. If any of our subsidiaries incurs debt on its own behalf in the future, the instruments governing such debt may restrict its ability to pay dividends to NIO Inc. In addition, our PRC subsidiaries are permitted to pay dividends to NIO Inc. only out of their retained earnings, if any, as determined in accordance with PRC accounting standards and regulations. Further, our PRC subsidiaries and the VIEs are required to make appropriations to certain statutory reserve funds or may make appropriations to certain discretionary funds, which are not distributable as cash dividends except in the event of a solvent liquidation of the companies. For more details, see “Item 5. Operating and Financial Review and Prospects — B. Liquidity and Capital Resources — Holding Company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PRC laws and regulations, our PRC subsidiaries and the VIEs are subject to certain restrictions with respect to paying dividends or otherwise transferring any of their net assets to us. Remittance of dividends by a wholly foreign-owned enterprise out of China is also subject to examination by the banks designated by the State Administration of Foreign Exchange of the PRC, or SAFE. The amounts restricted include the paid-up capital and the statutory reserve funds of our PRC subsidiaries and the net assets of the VIEs and their subsidiary in which we have no legal ownership, totaling RMB40,720.9 million, RMB42,256.2 million and RMB55,128.3 million (US$7,564.9 million) as of December 31, 2022, 2023 and 2024, respectively, and the net assets of the VIEs and their subsidiary that are restricted was RMB50.0 million, RMB54.7 million and RMB74.4 million (US$10.2 million) as of December 31, 2022, 2023 and 2024, respectively. For risks relating to the fund flows of our operations in China, see “Item 3. Key Information—D. Risk Factors—Risks Related to Doing Business in China—We may rely on distributions by our PRC subsidiaries for our financing requirements, and any limitation on our PRC subsidiaries to make payments to us could have a material and adverse effect on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purposes of illustration, the following discussion reflects the hypothetical taxes that might be required to be paid within China, assuming that: (i) we have taxable earnings, and (ii) we determine to pay dividends in the future.</w:t>
      </w:r>
    </w:p>
    <w:tbl>
      <w:tblPr>
        <w:tblW w:w="5654" w:type="dxa"/>
        <w:jc w:val="left"/>
        <w:tblInd w:w="0" w:type="dxa"/>
        <w:tblLayout w:type="fixed"/>
        <w:tblCellMar>
          <w:top w:w="0" w:type="dxa"/>
          <w:left w:w="0" w:type="dxa"/>
          <w:bottom w:w="0" w:type="dxa"/>
          <w:right w:w="0" w:type="dxa"/>
        </w:tblCellMar>
      </w:tblPr>
      <w:tblGrid>
        <w:gridCol w:w="3586"/>
        <w:gridCol w:w="326"/>
        <w:gridCol w:w="1426"/>
        <w:gridCol w:w="316"/>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277110" cy="175260"/>
                      <wp:effectExtent l="0" t="0" r="0" b="0"/>
                      <wp:wrapNone/>
                      <wp:docPr id="2" name="Frame1"/>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3"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905510" cy="175260"/>
                      <wp:effectExtent l="0" t="0" r="0" b="0"/>
                      <wp:wrapNone/>
                      <wp:docPr id="4" name="Frame3"/>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0660" cy="175260"/>
                      <wp:effectExtent l="0" t="0" r="0" b="0"/>
                      <wp:wrapNone/>
                      <wp:docPr id="5" name="Frame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2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Tax calculation </w:t>
            </w:r>
            <w:r>
              <w:rPr>
                <w:rFonts w:ascii="Times New Roman;Times;serif" w:hAnsi="Times New Roman;Times;serif"/>
                <w:b/>
                <w:sz w:val="12"/>
              </w:rPr>
              <w:t>(1)</w:t>
            </w:r>
          </w:p>
        </w:tc>
        <w:tc>
          <w:tcPr>
            <w:tcW w:w="316" w:type="dxa"/>
            <w:tcBorders/>
            <w:vAlign w:val="center"/>
          </w:tcPr>
          <w:p>
            <w:pPr>
              <w:pStyle w:val="TableContents"/>
              <w:bidi w:val="0"/>
              <w:spacing w:before="0" w:after="0"/>
              <w:ind w:left="0" w:right="0" w:hanging="0"/>
              <w:jc w:val="left"/>
              <w:rPr/>
            </w:pPr>
            <w:r>
              <w:rPr/>
              <w:t> </w:t>
            </w:r>
          </w:p>
        </w:tc>
      </w:tr>
      <w:tr>
        <w:trPr/>
        <w:tc>
          <w:tcPr>
            <w:tcW w:w="358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Hypothetical pre-tax earnings</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86"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Tax on earnings at statutory rate of 25% </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8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earnings available for distribution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86"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Withholding tax at standard rate of 10% </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8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distribution to Parent/Shareholders</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rFonts w:ascii="Times New Roman;Times;serif" w:hAnsi="Times New Roman;Times;serif"/>
          <w:sz w:val="16"/>
        </w:rPr>
      </w:pPr>
      <w:r>
        <w:rPr>
          <w:rFonts w:ascii="Times New Roman;Times;serif" w:hAnsi="Times New Roman;Times;serif"/>
          <w:sz w:val="16"/>
        </w:rPr>
        <w:t>Notes:</w:t>
      </w:r>
    </w:p>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40"/>
              <w:jc w:val="both"/>
              <w:rPr>
                <w:rFonts w:ascii="Times New Roman;Times;serif" w:hAnsi="Times New Roman;Times;serif"/>
                <w:sz w:val="16"/>
              </w:rPr>
            </w:pPr>
            <w:r>
              <w:rPr>
                <w:rFonts w:ascii="Times New Roman;Times;serif" w:hAnsi="Times New Roman;Times;serif"/>
                <w:sz w:val="16"/>
              </w:rPr>
              <w:t>(1)</w:t>
            </w:r>
          </w:p>
        </w:tc>
        <w:tc>
          <w:tcPr>
            <w:tcW w:w="9893" w:type="dxa"/>
            <w:tcBorders/>
            <w:vAlign w:val="center"/>
          </w:tcPr>
          <w:p>
            <w:pPr>
              <w:pStyle w:val="TableContents"/>
              <w:bidi w:val="0"/>
              <w:spacing w:before="0" w:after="240"/>
              <w:jc w:val="both"/>
              <w:rPr>
                <w:rFonts w:ascii="Times New Roman;Times;serif" w:hAnsi="Times New Roman;Times;serif"/>
                <w:sz w:val="16"/>
              </w:rPr>
            </w:pPr>
            <w:r>
              <w:rPr>
                <w:rFonts w:ascii="Times New Roman;Times;serif" w:hAnsi="Times New Roman;Times;serif"/>
                <w:sz w:val="16"/>
              </w:rPr>
              <w:t>For purposes of this example, the tax calculation has been simplified. The hypothetical book pre-tax earnings amount, not considering timing differences, is assumed to equal taxable income in China.</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40"/>
              <w:jc w:val="both"/>
              <w:rPr>
                <w:rFonts w:ascii="Times New Roman;Times;serif" w:hAnsi="Times New Roman;Times;serif"/>
                <w:sz w:val="16"/>
              </w:rPr>
            </w:pPr>
            <w:r>
              <w:rPr>
                <w:rFonts w:ascii="Times New Roman;Times;serif" w:hAnsi="Times New Roman;Times;serif"/>
                <w:sz w:val="16"/>
              </w:rPr>
              <w:t>(2)</w:t>
            </w:r>
          </w:p>
        </w:tc>
        <w:tc>
          <w:tcPr>
            <w:tcW w:w="9899" w:type="dxa"/>
            <w:tcBorders/>
            <w:vAlign w:val="center"/>
          </w:tcPr>
          <w:p>
            <w:pPr>
              <w:pStyle w:val="TableContents"/>
              <w:bidi w:val="0"/>
              <w:spacing w:before="0" w:after="240"/>
              <w:jc w:val="both"/>
              <w:rPr>
                <w:rFonts w:ascii="Times New Roman;Times;serif" w:hAnsi="Times New Roman;Times;serif"/>
                <w:sz w:val="16"/>
              </w:rPr>
            </w:pPr>
            <w:r>
              <w:rPr>
                <w:rFonts w:ascii="Times New Roman;Times;serif" w:hAnsi="Times New Roman;Times;serif"/>
                <w:sz w:val="16"/>
              </w:rPr>
              <w:t>Certain of our subsidiaries qualifies for a 15% preferential income tax rate in China. For purposes of this hypothetical example, the table above reflects a maximum tax scenario under which the full statutory rate would be effective.</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40"/>
              <w:jc w:val="both"/>
              <w:rPr>
                <w:rFonts w:ascii="Times New Roman;Times;serif" w:hAnsi="Times New Roman;Times;serif"/>
                <w:sz w:val="16"/>
              </w:rPr>
            </w:pPr>
            <w:r>
              <w:rPr>
                <w:rFonts w:ascii="Times New Roman;Times;serif" w:hAnsi="Times New Roman;Times;serif"/>
                <w:sz w:val="16"/>
              </w:rPr>
              <w:t>(3)</w:t>
            </w:r>
          </w:p>
        </w:tc>
        <w:tc>
          <w:tcPr>
            <w:tcW w:w="9922" w:type="dxa"/>
            <w:tcBorders/>
            <w:vAlign w:val="center"/>
          </w:tcPr>
          <w:p>
            <w:pPr>
              <w:pStyle w:val="TableContents"/>
              <w:bidi w:val="0"/>
              <w:spacing w:before="0" w:after="240"/>
              <w:jc w:val="both"/>
              <w:rPr>
                <w:rFonts w:ascii="Times New Roman;Times;serif" w:hAnsi="Times New Roman;Times;serif"/>
                <w:sz w:val="16"/>
              </w:rPr>
            </w:pPr>
            <w:r>
              <w:rPr>
                <w:rFonts w:ascii="Times New Roman;Times;serif" w:hAnsi="Times New Roman;Times;serif"/>
                <w:sz w:val="16"/>
              </w:rPr>
              <w:t>The PRC Enterprise Income Tax Law imposes a withholding income tax of 10% on dividends distributed by a foreign invested enterprise to its immediate holding company outside of China. A lower withholding income tax rate of 5% is applied if the foreign invested enterprise’s immediate holding company is registered in Hong Kong or other jurisdictions that have a tax treaty arrangement with China, subject to a qualification review at the time of the distribution. For purposes of this hypothetical example, the table above assumes a maximum tax scenario under which the full withholding tax would be applied.</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PRC law, NIO Inc. may provide funding to our PRC subsidiaries only through capital contributions or loans, and to the VIEs only through loans, subject to satisfaction of applicable government registration and approval requirements. NIO Inc. and its subsidiaries extended loans to the nominee shareholders of the VIEs for their investment in the VIEs, with outstanding principal amount of RMB50.1 million (US$6.9 million) as of each of December 31, 2022, 2023 and 2024. In addition, NIO Inc. and its subsidiaries also extended loans to the VIEs for operations with outstanding principal amount of RMB32.8 million, RMB86.9 million and RMB34.7 million (US$4.8 million) as of December 31, 2022, 2023 and 2024,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exclusive business cooperation agreements between NIO Co., Ltd., or Shanghai NIO, a wholly-owned subsidiary of our company, and Beijing NIO, Shanghai NIO may adjust the payment time and payment method of the service fees, and Beijing NIO will accept any such adjustment. For the years ended December 31, 2022, 2023 and 2024, no service under the contractual arrangements was provided by Shanghai NIO and no service fee was paid by Beijing NIO to Shanghai NIO accordingly. We intend to determine the amount of service fee and payment method based on the working capital needs of Shanghai NIO and Beijing NIO, and settle such service fees accordingly in the future. Pursuant to a separate service agreement, for the years ended December 31, 2022, 2023 and 2024, Shanghai NIO paid Beijing NIO RMB0.7 million, RMB0.7 million and RMB0.7 million (US$0.1 million) for services provided by Beijing NIO.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exclusive business cooperation agreement dated November 30, 2022 between Anhui NIO Autonomous Driving Technology Co., Ltd., or Anhui NIO AD, a wholly-owned subsidiary of our company, and Anhui NIO AT, Anhui NIO AD may adjust the payment time and payment method of the service fees, and Anhui NIO AT will accept any such adjustment. For the years ended December 31, 2022, 2023 and 2024, no service under the contractual arrangements was provided by Anhui NIO AD and no service fee was paid by Anhui NIO AT to Anhui NIO AD accordingly. We intend to determine the amount of service fee and payment method based on the working capital needs of Anhui NIO AD and Anhui NIO AT, and settle such service fees accordingly in the future. Pursuant to a separate service agreement, for the years ended December 31, 2022, 2023 and 2024, Anhui NIO AD paid Anhui NIO AT RMB70.1 million, RMB58.4 million and RMB171.4 million (US$23.5 million) for services provided by Anhui NIO AT.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exclusive business cooperation agreement dated December 12, 2022 between NIO Holding Co., Ltd., or NIO China, a PRC subsidiary in which we hold 89.0% controlling equity interests, and Anhui NIO DT, NIO China may adjust the payment time and payment method of the service fees, and Anhui NIO DT will accept any such adjustment. For the years ended December 31, 2022, 2023 and 2024, no service under the contractual arrangements was provided by NIO China and no service fee was paid by Anhui NIO DT to NIO China accordingly. We intend to determine the amount of service fee and payment method based on the working capital needs of NIO China and Anhui NIO DT, and settle such service fees accordingly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NIO Inc. has not declared or paid any cash dividends, nor does it have any present plan to pay any cash dividends on our ordinary shares in the foreseeable future. We currently intend to retain most, if not all, of our available funds and any future earnings to operate and expand our business. See “Item 8. Financial Information — A. Consolidated Statements and Other Financial Information — Dividend Policy.” For Cayman Islands, PRC and United States federal income tax considerations of an investment in our ADSs or Class A ordinary shares, see “Item 10. Additional Information — E. Taxation.”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As of December 31, 2022, 2023 and 2024 and for the years ended December 31, 2022, 2023 and 2024, none of Beijing NIO, Anhui NIO AT and Anhui NIO DT had significant operations or any material assets or liabilities. As a result, the financial information related to the consolidated VIEs were insignificant to our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[Reserved]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          Capitalization and Indebtedness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          Reasons for the Offer and Use of Proceeds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          Risk Factors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Summary of 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 investment in our ADSs and Class A ordinary shares involves significant risks. Below is a summary of material risks we face, organized under headings. These risks are discussed more fully in “Item 3. Key Information—D. Risk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Related to Our Business and Industry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Risks and uncertainties related to our business and industry include, but are not limited to, the following:</w:t>
      </w:r>
    </w:p>
    <w:tbl>
      <w:tblPr>
        <w:tblW w:w="9501" w:type="dxa"/>
        <w:jc w:val="left"/>
        <w:tblInd w:w="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automotive market is highly competitive, and we face significant challenges in competing in our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manufacture vehicles of sufficient quality and appeal to customers on schedule and on a large scale is still evolving;</w:t>
            </w:r>
          </w:p>
        </w:tc>
      </w:tr>
    </w:tbl>
    <w:tbl>
      <w:tblPr>
        <w:tblW w:w="8901" w:type="dxa"/>
        <w:jc w:val="left"/>
        <w:tblInd w:w="0" w:type="dxa"/>
        <w:tblLayout w:type="fixed"/>
        <w:tblCellMar>
          <w:top w:w="28" w:type="dxa"/>
          <w:left w:w="28" w:type="dxa"/>
          <w:bottom w:w="28" w:type="dxa"/>
          <w:right w:w="28" w:type="dxa"/>
        </w:tblCellMar>
      </w:tblPr>
      <w:tblGrid>
        <w:gridCol w:w="124"/>
        <w:gridCol w:w="256"/>
        <w:gridCol w:w="8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been profitable, and only generated positive cash flows from operations in certain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experience in independent manufacturing. Any delays in the manufacturing and launching of our products, or ramping up of our production capacity, could have a material adverse effect on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Rising international political tensions, including changes in U.S. and European international trade policies and other cross-border investment regulations, particularly with regard to China, may adversely impact our business and operating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unavailability, reduction or elimination of government and economic incentives or governmental policies which are favorable for electric vehicles and domestically produced vehicles could have a material adverse effect on our business;</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current or future vehicles may not perform in line with customer expectations; </w:t>
            </w:r>
          </w:p>
        </w:tc>
      </w:tr>
    </w:tbl>
    <w:tbl>
      <w:tblPr>
        <w:tblW w:w="5256" w:type="dxa"/>
        <w:jc w:val="left"/>
        <w:tblInd w:w="0" w:type="dxa"/>
        <w:tblLayout w:type="fixed"/>
        <w:tblCellMar>
          <w:top w:w="28" w:type="dxa"/>
          <w:left w:w="28" w:type="dxa"/>
          <w:bottom w:w="28" w:type="dxa"/>
          <w:right w:w="28" w:type="dxa"/>
        </w:tblCellMar>
      </w:tblPr>
      <w:tblGrid>
        <w:gridCol w:w="124"/>
        <w:gridCol w:w="256"/>
        <w:gridCol w:w="4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face challenges in providing our power solutions;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services may not be generally accepted by our users. If we are unable to provide satisfactory services for our users, our business and reputation may be materially and adversely affected;</w:t>
            </w:r>
          </w:p>
        </w:tc>
      </w:tr>
    </w:tbl>
    <w:tbl>
      <w:tblPr>
        <w:tblW w:w="9831" w:type="dxa"/>
        <w:jc w:val="left"/>
        <w:tblInd w:w="0" w:type="dxa"/>
        <w:tblLayout w:type="fixed"/>
        <w:tblCellMar>
          <w:top w:w="28" w:type="dxa"/>
          <w:left w:w="28" w:type="dxa"/>
          <w:bottom w:w="28" w:type="dxa"/>
          <w:right w:w="28" w:type="dxa"/>
        </w:tblCellMar>
      </w:tblPr>
      <w:tblGrid>
        <w:gridCol w:w="124"/>
        <w:gridCol w:w="256"/>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dependent on our suppliers, many of whom are our single source suppliers for the components they supply;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Battery Asset Company to provide Battery as a Service to our users. If Battery Asset Company fails to achieve smooth and stable operations, our Battery as a Service may be materially and adversely affected;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defend ourselves against patent or trademark infringement claims, which may be time-consuming and would cause us to incur substantial costs.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Risks Related to Our Corporate Structure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are also subject to risks and uncertainties related to our corporate structure, including, but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holding company with no equity ownership in the VIEs and we conduct our operations in China (i) primarily through our PRC subsidiaries, and (ii) to a much lesser extent, the VIEs and their subsidiary. Investors in our ADSs and Class A ordinary shares thus are not purchasing equity interests in the VIEs in China but instead are purchasing equity interests in a Cayman Islands holding company. If the PRC government deems that our VIE arrangements do not comply with PRC laws, or if these PRC laws change, we could be subject to severe penalties or be forced to relinquish our interests in those operations. Our holding company in the Cayman Islands, the VIEs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group;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contractual arrangements with the VIEs and their shareholders to hold a controlling financial interest over each VIE, which may not be as effective as direct ownership in providing operational control;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enforce the equity pledge agreements between us and the VIEs’ shareholders may be subject to limitations based on PRC laws and regulations;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of the VIEs have conflicts of interest with us, which may materially and adversely affect our business and financial condition.</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Risks Related to Doing Business 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face risks and uncertainties related to doing business in China in general, including, but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China’s economic, political or social conditions or government policies could have a material and adverse effect on our business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regarding the interpretation and enforcement of laws and quickly evolving rules and regulations in China, could result in a material adverse change in our operations and the value of our ADSs and Class A ordinary shares. For more details, see “Item 3. Key Information—D. Risk Factors—Risks Related to Doing Business in China—Uncertainties in the interpretation and enforcement of PRC laws and regulations could limit the legal protections available to you and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government’s significant authority in regulating our operations and its oversight and control over capital raising activities of listed companies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For more details, see “Item 3. Key Information — D. Risk Factors — Risks Related to Doing Business in China — The PRC government’s significant oversight over our business operation could result in a material adverse change in our operations and the value of our ADSs”;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approval of or the filing with the CSRC or other PRC government authorities may be required in connection with our future offshore listings and capital raising activities. We cannot predict whether or for how long we will be able to obtain such approval or filing;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adversely affected by the complexity, uncertainties and changes in PRC regulations on internet-related business, automotive businesses and other business carried out by our PRC subsidiaries and the VIEs;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may be prohibited from being traded in the United States under the HFCAA in the future if the PCAOB determines that it is unable to inspect or investigate completely auditor located in China. The delisting or prohibition of trading of the ADSs, or the threat of their being delisted or prohibited from trading, may materially and adversely affect the value of your investment. For more details, see “Item 3. Key Information—D. Risk Factors—Risks Related to Doing Business in China—Our ADSs may be prohibited from trading in the United States under the HFCAA in the future if the PCAOB is unable to inspect or investigate completely auditors located in China. The delisting or prohibition of trading of the ADSs, or the threat of their being delisted or prohibited from trading, may materially and adversely affect the value of your investment.”</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Related to Our ADSs and Class A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risks described above, we are subject to risks related to our ADSs and Class A ordinary shares: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 different practices as to certain matters as compared with many other companies listed on the Hong Kong Stock Exchange;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change the listing venue of our securities, you may lose the shareholder protection mechanisms afforded under the regulatory regimes of the applicable securities exchange;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prices of our listed securities have been and are likely to continue to be, volatile, which could result in substantial losses to investors;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or industry analysts do not publish research or reports about our business, or if they adversely change their recommendations regarding our Class A ordinary shares and/or ADSs, the market price for our Class A ordinary shares and/or ADSs and trading volume could decline;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dual-class voting structure will limit the holders of our Class A ordinary shares and ADSs to influence corporate matters, provide certain shareholders of ours with substantial influence and could discourage others from pursuing any change of control transactions that holders of our Class A ordinary shares and ADSs may view as beneficial.</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Business and Industry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automotive market is highly competitive, and we face significant challenges in competing in our industry.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automotive market, particularly the market in China, is highly competitive. Our vehicles compete with both NEV and ICE vehicles, especially those targeting the mid- to high-end segment. Many of our current and potential competitors have significantly greater financial, technical, engineering, manufacturing, marketing and other resources than we do, and may be able to devote greater resources to the design, development, manufacturing, promotion, sale and support of their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we expect competition in the China automotive market to intensify in light of increased product supply, intense price competition, reduced government subsidies, continuing globalization, and industry consolidation. Increased competition will place greater demand on, among others, product design and performance, technological innovation, pricing, product quality and safety, manufacturing efficiency, sales and marketing capabilities, service and charging options, and user satisfaction. Increasing competition may also lead to lower vehicle unit sales and increasing inventory, which may result in downward price pressure and may adversely affect our business, financial condition, results of operations, and prospects.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our competitive advantage as a leading and early-moving EV company will be compromised if our competitors achieve higher production and sales volumes, offer more favorable pricing, or introduce new products at a faster pace than we do. If our competitors introduce new vehicles or services that successfully compete with or surpass the quality or performance of our vehicles or services at more competitive prices, we may be unable to satisfy existing customers or attract new customers at the price levels that would allow us to generate attractive rates of return on our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also be affected by the volatility of the overall China automotive market. Fluctuations in the growth rate of passenger vehicle sales and/or EV sales in China and shifting consumer demands for EVs in China could adversely affect our business, results of operations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successfully compete in our industry is fundamental to our future success in existing and new markets and in growing our market share. There can be no assurance that we will be able to compete successfully in our markets. You should consider our business and prospects in light of the risks and challenges we face in our industry, including, among other things, with respect to our ability to:</w:t>
      </w:r>
    </w:p>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design</w:t>
            </w:r>
            <w:r>
              <w:rPr>
                <w:caps w:val="false"/>
                <w:smallCaps w:val="false"/>
              </w:rPr>
              <w:t xml:space="preserve"> </w:t>
            </w:r>
            <w:r>
              <w:rPr>
                <w:rFonts w:ascii="Times New Roman;Times;serif" w:hAnsi="Times New Roman;Times;serif"/>
                <w:b w:val="false"/>
                <w:i w:val="false"/>
                <w:caps w:val="false"/>
                <w:smallCaps w:val="false"/>
                <w:sz w:val="20"/>
              </w:rPr>
              <w:t>and produce safe, reliable and quality vehicles on an ongoing basis;</w:t>
            </w:r>
          </w:p>
        </w:tc>
      </w:tr>
    </w:tbl>
    <w:tbl>
      <w:tblPr>
        <w:tblW w:w="4191" w:type="dxa"/>
        <w:jc w:val="left"/>
        <w:tblInd w:w="0" w:type="dxa"/>
        <w:tblLayout w:type="fixed"/>
        <w:tblCellMar>
          <w:top w:w="28" w:type="dxa"/>
          <w:left w:w="28" w:type="dxa"/>
          <w:bottom w:w="28" w:type="dxa"/>
          <w:right w:w="28" w:type="dxa"/>
        </w:tblCellMar>
      </w:tblPr>
      <w:tblGrid>
        <w:gridCol w:w="124"/>
        <w:gridCol w:w="256"/>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1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build</w:t>
            </w:r>
            <w:r>
              <w:rPr>
                <w:caps w:val="false"/>
                <w:smallCaps w:val="false"/>
              </w:rPr>
              <w:t xml:space="preserve"> </w:t>
            </w:r>
            <w:r>
              <w:rPr>
                <w:rFonts w:ascii="Times New Roman;Times;serif" w:hAnsi="Times New Roman;Times;serif"/>
                <w:b w:val="false"/>
                <w:i w:val="false"/>
                <w:caps w:val="false"/>
                <w:smallCaps w:val="false"/>
                <w:sz w:val="20"/>
              </w:rPr>
              <w:t>a well-recognized and respected brand;</w:t>
            </w:r>
          </w:p>
        </w:tc>
      </w:tr>
    </w:tbl>
    <w:tbl>
      <w:tblPr>
        <w:tblW w:w="3816" w:type="dxa"/>
        <w:jc w:val="left"/>
        <w:tblInd w:w="0" w:type="dxa"/>
        <w:tblLayout w:type="fixed"/>
        <w:tblCellMar>
          <w:top w:w="28" w:type="dxa"/>
          <w:left w:w="28" w:type="dxa"/>
          <w:bottom w:w="28" w:type="dxa"/>
          <w:right w:w="28" w:type="dxa"/>
        </w:tblCellMar>
      </w:tblPr>
      <w:tblGrid>
        <w:gridCol w:w="124"/>
        <w:gridCol w:w="25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3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establish</w:t>
            </w:r>
            <w:r>
              <w:rPr>
                <w:caps w:val="false"/>
                <w:smallCaps w:val="false"/>
              </w:rPr>
              <w:t xml:space="preserve"> </w:t>
            </w:r>
            <w:r>
              <w:rPr>
                <w:rFonts w:ascii="Times New Roman;Times;serif" w:hAnsi="Times New Roman;Times;serif"/>
                <w:b w:val="false"/>
                <w:i w:val="false"/>
                <w:caps w:val="false"/>
                <w:smallCaps w:val="false"/>
                <w:sz w:val="20"/>
              </w:rPr>
              <w:t>and expand our customer base;</w:t>
            </w:r>
          </w:p>
        </w:tc>
      </w:tr>
    </w:tbl>
    <w:tbl>
      <w:tblPr>
        <w:tblW w:w="4266" w:type="dxa"/>
        <w:jc w:val="left"/>
        <w:tblInd w:w="0" w:type="dxa"/>
        <w:tblLayout w:type="fixed"/>
        <w:tblCellMar>
          <w:top w:w="28" w:type="dxa"/>
          <w:left w:w="28" w:type="dxa"/>
          <w:bottom w:w="28" w:type="dxa"/>
          <w:right w:w="28" w:type="dxa"/>
        </w:tblCellMar>
      </w:tblPr>
      <w:tblGrid>
        <w:gridCol w:w="124"/>
        <w:gridCol w:w="256"/>
        <w:gridCol w:w="3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8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successfully</w:t>
            </w:r>
            <w:r>
              <w:rPr>
                <w:caps w:val="false"/>
                <w:smallCaps w:val="false"/>
              </w:rPr>
              <w:t xml:space="preserve"> </w:t>
            </w:r>
            <w:r>
              <w:rPr>
                <w:rFonts w:ascii="Times New Roman;Times;serif" w:hAnsi="Times New Roman;Times;serif"/>
                <w:b w:val="false"/>
                <w:i w:val="false"/>
                <w:caps w:val="false"/>
                <w:smallCaps w:val="false"/>
                <w:sz w:val="20"/>
              </w:rPr>
              <w:t>market our vehicles and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competitively</w:t>
            </w:r>
            <w:r>
              <w:rPr>
                <w:caps w:val="false"/>
                <w:smallCaps w:val="false"/>
              </w:rPr>
              <w:t xml:space="preserve"> </w:t>
            </w:r>
            <w:r>
              <w:rPr>
                <w:rFonts w:ascii="Times New Roman;Times;serif" w:hAnsi="Times New Roman;Times;serif"/>
                <w:b w:val="false"/>
                <w:i w:val="false"/>
                <w:caps w:val="false"/>
                <w:smallCaps w:val="false"/>
                <w:sz w:val="20"/>
              </w:rPr>
              <w:t>price our products and services, and successfully anticipate the sales volume of our vehicle products and the take-rate of services provided to users;</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improve</w:t>
            </w:r>
            <w:r>
              <w:rPr>
                <w:caps w:val="false"/>
                <w:smallCaps w:val="false"/>
              </w:rPr>
              <w:t xml:space="preserve"> </w:t>
            </w:r>
            <w:r>
              <w:rPr>
                <w:rFonts w:ascii="Times New Roman;Times;serif" w:hAnsi="Times New Roman;Times;serif"/>
                <w:b w:val="false"/>
                <w:i w:val="false"/>
                <w:caps w:val="false"/>
                <w:smallCaps w:val="false"/>
                <w:sz w:val="20"/>
              </w:rPr>
              <w:t>and maintain our operational efficiency;</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maintain</w:t>
            </w:r>
            <w:r>
              <w:rPr>
                <w:caps w:val="false"/>
                <w:smallCaps w:val="false"/>
              </w:rPr>
              <w:t xml:space="preserve"> </w:t>
            </w:r>
            <w:r>
              <w:rPr>
                <w:rFonts w:ascii="Times New Roman;Times;serif" w:hAnsi="Times New Roman;Times;serif"/>
                <w:b w:val="false"/>
                <w:i w:val="false"/>
                <w:caps w:val="false"/>
                <w:smallCaps w:val="false"/>
                <w:sz w:val="20"/>
              </w:rPr>
              <w:t>a reliable, secure, high-performance and scalable technology infrastructure;</w:t>
            </w:r>
          </w:p>
        </w:tc>
      </w:tr>
    </w:tbl>
    <w:tbl>
      <w:tblPr>
        <w:tblW w:w="5061" w:type="dxa"/>
        <w:jc w:val="left"/>
        <w:tblInd w:w="0" w:type="dxa"/>
        <w:tblLayout w:type="fixed"/>
        <w:tblCellMar>
          <w:top w:w="28" w:type="dxa"/>
          <w:left w:w="28" w:type="dxa"/>
          <w:bottom w:w="28" w:type="dxa"/>
          <w:right w:w="28" w:type="dxa"/>
        </w:tblCellMar>
      </w:tblPr>
      <w:tblGrid>
        <w:gridCol w:w="124"/>
        <w:gridCol w:w="256"/>
        <w:gridCol w:w="4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8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successfully</w:t>
            </w:r>
            <w:r>
              <w:rPr>
                <w:caps w:val="false"/>
                <w:smallCaps w:val="false"/>
              </w:rPr>
              <w:t xml:space="preserve"> </w:t>
            </w:r>
            <w:r>
              <w:rPr>
                <w:rFonts w:ascii="Times New Roman;Times;serif" w:hAnsi="Times New Roman;Times;serif"/>
                <w:b w:val="false"/>
                <w:i w:val="false"/>
                <w:caps w:val="false"/>
                <w:smallCaps w:val="false"/>
                <w:sz w:val="20"/>
              </w:rPr>
              <w:t>develop and protect our core technologies;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retain and motivate talented employees;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anticipate and adapt to changing market conditions, including technological developments and changes in competitive landscape; and</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navigate</w:t>
            </w:r>
            <w:r>
              <w:rPr>
                <w:caps w:val="false"/>
                <w:smallCaps w:val="false"/>
              </w:rPr>
              <w:t xml:space="preserve"> </w:t>
            </w:r>
            <w:r>
              <w:rPr>
                <w:rFonts w:ascii="Times New Roman;Times;serif" w:hAnsi="Times New Roman;Times;serif"/>
                <w:b w:val="false"/>
                <w:i w:val="false"/>
                <w:caps w:val="false"/>
                <w:smallCaps w:val="false"/>
                <w:sz w:val="20"/>
              </w:rPr>
              <w:t>an evolving and complex regulatory environment.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fail to address any or all of these risks and challenges, our business may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our vehicles are highly technical products that will require maintenance and support. If we were to cease or cut back operations, even years from now, buyers of our vehicles from years earlier might encounter difficulties in maintaining their vehicles and obtaining satisfactory support. We believe that user confidence in our ability to provide our power solutions and assisted and intelligent driving functions and honor our obligations under our service package over a long period of time is one of the key factors in marketing our vehicles. As a result, consumers will be less likely to purchase our vehicles now if they are not convinced that our business will succeed or that our operations will continue for many years. Similarly, suppliers and other third parties will be less likely to invest time and resources in developing business relationships with us if they are not convinced that our business will succeed.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ability to develop and manufacture vehicles of sufficient quality and appeal to customers on schedule and on a large scale is still evolving.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future business depends in large part on our ability to execute on our plans to develop, manufacture, market and sell our electric vehicles. We plan to manufacture our vehicles in higher volumes than our present production capabilities.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continued development and manufacturing of our current and future vehicle models are and will be subject to risks, including with respect to:</w:t>
      </w:r>
    </w:p>
    <w:tbl>
      <w:tblPr>
        <w:tblW w:w="3726" w:type="dxa"/>
        <w:jc w:val="left"/>
        <w:tblInd w:w="0" w:type="dxa"/>
        <w:tblLayout w:type="fixed"/>
        <w:tblCellMar>
          <w:top w:w="28" w:type="dxa"/>
          <w:left w:w="28" w:type="dxa"/>
          <w:bottom w:w="28" w:type="dxa"/>
          <w:right w:w="28" w:type="dxa"/>
        </w:tblCellMar>
      </w:tblPr>
      <w:tblGrid>
        <w:gridCol w:w="124"/>
        <w:gridCol w:w="256"/>
        <w:gridCol w:w="3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secure necessary funding;</w:t>
            </w:r>
          </w:p>
        </w:tc>
      </w:tr>
    </w:tbl>
    <w:tbl>
      <w:tblPr>
        <w:tblW w:w="9141" w:type="dxa"/>
        <w:jc w:val="left"/>
        <w:tblInd w:w="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equipment we use being able to accurately manufacture the vehicle within specified design tolerances;</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environmental, workplace safety and similar regulations;</w:t>
            </w:r>
          </w:p>
        </w:tc>
      </w:tr>
    </w:tbl>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securing necessary components on acceptable terms and in a timely manner;</w:t>
            </w:r>
          </w:p>
        </w:tc>
      </w:tr>
    </w:tbl>
    <w:tbl>
      <w:tblPr>
        <w:tblW w:w="4131" w:type="dxa"/>
        <w:jc w:val="left"/>
        <w:tblInd w:w="0" w:type="dxa"/>
        <w:tblLayout w:type="fixed"/>
        <w:tblCellMar>
          <w:top w:w="28" w:type="dxa"/>
          <w:left w:w="28" w:type="dxa"/>
          <w:bottom w:w="28" w:type="dxa"/>
          <w:right w:w="28" w:type="dxa"/>
        </w:tblCellMar>
      </w:tblPr>
      <w:tblGrid>
        <w:gridCol w:w="124"/>
        <w:gridCol w:w="256"/>
        <w:gridCol w:w="3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accurately assess user demand;</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timely manufacture vehicles and expand production capacity;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delivery of final component designs to our suppliers, or delays in the development and delivery of our core technologies and new vehicle models;</w:t>
            </w:r>
          </w:p>
        </w:tc>
      </w:tr>
    </w:tbl>
    <w:tbl>
      <w:tblPr>
        <w:tblW w:w="5511" w:type="dxa"/>
        <w:jc w:val="left"/>
        <w:tblInd w:w="0" w:type="dxa"/>
        <w:tblLayout w:type="fixed"/>
        <w:tblCellMar>
          <w:top w:w="28" w:type="dxa"/>
          <w:left w:w="28" w:type="dxa"/>
          <w:bottom w:w="28" w:type="dxa"/>
          <w:right w:w="28" w:type="dxa"/>
        </w:tblCellMar>
      </w:tblPr>
      <w:tblGrid>
        <w:gridCol w:w="124"/>
        <w:gridCol w:w="256"/>
        <w:gridCol w:w="5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recruit, hire and train skilled employees;</w:t>
            </w:r>
          </w:p>
        </w:tc>
      </w:tr>
    </w:tbl>
    <w:tbl>
      <w:tblPr>
        <w:tblW w:w="1881" w:type="dxa"/>
        <w:jc w:val="left"/>
        <w:tblInd w:w="0" w:type="dxa"/>
        <w:tblLayout w:type="fixed"/>
        <w:tblCellMar>
          <w:top w:w="28" w:type="dxa"/>
          <w:left w:w="28" w:type="dxa"/>
          <w:bottom w:w="28" w:type="dxa"/>
          <w:right w:w="28" w:type="dxa"/>
        </w:tblCellMar>
      </w:tblPr>
      <w:tblGrid>
        <w:gridCol w:w="124"/>
        <w:gridCol w:w="256"/>
        <w:gridCol w:w="1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quality controls;</w:t>
            </w:r>
          </w:p>
        </w:tc>
      </w:tr>
    </w:tbl>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or disruptions in our supply chain;</w:t>
            </w:r>
          </w:p>
        </w:tc>
      </w:tr>
    </w:tbl>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solid partnership with our suppliers; and</w:t>
            </w:r>
          </w:p>
        </w:tc>
      </w:tr>
    </w:tbl>
    <w:tbl>
      <w:tblPr>
        <w:tblW w:w="5091" w:type="dxa"/>
        <w:jc w:val="left"/>
        <w:tblInd w:w="0" w:type="dxa"/>
        <w:tblLayout w:type="fixed"/>
        <w:tblCellMar>
          <w:top w:w="28" w:type="dxa"/>
          <w:left w:w="28" w:type="dxa"/>
          <w:bottom w:w="28" w:type="dxa"/>
          <w:right w:w="28" w:type="dxa"/>
        </w:tblCellMar>
      </w:tblPr>
      <w:tblGrid>
        <w:gridCol w:w="124"/>
        <w:gridCol w:w="256"/>
        <w:gridCol w:w="4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control costs and prevent budget overruns.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Historically, automobile customers have expected auto companies to periodically introduce new and improved vehicle models. However, we have limited experience designing, testing, manufacturing, marketing and selling our electric vehicles and therefore cannot assure you that we will be able to introduce new or improved vehicle models at a pace that meets customer expectations. Nor can we guarantee that the vehicle models we roll out from time to time will achieve market success. If our new vehicle models or upgraded versions of existing vehicle models are not well received by customers, our brand image and business performance may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 foregoing could have a material adverse effect on our results of operations and growth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not been profitable, and only generated positive cash flows from operations in certain periods.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been profitable since our inception, and only generated positive cash flows from operations in certain periods. We incurred net losses of RMB14,437.1 million, RMB20,719.8 million and RMB22,401.7 million (US$3,069.0 million) for the years ended December 31, 2022, 2023 and 2024, respectively. In addition, although we generated positive operating cash flows in 2021, we had negative operating cash flows of RMB3,866.0 million, RMB1,381.5 million and RMB7,849.2 million (US$1,075.3 million) in 2022, 2023 and 2024,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continue to record net losses and negative operating cash flows in the near future. We may not be able to fulfill our obligations in providing vehicles and services to our users in respect of advances from customers, the failure of which may negatively affect our cash flow position. If we fail to generate sufficient revenue from our operations, or if we fail to maintain sufficient cash and financing, we may not have sufficient cash flows to fund our business, operations and capital expenditure and our business and financial position will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made significant up-front investments in research and development, power network, sales and service network, manufacturing facilities as well as marketing activities to rapidly develop and expand our business. We expect to continue to invest significantly in these areas to further develop and expand our business, and these investments may not result in an increase in revenue or positive cash flow on a timely basis, or at all. For example, we are developing new products to cover broader market segments and various core technologies such as assisted and intelligent driving technologies. We cannot assure you that we will be able to successfully execute our strategies and compete successfully against existing or future competitors in these areas. Additionally, the electric vehicle industry is witnessing intense price competition as many players adopt aggressive pricing strategies to gain market share. We may need to adjust our pricing, which could lead to a direct contraction of our margin levels, and adversely affect our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can be no assurance that we will not experience liquidity problems in the future. We may not generate sufficient revenues, or we may incur substantial losses for a number of reasons, including lack of demand for our vehicles and services, increasing competition, challenging macro-economic environment, as well as other risks discussed herein, and we may incur unforeseen expenses, or encounter difficulties, complications and delays in generating revenue or achieving profitability. Moreover, our operation efficiency also has a significant impact on our ability to generate profits. Failure to continuously improve our operation efficiency may lead to a decline in our net revenues, income and profitability. If we are unable to achieve profitability, we may have to reduce the scale of our operations, which may impact our business growth and adversely affect our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face risks with respect to our capability to obtain sufficient external equity or debt financing. The electric vehicle industry that we operate in is highly capital-intensive, requiring significant capital for research and development, production capacity enhancement, and sales and service network expansion. Our financing efforts may be influenced by a number of factors, including general market conditions, regulatory uncertainties, and investor acceptance of our business plan. In particular, as we continue to advance our expansion into the international markets, we may be unsuccessful in new geographic markets as expected, which could raise concerns among investors and have a material adverse impact on our ability to obtain sufficient financing to support our further business development. If we are unable to obtain external financing in a timely manner on acceptable terms, we may fail to implement our business plans or encounter disruptions in our operating activities, and our business, financial condition and results of operations would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limited experience in independent manufacturing. Any delays in the manufacturing and launching of our products, or ramping up of our production capacity, could have a material adverse effect on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Currently, we manufacture our vehicles in the first advanced manufacturing base, or the F1 Plant, and the second advanced manufacturing base, or the F2 Plant. As we have limited experience independently operating these manufacturing bases, we are subject to risks of delays in the manufacture and commercial release of new vehicle models. We have been expanding our product portfolio to target a broader market with our future vehicles, and to the extent we need to delay the launch of our vehicles, our growth prospects could be adversely affected as we may fail to grow our market share. We expect to introduce new vehicle models under each of our NIO, ONVO and FIREFLY brands, which will require us to consistently enhance our production capacity. We cannot assure you that we will be able to ramp up our production and deliver the vehicle models at a pace that meets customer expectations. We also plan to periodically perform facelifts or refresh existing models, which could also be subject to delays. We may introduce in the future new or unique manufacturing processes and design features for our products. As we expand our vehicle offerings and global footprint, there is no guarantee that we will be able to successfully and timely introduce and scale such processes or features. Furthermore, we rely on third-party suppliers for the provision and development of many of the key components and materials used in our vehicles. To the extent our suppliers experience any delays in providing us with or developing necessary components, we could experience delays in delivering on our timelines.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our manufacturing model has transitioned from joint manufacturing to independent manufacturing, potentially introducing new risks. Such a shift poses additional challenges due to our limited experience in manufacturing independently. The intricacies of overseeing all aspects of production independently, such as managing the entire production line and supervising production personnel, may lead to unforeseen obstacles in maintaining efficiency and timeliness, and, ultimately, delays in product launch and delivery. Therefore, we may be required to invest in more time and resources to assure that vehicles manufactured at our own facilities comply with our quality standards and regulatory requirements. We have limited experience in managing our manufacturing workforce, and we may also face challenges in providing training to our production personnel. Additionally, we cannot assure you that we will be able to attract or retain qualified personnel or other highly skilled employees in a timely and cost-efficient manner. Any failure to effectively manage or provide adequate training to our manufacturing workforce and production personnel, as well as attract or retain qualified personnel, may result in delays in production, reduced efficiency, and potential quality issues.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we may need to expand or convert our existing manufacturing facilities in the future to ramp up the production of our current and future vehicle models. The expansion or conversion of our manufacturing facilities could experience delays or other difficulties, potentially affecting the timeline for increasing production capacity. Moreover, as we increase our production capacity and improve our operation efficiency, significant capital may also be required to maintain our property, plant and equipment, and such costs may exceed our current anticipations. There is substantial uncertainty about our ability to achieve these objectives. We cannot assure you that we will be able to complete the expansion or conversion of our manufacturing bases or ramp up our production capacity on schedule and within budget.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delay in production ramp-up of our current vehicle models, or in the development, manufacture, launch and production ramp-up of our future vehicle models, including in the build-out of the manufacturing facilities in China for these models or due to any other factors, or in refreshing or performing facelifts to existing models, could subject us to customer complaints and materially and adversely affect our reputation, demand for our vehicles, results of operations and growth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unavailability, reduction or elimination of government and economic incentives or governmental policies which are favorable for electric vehicles and domestically produced vehicles could have a material adverse effect on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growth has benefited significantly from the government subsidies, economic incentives and government policies that support the growth of new energy vehicles. Favorable government incentives and subsidies in China include one-time government subsidies, exemption from vehicle purchase tax, exemption from license plate restrictions in certain cities, preferential utility rates for charging facilities and more. Changes in government subsidies, economic incentives and government policies to support NEVs could adversely affect the results of our operations. For example, the Shanghai government has offered exemptions from license plate restrictions for new energy vehicles in recent years, most recently extending the exemption for NEVs until the end of 2025. If the Shanghai government stops offering such exemptions, our sales in Shanghai could be adversely affected. In addition, in recent years, local governments in China have been implementing incentives and subsidy policies for consumers in the NEV sector, such as NEV replacement subsidies. If these favorable government incentives and subsidies are scaled back in the future, it could potentially reduce consumers’ willingness to purchase NEVs, thereby negatively impacting our vehicle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Besides policies of local governments, China’s central government has adopted an NEV credit scheme that incentivizes original equipment manufacturers, or OEMs, to increase the production and sale of NEVs. On June 29, 2023, the Ministry of Industry and Information Technology, the Ministry of Finance, the Ministry of Commerce, the General Administration of Customs, and the State Administration for Market Regulation, jointly promulgated the Decision on Amending Measures for the Parallel Administration of the Average Fuel Consumption and New Energy Vehicle Credits of Passenger Vehicle Enterprises, which took effect on August 1, 2023. Under these measures, each of the vehicle manufacturers and vehicle importers above a certain scale is required to, among other things, maintain its new energy vehicles credits, or the NEV credits above zero, and NEV credits can be earned only by manufacturing or importing NEVs. Excess positive NEV credits, or the automotive regulatory credits, are tradable and may be sold to other enterprises through a credit trading scheme established by the Ministry of Industry and Information Technology. Negative NEV credits can be offset by purchasing NEV credits from other manufacturers or importers. We have earned positive NEV credits through manufacturing new energy vehicles and sold some of the credits to other vehicle manufacturers or importers. We generated revenue from the sale of these credits totaling RMB67.3 million, RMB10.6 million and RMB1.5 million (US$0.2 million) in 2022, 2023 and 2024, respectively. There is no guarantee that we will continue to earn a similar level or amount of credits going forward. Moreover, as the prices for NEV credits are subject to market demand, which affects the amount of credits generated by other vehicle manufacturers during a given period, we cannot assure you that we will continue to sell our credits at the current price or a higher price. Any changes in government policies to restrict or eliminate such credits trading could adversely affect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19, 2023, the Ministry of Industry and Information Technology, the Ministry of Finance and the State Taxation Administration jointly promulgated the Announcement on Continuing and Optimizing the Vehicle Purchase Tax Reduction and Exemption Policies for New Energy Vehicles. Pursuant to such announcement, the NEVs purchased from January 1, 2024 to December 31, 2025, shall be exempt from vehicle purchase tax, with the amount of tax exemption for each new energy passenger vehicle not exceeding RMB30,000, and the exemption from vehicle purchase tax on the NEVs purchased from January 1, 2026 to December 31, 2027, shall be reduced by half such that the amount does not exceeding RMB15,000. The reduction in vehicle purchase tax exemptions may negatively impact our sales performance.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China’s central government provides certain local governments with funds and subsidies to support the roll-out of charging infrastructure. See “Item 4. Information on the Company—B. Business Overview—Regulations—Favorable Government Policies Relating to New Energy Vehicles in the PRC.” These policies are subject to change and beyond our control. We cannot assure you that any changes would be favorable to our business. Furthermore, any reduction, elimination, delayed payment or discriminatory application of government subsidies and economic incentives because of policy changes, the reduced need for such subsidies and incentives due to the perceived success of electric vehicles, fiscal tightening or other factors may result in the diminished competitiveness of the alternative fuel vehicle industry generally or our electric vehicles in particular. In addition, as we seek to increase our revenues from vehicle sales, we may also experience an increase in accounts receivable relating to government subsidies. However, the collection of the government subsidies is subject to the appropriation arrangement and cadence of the governmental authority. Any uncertainty or delay in collection of the government subsidies may also have an adverse impact on our financial condition. For more details, please refer to “10. Other Non-current Assets” set forth in our consolidated financial statements included elsewhere in this annual report. Any of the foregoing could materially and adversely affect our business, results of operations, financial condition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current or future vehicles may not perform in line with customer expectations.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current or future vehicles may not perform in line with customers’ expectations. For example, our vehicles may not have the durability or longevity of other vehicles in the market, and may not be as easy and convenient to repair as other vehicles in the market. Any product defects or any other failure of our vehicles to perform as expected could harm our reputation and result in adverse publicity, lost revenue, delivery delays, product recalls, product liability claims, harm to our brand and reputation, and significant warranty and other expenses, and could have a material adverse impact on our business, financial condition, operating results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range of our vehicles on a single charge declines principally as a function of usage, time and charging patterns as well as other factors. For example, a customer’s use of his or her electric vehicle as well as the frequency with which he or she charges the battery can result in additional deterioration of the battery’s ability to hold a charge.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our vehicles may contain defects in design and manufacture that may cause them not to perform as expected or that may require repair. For example, we offer full-stack in-house developed assisted and intelligent driving features through NIO assisted and intelligent driving, or NAD, and ONVO Smart Driving or OSD. We cannot assure you that our technologies will ultimately perform in line with expectations.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vehicles use a substantial amount of software code to operate and software products are inherently complex and often contain defects and errors when first introduced. As a result, any malfunction of these software products could negatively affect our vehicle performance and lead to user dissatisfaction, potential complaints and product recalls. Any failure of our software products, issues with our systems, or cybersecurity incidents may adversely affect our business, results of operation and financial position.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we have performed extensive internal testing on our vehicles’ software and hardware systems, we have a limited frame of reference by which to evaluate the long-term performance of our systems and vehicles. There can be no assurance that we will be able to detect and fix any defects in the vehicles prior to their sale to consumers. If any of our vehicles fail to perform as expected, we may need to delay deliveries, initiate product recalls and provide servicing or updates under warranty at our expense, which could adversely affect our brand in our target markets and could adversely affect our business, prospects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face challenges in providing our power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our users with comprehensive power solutions. Our power solutions include home charger, which we refer to as Power Home; battery swapping, which we refer to as Power Swap; supercharging piles, which we refer to as Power Charger; destination charging piles, which we refer to as Destination Charger; and mobile charging, which we refer to as Power Mobile. In addition, we offer our users our One Click for Power valet service where we pick up, charge and then return the vehicle. For our vehicle models, we currently offer standard range battery, long range battery, and ultra-long range battery. We have experienced delays in delivering our power solutions in the past, and we cannot assure you that such delays will not occur again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intend to expand our charging and battery swapping network to better satisfy our users’ demand. We plan to develop our power network both independently and in cooperation with business partners. Such cooperative arrangements involve a variety of risks, including with respect to the negotiation of commercial terms, funding arrangements, and the timely construction of the charging piles and battery swapping stations. If we are unable to successfully expand the coverage of our power network at the intended pace, our business, results of operation and financial position could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very limited experience in the actual provision of our power solutions to users and providing these services is subject to challenges, including the challenges associated with sorting out the logistics of rolling out our network and teams in appropriate areas, inadequate capacity or over capacity of our services in certain areas, security risks or risk of damage to vehicles during One Click for Power valet services and the potential for lack of user acceptance of our services. In addition, although the Chinese government has supported the roll-out of a public charging network, the current number of charging infrastructures is generally considered to be insufficient. We also face uncertainties with regard to governmental support and public infrastructure as we roll out our power solutions, including whether we can obtain and maintain access to sufficient charging infrastructure, whether we can obtain any required permits and land use rights and complete any required filings, and whether the government support in this area may discontinue. Furthermore, we may be subject to illegal activities perpetrated against us and our power solutions, which may disrupt our operations and damage user confidence in our vehicles and service offerings, thereby negatively affect our business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given our limited experience in providing power solutions, there could be unanticipated challenges which may hinder our ability to provide our solutions or make the provision of our solutions costlier than anticipated. To the extent we are unable to meet user expectations or experience difficulties in providing our power solutions, our reputation and business may be materially and adversely affected.</w:t>
      </w:r>
    </w:p>
    <w:p>
      <w:pPr>
        <w:pStyle w:val="TextBody"/>
        <w:bidi w:val="0"/>
        <w:spacing w:before="0" w:after="240"/>
        <w:ind w:left="0" w:right="0" w:hanging="0"/>
        <w:jc w:val="both"/>
        <w:rPr>
          <w:rFonts w:ascii="Times New Roman;Times;serif" w:hAnsi="Times New Roman;Times;serif"/>
          <w:b/>
          <w:i/>
          <w:sz w:val="20"/>
        </w:rPr>
      </w:pPr>
      <w:bookmarkStart w:id="74" w:name="_Hlk162406025"/>
      <w:bookmarkEnd w:id="74"/>
      <w:r>
        <w:rPr>
          <w:rFonts w:ascii="Times New Roman;Times;serif" w:hAnsi="Times New Roman;Times;serif"/>
          <w:b/>
          <w:i/>
          <w:sz w:val="20"/>
        </w:rPr>
        <w:t>Our services may not be generally accepted by our users. If we are unable to provide satisfactory services for our users, our business and reputation may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aim to provide users with access to a full suite of services, including aftersales services, power solutions, assisted and intelligent driving functions and others. We are also expanding our service scope to meet our users’ evolving demands. For example, we facilitate used car transactions and auto financing arrangements, and offer vehicle subscription, battery upgrade and insurance brokerage to our users. These services are a part of our product and services package to users, and we cannot assure you that the services we provide will be profitable on their own. In addition, to the extent that some of our services are non-traditional for automakers, these service offerings subject us to new risks. We also seek to engage with our users on an ongoing basis using online and offline channels, which is non-traditional for automakers. We cannot assure you that our services or our efforts to engage with our users using both our online and offline channels will be successful, which could impact our revenues as well as our customer satisfaction and marketing.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servicing will partially be carried out through third parties which we certified. Although such servicing partners may have experience in servicing other vehicles, we and such partners have very limited experience in servicing our vehicles. Servicing electric vehicles is different from servicing ICE vehicles and requires specialized skills, including high voltage training and servicing techniques. There can be no assurance that our service arrangements will adequately address the service requirements of our users to their satisfaction, or that we and our partners will have sufficient resources to meet these service requirements in a timely manner as the volume of vehicles we deliver increases.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if we are unable to roll out and establish a widespread service network, user satisfaction could be adversely affected, which in turn could materially and adversely affect our sales, results of operations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dependent on our suppliers, many of whom are our single source suppliers for the components they supply.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of our vehicle models uses a great amount of purchased parts from suppliers, many of whom are currently our single source suppliers for these components, and we expect that this will be similar for any future vehicle we may produce. The supply chain exposes us to multiple potential sources of delivery failure or component shortages. While we obtain components from multiple sources whenever possible, similar to other players in our industry, many of the components used in our vehicles are components we purchased from a single source. To date, we have not qualified alternative sources for most of the single sourced components used in our vehicles and we do not maintain long-term agreements with some of our single source suppliers. In addition, part of our supply chain is geographically concentrated. The lack of geographic diversification in our suppliers could lead to increased costs and delays in production of our vehicles. Furthermore, our collaboration with startup suppliers poses a potential risk to our operations. These suppliers may lack the experience and resources to effectively manage their supply chains, leading to potential disruptions in the delivery of goods or services to us. In addition, operational inefficiencies within these suppliers may lead to inconsistencies in product or service quality, thereby affecting our own ability to deliver high-quality products or services to our customers. Some of these suppliers may have limited financial resources and rely on external financing to sustain their operations. If they experience financial constraints or fail to sustain their operations, it could impact their ability to meet our requirements, potentially causing delays or disruptions in our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disruption in the supply of components, whether or not from a single source supplier, could temporarily disrupt the production of our vehicles until an alternative supplier is fully qualified or is otherwise able to supply us with the required material. Qualifying alternative suppliers or developing our own replacements for certain highly customized components of our vehicles may be time-consuming and costly. There can be no assurance that we would be able to successfully retain alternative suppliers or supplies on a timely basis, on acceptable terms or at all. In addition, to the extent that we need to find alternative suppliers under time constraints, the alternative suppliers may not fully meet our requirements with respect to delivery speed, quantity or quality, thereby adversely affecting our business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Changes in business conditions, force majeure and other factors beyond our control or which we do not presently anticipate, could also affect our suppliers’ ability to deliver components to us on a timely basis. For example, the global supply constraint of semiconductor chips had negatively impacted our production activity and volume, as a result of which, we temporarily suspended the vehicle production activity in the F1 Plant for five working days starting from March 29, 2021. In May 2021, our vehicle delivery was adversely impacted for several days due to the volatility of semiconductor supply and certain logistical adjustments. In April 2022, we suspended our vehicle production as a result of the component shortages. In July 2022, the production of our ET7 and EC6 was constrained by the short supply of casting parts. Although the reduced production volume and number of vehicles delivered as a result of supply chain volatilities have not had a material impact on our liquidity and capital resources, our results of operations in these periods have been negatively affected. See “Item 3. Key Information—D. Risk Factors—Risks Related to Our Business and Industry—Our business, financial condition and results of operations may be adversely affected by natural disasters, health epidemics and other outbreaks.” While we have been working closely with supply chain partners and have been actively seeking alternative sources of supply, our production activity and results of operations may be impacted should the supply chain volatilities continue. In addition, even if we succeed in locating alternative sources of supply, cooperating with new suppliers will subject us to uncertainties with respect to the reliability of these suppliers and the quality of the components they provide. We cannot assure you that the new sources of component supply will enable us to meet the quality, price, design, engineering, and production standards, as well as the production volumes to satisfy the market demand for our vehicles. Any defects of or quality issues with these components or any non-compliance incidents associated with these third-party suppliers could result in quality issues with our vehicles and hence compromise our brand image and results of operations. Any of the foregoing could materially and adversely affect our results of operations, financial condition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Battery Asset Company to provide Battery as a Service to our users. If Battery Asset Company fails to achieve smooth and stable operations, our Battery as a Service may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20, 2020, we introduced the Battery as a Service, or BaaS, which allows users to purchase electric vehicles and subscribe for the usage of batteries separately. If users opt to purchase a vehicle and subscribe for the battery under the BaaS, they can enjoy a deduction off the original vehicle purchase price and pay a monthly subscription fee for the battery.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each user under the BaaS model, we sell a battery to Wuhan Weineng Battery Asset Co., Ltd., or the Battery Asset Company, and the user subscribes for the usage of the battery from the Battery Asset Company. The service we provide to our users under the BaaS relies, in part, on the smooth operation of and stability and quality of service delivered by the Battery Asset Company, which we cannot guarantee. We invested in the Battery Asset Company with CATL, Hubei Science Technology Investment Group Co., Ltd. and a subsidiary of Guotai Junan International Holdings Limited, which we refer to as the Initial BaaS Investors in this annual report. We and the Initial BaaS Investors each invested RMB200 million and held 25% equity interests in the Battery Asset Company at its establishment. In December 2020, April 2021, August 2021 and July 2022, respectively, the Battery Asset Company entered into agreements with new and existing investors for additional financing. We refer to the Initial BaaS Investors together with the other investors of the Battery Asset Company that subsequently joined as the Battery Asset Company Investors. As of the date of this annual report, we beneficially own approximately 19.4% of the equity interests in the Battery Asset Company. As a result, we have significant influence, but not control, over the business operations of the Battery Asset Company. If it fails in delivering smooth and stable operations, we will suffer from negative customer reviews and even returns of products or services and our reputation may be materially and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given that we generate a portion of our total revenues from sales of battery and provision of service to the Battery Asset Company, our results of operations and financial performance will be negatively affected if the Battery Asset Company fails to operate smoothly. The Battery Asset Company may finance the purchase of batteries through issuance of equity and debt or bank borrowing. If the Battery Asset Company is unable to obtain future financings from the Battery Asset Company Investors or other third parties to meet its operational needs, it may not be able to make payments to us for the batteries purchased from us on time, to continue purchasing batteries from us and providing them to our users through battery subscription, or to otherwise maintain its healthy and sustainable operations. On the other hand, if the Battery Asset Company bears a significant rate of customer default on its payment obligations, its results of operations and financial performance may be materially impacted, which will in turn reduce the value of our and the Battery Asset Company Investors’ investments in the Battery Asset Company. In addition, in furtherance of the BaaS, we agreed to provide a guarantee to the Battery Asset Company for the default in payment of monthly subscription fees from users, while the maximum amount of guarantee that can be claimed shall not be higher than the accumulated service fees we receive from the Battery Asset Company. As the BaaS user base is expanding, if an increased number of default occurs, our results of operations and financial performance will be negatively affected. As of December 31, 2024, the guarantee liability we provided to Battery Asset Company was immaterial.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Reservations for our vehicles are subject to cancellation.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Reservations for our vehicles are subject to cancellation by the customer until delivery of the vehicle. We have experienced cancellations in the past. While we require a deposit of less than 2.0% of the manufacturer’s suggested retail price, such deposit becomes non-refundable after a certain period of time upon which the reservation will be automatically confirmed. Notwithstanding the non-refundable deposit, our users may still cancel their reservations for many reasons outside of our control. The potentially long wait from the time a reservation is made until the time the vehicle is delivered could also impact user decisions on whether to ultimately make a purchase, due to potential changes in preferences, competitive developments and other factors. If we encounter delays in the delivery our current or future vehicle models, we believe that a significant number of reservations may be cancelled. As a result, no assurance can be made that reservations will not be cancelled and will ultimately result in the final purchase, delivery, and sale of the vehicle. Such cancellations could harm our financial condition, business, prospects and operating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risks associated with assisted and intelligent driving technologies.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provide an enhanced advanced driver assistance system, or ADAS, and plan to offer higher levels of assisted and intelligent driving functionalities, and through our research and development, we continually update and improve our assisted and intelligent driving technologies.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Regulatory, safety and reliability issues, or the perception thereof, many of which are beyond our control, could cause the public, our users or our potential business partners to lose confidence in the assisted and intelligent driving solutions in general. The development of our assisted and intelligent driving technology is subject to applicable regulatory restrictions, which may change from time to time as a result of various factors and have an unfavorable effect on our business as well as our research and development. The safety of our assisted and intelligent driving technology depends in part on end users of vehicles equipped with ADAS and higher levels of assisted and intelligent driving systems, as well as other drivers, pedestrians, other obstacles on the roadways or other unforeseen events. For example, there have been traffic accidents involving vehicles equipped with ADAS, including our vehicles. Even though the actual causes of such traffic accidents may not be associated with the use of ADAS, they resulted in, and any future similar accidents could result in, significant negative publicity, and, in the future, could result in suspension or prohibition of vehicles equipped with ADAS and other assisted and intelligent driving systems, as well as regulatory investigations, recalls, systems or features modifications and related 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extent accidents associated with our ADAS and other assisted and intelligent driving systems (once launched) occur, we could be subject to liability, government scrutiny and further regulation. For example, our research and development activities related to ADAS are subject to regulatory restrictions on surveying and mapping, as well as driverless road testing. Any further tightening of regulatory restrictions could significantly impede our development of assisted and intelligent driving technologies. Any of the foregoing could materially and adversely affect our results of operations, financial condition and growth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face challenges in expanding our business and operations internationally and our ability to conduct business in international markets may be adversely affected by legal, regulatory, political and economic risks.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face challenges and risks associated with expanding our business and operations globally into new geographic markets and developing diversified sales channels and marketing strategies.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New geographic markets may have competitive conditions, user preferences, and discretionary spending patterns that are more difficult to predict or satisfy than our existing markets. Local companies may have a substantial competitive advantage because of their greater understanding of, and focus on, the local users, as well as their more established local brand names, requiring us to build brand awareness in that market through greater investments in advertising and promotional activity. In certain markets, we have relatively little operating experience and may not benefit from any first-to-market advantages or otherwise succeed. Therefore, we may also need to adapt our product and service offerings, adjust pricing strategies, and align with local economic conditions. Moreover, our expansion into international markets require us to respond timely and effectively to rapidly evolving market dynamics in the respective countries and regions. While we are committed to executing our global business strategy, we cannot guarantee that our product and service offerings will achieve the desired success in these new markets.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complement our direct sales model, we may need to implement new and diverse sales approaches and cooperate with business partners to facilitate our expansion in international markets, such as working with general distribution agencies and forming joint venture partnerships. The adoption of these models could have potential negative impacts on certain financial metrics. For example, we entered into the Middle East and North Africa region in 2024 and expect to work closely with our business partner to provide local users with our products and services. We also target to enter more overseas markets, which will expose us to a number of challenges relating to the selection of business partners, negotiations of commercial terms and adapting to local policies. In addition, an increased revenue contribution from our distributors and authorized agents may lead to increase in our trade receivables, which our distributors and authorized agents may not be able to settle in a timely manner, and any deterioration in the financial position and credit profile of our distributors and authorized agents could create challenges in collecting our trade receivables. Furthermore, international expansion typically requires substantial capital investment, which may strain our financial resources and adversely affect our current financial performance while increasing the complexity of our operational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we continue to expand the operations and sales of our smart electric vehicles in international markets, we may face operational issues that could have a material adverse effect on our reputation, business and results of operations, if we fail to address certain factors including, but not limited to, the following:</w:t>
      </w:r>
    </w:p>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lack of acceptance of our products and services, and challenges of localizing our offerings to appeal to local tastes;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capital required for entering into new geographical markets, including cost of promoting our current and future brands in the new markets, building sales and services networks and power infrastructures;</w:t>
            </w:r>
          </w:p>
        </w:tc>
      </w:tr>
    </w:tbl>
    <w:tbl>
      <w:tblPr>
        <w:tblW w:w="9276" w:type="dxa"/>
        <w:jc w:val="left"/>
        <w:tblInd w:w="0" w:type="dxa"/>
        <w:tblLayout w:type="fixed"/>
        <w:tblCellMar>
          <w:top w:w="28" w:type="dxa"/>
          <w:left w:w="28" w:type="dxa"/>
          <w:bottom w:w="28" w:type="dxa"/>
          <w:right w:w="28" w:type="dxa"/>
        </w:tblCellMar>
      </w:tblPr>
      <w:tblGrid>
        <w:gridCol w:w="124"/>
        <w:gridCol w:w="256"/>
        <w:gridCol w:w="8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obtain or maintain required permits and certifications for our products or services in these markets;</w:t>
            </w:r>
          </w:p>
        </w:tc>
      </w:tr>
    </w:tbl>
    <w:tbl>
      <w:tblPr>
        <w:tblW w:w="9936" w:type="dxa"/>
        <w:jc w:val="left"/>
        <w:tblInd w:w="0" w:type="dxa"/>
        <w:tblLayout w:type="fixed"/>
        <w:tblCellMar>
          <w:top w:w="28" w:type="dxa"/>
          <w:left w:w="28" w:type="dxa"/>
          <w:bottom w:w="28" w:type="dxa"/>
          <w:right w:w="28" w:type="dxa"/>
        </w:tblCellMar>
      </w:tblPr>
      <w:tblGrid>
        <w:gridCol w:w="124"/>
        <w:gridCol w:w="256"/>
        <w:gridCol w:w="9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conform our products to regulatory and safety requirements and charging and other electric infrastructures;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and cost relating to compliance with different commercial and legal requirements of the overseas markets in which we offer or plan to offer our products and services;</w:t>
            </w:r>
          </w:p>
        </w:tc>
      </w:tr>
    </w:tbl>
    <w:tbl>
      <w:tblPr>
        <w:tblW w:w="7731" w:type="dxa"/>
        <w:jc w:val="left"/>
        <w:tblInd w:w="0" w:type="dxa"/>
        <w:tblLayout w:type="fixed"/>
        <w:tblCellMar>
          <w:top w:w="28" w:type="dxa"/>
          <w:left w:w="28" w:type="dxa"/>
          <w:bottom w:w="28" w:type="dxa"/>
          <w:right w:w="28" w:type="dxa"/>
        </w:tblCellMar>
      </w:tblPr>
      <w:tblGrid>
        <w:gridCol w:w="124"/>
        <w:gridCol w:w="25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provide consistent high-quality customer service and support in these markets;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attract and retain capable personnel with international perspectives who can effectively manage and operate local businesses;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identifying appropriate local business partners and establishing and maintaining good working relationships with them;</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obtain, maintain or enforce our intellectual property rights;</w:t>
            </w:r>
          </w:p>
        </w:tc>
      </w:tr>
    </w:tbl>
    <w:tbl>
      <w:tblPr>
        <w:tblW w:w="8451" w:type="dxa"/>
        <w:jc w:val="left"/>
        <w:tblInd w:w="0" w:type="dxa"/>
        <w:tblLayout w:type="fixed"/>
        <w:tblCellMar>
          <w:top w:w="28" w:type="dxa"/>
          <w:left w:w="28" w:type="dxa"/>
          <w:bottom w:w="28" w:type="dxa"/>
          <w:right w:w="28" w:type="dxa"/>
        </w:tblCellMar>
      </w:tblPr>
      <w:tblGrid>
        <w:gridCol w:w="124"/>
        <w:gridCol w:w="256"/>
        <w:gridCol w:w="8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availability, reliability and security of international payment systems and logistics infrastructure;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challenges of maintaining efficient and consolidated internal systems, including technology infrastructure, and of achieving customization and integration of these systems with the other parts of our technology platform;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replicating or adapting our company policies and procedures to operating environments different from that of China;</w:t>
            </w:r>
          </w:p>
        </w:tc>
      </w:tr>
    </w:tbl>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develop appropriate risk management and internal control structures tailored to overseas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national security policies that restrict our ability to utilize technologies that are deemed by local governmental regulators to pose a threat to their national security; </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compliance with privacy laws and data security laws and compliance costs across different legal systems; </w:t>
            </w:r>
          </w:p>
        </w:tc>
      </w:tr>
    </w:tbl>
    <w:tbl>
      <w:tblPr>
        <w:tblW w:w="10071" w:type="dxa"/>
        <w:jc w:val="left"/>
        <w:tblInd w:w="0" w:type="dxa"/>
        <w:tblLayout w:type="fixed"/>
        <w:tblCellMar>
          <w:top w:w="28" w:type="dxa"/>
          <w:left w:w="28" w:type="dxa"/>
          <w:bottom w:w="28" w:type="dxa"/>
          <w:right w:w="28" w:type="dxa"/>
        </w:tblCellMar>
      </w:tblPr>
      <w:tblGrid>
        <w:gridCol w:w="124"/>
        <w:gridCol w:w="256"/>
        <w:gridCol w:w="9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heightened restrictions and barriers on the transfer of data and streamlined supply chain among different jurisdictions;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complex and potentially adverse customs, import/export laws, tax rules and regulations or other trade barriers or restrictions related compliance obligations and consequences of non-compliance, and any new developments in these areas;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the implementation of BaaS and other innovative business models in countries and regions outside of China;</w:t>
            </w:r>
          </w:p>
        </w:tc>
      </w:tr>
    </w:tbl>
    <w:tbl>
      <w:tblPr>
        <w:tblW w:w="3081" w:type="dxa"/>
        <w:jc w:val="left"/>
        <w:tblInd w:w="0" w:type="dxa"/>
        <w:tblLayout w:type="fixed"/>
        <w:tblCellMar>
          <w:top w:w="28" w:type="dxa"/>
          <w:left w:w="28" w:type="dxa"/>
          <w:bottom w:w="28" w:type="dxa"/>
          <w:right w:w="28" w:type="dxa"/>
        </w:tblCellMar>
      </w:tblPr>
      <w:tblGrid>
        <w:gridCol w:w="124"/>
        <w:gridCol w:w="256"/>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 fluctuations;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political instability and general economic or political conditions in particular countries or regions, including territorial or trade disputes, war and terrorism. </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our operations are subject to both PRC law and the laws of countries and jurisdictions in which we operate. Any violations of these laws by our overseas operations, associates, or agents could result in sanctions or penalties, potentially damaging our reputation, business operations, and financial results. We may also encounter protectionist measures that could impede our business strategies and place us at a competitive disadvantage compared to domestic companies. For example, starting from October 30, 2024, the European Commission imposed definitive countervailing duties on imports of battery electric vehicles (BEVs) from China for a period of five years.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success in international markets hinges on our ability to navigate diverse legal, regulatory, economic, environmental, social, and political landscapes, many aspects of which are beyond our direct control. In new geographical areas and jurisdictions, our business operations may face disruptions due to changes in local laws, regulations, and policies. Failure to manage these risks and challenges could negatively affect our ability to expand our business and operations overseas as well as materially and adversely affect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Rising international political tensions, including changes in U.S. and European international trade policies and other cross-border investment regulations, particularly with regard to China, may adversely impact our business and 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U.S. government has made statements and taken certain actions that may lead to changes in U.S. and international trade policies towards China. It remains unclear what additional actions, if any, will be taken by the U.S. or other governments with respect to international trade agreements, the imposition of tariffs on goods imported into the United States, tax policy related to international commerce, or other trade matters.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closely monitoring potential changes in international trade policy and assessing the potential impact of these and other trade policy changes on our business operations and financial performance. In February and March 2025, the U.S. administration imposed an additional 20 percent duty on Chinese imports. Subsequently, authorities in China announced tariffs over selected U.S. products and regulatory investigation against U.S. companies in response to the tariff imposed by the U.S. Furthermore, on April 2, 2025, President Trump announced that the United States would impose a 10% tariff on all countries, effective on April 5, 2025, and an individualized reciprocal higher tariff on countries with which the United States has the largest trade deficits, including a 34% additional reciprocal tariff on goods imported from China that brings the total tariff rate to 54%. On April 4, 2025, the Foreign Ministry of China announced that China would impose a retaliatory 34% tariff on goods imported from the United States starting on April 10, 2025. Any unfavorable government policies on international trade, such as capital controls or tariffs, may affect the demand for our products and services, impact the competitive position of our products or prevent us from selling products in certain countries. If any new tariffs, legislation and/or regulations are implemented, or if existing trade agreements are renegotiated or, in particular, if the U.S. government takes retaliatory trade actions due to the recent U.S.-China trade tension, such changes could have an adverse effect on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we have been closely monitoring policies in the United States designed to restrict certain Chinese companies from supplying or operating in the U.S. market. These policies include the Clean Network project initiated by the U.S. Department of State in August 2020, the Executive Order on Protecting America’s Sensitive Data from Foreign Adversaries published in June 2021, and new authorities granted to the Department of Commerce to prohibit or restrict the use of certain information and communications technology and services from Chinese companies. Utilizing these new authorities, in January 2025, the Department of Commerce Bureau of Industry and Security (BIS) announced a final rule prohibiting transactions involving the sale or import of connected vehicles when the integrated software has a sufficient nexus to China. Additionally, the U.S. Department of Defense has included dozens of prominent Chinese companies on its list of “Chinese military companies” (CMC) that are “operating directly or indirectly in the United States” in accordance with Section 1260H of the National Defense Authorization Act.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Likewise, we are monitoring policies in the United States aimed at restricting the export of items and technology subject to U.S. jurisdiction to Chinese companies. The United States and various foreign governments have imposed license requirements and restrictions on the export of technologies and products to China, or voiced the intention to do so. For instance, since 2022, the United States has imposed increasingly strict export control measures relating to exports of semiconductors to China. In October 2023, BIS promulgated two new rules that expanded export controls to cover a broader array of advanced semiconductors and semiconductor manufacturing equipment. Similarly, in January 2025, BIS released an interim final rule that established licensing requirements for the export of advanced computing integrated circuits that facilitate advanced artificial intelligence (AI) research and development, as well as certain AI model technology. These recent export controls are, in part, intended to restrict China’s ability to obtain advanced computing chips, develop and maintain supercomputers, and manufacture advanced semiconductors. These measures also restrict the ability of U.S. persons to provide “support” for semiconductor manufacturing and related activities in China and may seriously affect the ability of Chinese companies to purchase or obtain certain semiconductor manufacturing equipment or advanced chips. The implementation, interpretation and impact on our business of these rules and other regulatory actions taken by the U.S. government is uncertain. These actions and/or other actions that may be taken by the governments of either the U.S. or China, or both (including in response to recent increased tensions), could hinder our ability to transfer our U.S.-origin software to China, source U.S.-origin software and components or otherwise access U.S. technology, which could materially and adversely affect our business, results of operations and financial condition.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United States has also taken efforts to limit U.S. investment in China. On October 28, 2024, the U.S. Department of the Treasury issued a final rule to prohibit U.S. investment in Chinese companies active in developing certain national security technologies (Outbound Investment Rule). The Outbound Investment Rule targets investments involving persons and entities associated with “countries of concern,” a designation currently limited to China. In effect since January 2025, the Outbound Investment Rule imposes investment prohibitions and notification requirements on a range of investments in companies engaged in activities relating to three sectors: (i) semiconductors and microelectronics, (ii) quantum technologies, and (iii) artificial intelligence systems. Persons from countries of concern engaged in these activities are defined as “covered foreign persons.” Investments by U.S. persons subject to the Outbound Investment Rule include the acquisition of equity or a contingent equity interest, the provision of certain debt financing, the conversion of contingent equity interest into equity interest, involvement in a greenfield or brownfield investment, entrance into a joint venture, and the acquisition of a limited partner interest in non-U.S. pooled investment fund.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Importantly, the Outbound Investment Rule excludes some investments from the scope of covered transactions, including those in publicly traded securities listed on a national stock exchange. U.S. persons’ acquisitions of publicly traded securities, such as our ADSs, will therefore be exempted from the scope of covered transactions under the Outbound Investment Rule. But if we are deemed to be a covered foreign person engaged in the development of specified AI technologies and services, and therefore subject to the Outbound Investment Rule, our ability to raise capital or contingent equity capital from U.S. investors would be limited and could negatively affect our stock price. As a result, our financial condition, business, results of operations and prospects could also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21, 2025, the White House released the “America First Investment Policy” memorandum, or the Investment Policy, which outlined several initiatives to restrict investments involving China. While legislative and regulatory actions are required to effect these proposed changes, the Investment Policy may expand enforcement against inbound investment from China to the United States by potentially implementing broader, sector-based restriction on PRC investments in the U.S., expanding CFIUS’ jurisdiction over greenfield investment by Chinese companies, and replacing open-ended mitigation agreements with mitigation agreements prescribing specific timeframes and concrete actions. Additionally, the Investment Policy proposes to create restrictions on U.S. investments in China additional to those already imposed under the Outbound Investment Rule, by potentially expanding industry sectors covered in sectors by existing U.S. outbound investment regulations, supplementing outbound investment restrictions with sanctions, and directing a review to suspend or terminate the 1984 United States-The People’s Republic of China Income Tax Convention. As the Investment Policy and its related legislative and regulatory proposals are still relatively new, it is unclear how these policies, and any future policies concerning investments between the U.S. and China, will be interpreted, amended and implemented by U.S. government authorities. These policies may restrict our ability to implement our investment strategy and could adversely affect our business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response, China has implemented, and may further implement, measures in response to the changing trade policies, treaties, tariffs and sanctions and restrictions against Chinese companies initiated by the U.S. Moreover, our deployment of advanced core technologies in ADAS, whether developed internally or acquired from third parties, may exposes us to risks associated with sanctions imposed by the U.S. government.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also face protectionist policies that could, among other things, hinder our ability to execute our business strategies and put us at a competitive disadvantage relative to domestic companies. For example, starting from October 30, 2024, the European Commission imposed definitive countervailing duties on imports of battery electric vehicles (BEVs) from China for a period of five years. These and similar developments may mark a period of increased trade tensions and higher tariff rates.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potential changes in tax policies related to international commerce could also affect our business. For example, in 2021, the Organization for Economic Cooperation and Development announced an Inclusive Framework on Base Erosion and Profit Shifting including, Pillar Two Model Rules defining the global minimum tax, which calls for the taxation of large multinational corporations at a minimum rate of 15%. Subsequently, multiple sets of administrative guidance have been issued. Various tax jurisdictions have either enacted legislation to adopt certain components of the Pillar Two Model Rules starting in 2024 with additional components to be adopted in later years, or announced their plans to enact such legislation in future years. We will continue to evaluate the impact of such legislative initiatives in various tax jurisdictions in which we operate. However, there are uncertainties regarding the rules and implementations, and we cannot assure you that such changes will not have a negatively effect on our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Rising political tensions could reduce levels of trades, investments, technological exchanges, and other economic activities between the two major economies, which would have a material adverse effect on global economic conditions and the stability of global financial markets. Any of these factors could have a material adverse effect on our business, prospects,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face challenges in developing and operating our vehicle subscription business and leasing program, including theft of or damage to vehicles and operational difficulties with car leasing partners.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began to offer vehicle subscription offerings in European markets starting from October 2022, which requires significant capital. We may incur losses or otherwise fail to introduce the service successfully. For example, we may incur insufficient utilization rate of our fleets under the subscription offering and therefore only generate lower-than-expected revenue. We also face risks in connection with the expansion of our customer base in Europe through our subscription offering. For example, customers of our vehicle subscription may have a higher-than-expected rate of default due to macroeconomic factors or if we fail to correctly assess their creditworthiness, which would result in increased costs incurred by our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addition, we cooperate with partners in European market who engage in car leasing business. We sell vehicles to the car leasing partners who will then lease the cars purchased from us to the end customers. As such customers would use our vehicles and enjoy certain part of our services, such as using our apps and entering into NIO House, if our car leasing partners run into any operational difficulties, our users’ experience may be negatively affected, our brand name could be compromised.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Furthermore, given that our vehicles are typically stored in unroofed parking lots under the vehicle subscription offering, force majeure events such as flooding, fires or hail may affect a large number of our vehicles. This type of parking lot also has an increased risk of theft or vandalism. Such events may cause us to incur large, uninsured damages, deprive us of a significant portion of our inventory and reduce customer satisfaction if we cannot deliver subscribed vehicles. In addition, vehicles provided to customers under our vehicle subscription service may be stolen, damaged or destroyed before being returned to us. While we carry insurance for our vehicles, the insurance coverage may not be sufficient.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have a limited operating history in overseas markets and the business model of our service offerings overseas may continue to evolve, exposing us to new risks not discussed above. In addition, with the expansion of the subscription business and leasing programs in international markets in the future, any of the foregoing could have a material adverse effect on our business, financial condition, results of operations and prospects.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We are subject to the risk of a decrease in the residual value of used vehicles under our subscription offering.</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As the economic owner of the vehicles under the subscription offering, we are exposed to the risk that the market value of our existing vehicles could decrease after new vehicle models are released, which will reduce our asset value. We are also exposed to the risk that the market value of the vehicles returned at the end of the subscription term may be lower than the calculated residual value at the time the subscription contract was entered into, which may in turn increases the likelihood that the future subscription price for the returned vehicle turns out to be lower than expected. A decline in the value of used vehicles can be caused by a broad range of external factors affecting the vehicle market, including adverse changes in customer confidence and preferences, economic conditions, government policies, exchange rates, marketing programs, price pressure in the new vehicle, the actual or perceived safety or reliability of vehicles, the price of raw materials regained from recycling or scrapping, or technological developments.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Uncertainties may also exist regarding the internal methods for calculating residual values. Although we continually employ residual value models and monitor used vehicle prices, demand and supply trends and other factors to forecast residual values, the assumptions on which residual value assessments are based may prove to be incorrect. In addition, in the case that actual residual values, due to changes in market or regulatory conditions, turn out to be lower than the amounts calculated for our subscription pricing, provisions for residual value risk may be insufficient. Similarly, if the market value of the used cars decreases, we may have to record write-downs beyond its existing reserves for used vehicle inventory risk. Finally, a significant decrease in the value of used vehicles may create pricing pressure for our new car business if customers are not willing to pay significantly higher prices in monthly subscription payments as a consequence of decreased residual values.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As a result of the above factors, with the expansion of the subscription business in the future, if the market value of the used vehicles under our subscription service is significantly below our estimate, it may have a material adverse effect on our business, assets, results of operations, financial condition and prospects.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Our industry is rapidly evolving and may be subject to unforeseen changes. Developments in alternative technologies may materially and adversely affect the demand for our electric vehicles.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operate in the electric vehicle market, which is rapidly evolving and may not develop as we anticipate. We face unanticipated risks such as an increase in lithium prices, which may reduce the demand of battery electric vehicle and negatively impact on our business. Also, government policies and regulations have a significant impact on the development of the industry. As our industry and our business develop, we may need to modify our business model or change our services and solutions. These changes may not achieve expected results, which could have a material adverse effect on our results of operations and prospects.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Furthermore, we may be unable to keep up with changes in electric vehicle technology and, as a result, our competitiveness may suffer. Our research and development efforts may not be sufficient to adapt to changes in electric vehicle technology. As technologies change, we plan to upgrade or adapt our vehicles and introduce new models in order to provide vehicles with the latest technology, in particular digital technologies, which could involve substantial costs and lower our return on investment for existing vehicles. There can be no assurance that we will be able to compete effectively with alternative vehicles or source and integrate the latest technology into our vehicles, against the backdrop of our rapidly evolving industry. Even if we are able to keep pace with changes in technology and develop new models, our prior models could become obsolete more quickly than expected, potentially reducing our return on investment.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Developments in alternative technologies, such as advanced diesel, ethanol, fuel cells or compressed natural gas, or improvements in the fuel economy of the internal combustion engine, may materially and adversely affect our business and prospects in ways we do not currently anticipate. For example, fuel which is abundant and relatively inexpensive in China, such as compressed natural gas, may emerge as consumers’ preferred alternative to petroleum based propulsion. Any of our failure to successfully react to changes in existing technologies could materially harm our competitive position and growth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unable to adequately control the costs associated with our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required significant capital to develop and grow our business, including conducting research and development, manufacturing vehicles and enhancing production capacity, and establishing our power network and sales and service network. As our sales volume grows and our business rapidly develops, we expect to continue making significant investments in these areas. In addition, we may incur significant costs in connection with our services, including providing power solutions and honoring our commitments under our service package. Our ability to become profitable in the future will not only depend on our ability to successfully market our vehicles and other products and services but also to control our costs. If we are unable to cost efficiently design, manufacture, market and sell our vehicles and services, our margins, profitability and prospects will be materially and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could experience cost increases or disruptions in supply of raw materials or other components used in our vehicles.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incur significant costs related to procuring raw materials required to manufacture and assemble our vehicles. We use various raw materials in our vehicles including aluminum, steel, carbon fiber, non-ferrous metals such as copper, lithium, nickel as well as cobalt. The prices for these raw materials fluctuate depending on factors beyond our control, including market conditions and global demand for these materials, and could adversely affect our business and operating results. Our business also depends on the continued supply of batteries for our vehicles. Battery manufacturers may refuse to supply electric vehicle manufacturers to the extent they determine that the vehicles are not sufficiently safe. We are exposed to multiple risks relating to availability and pricing of quality lithium-ion battery cells. These risks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or unwillingness of current battery manufacturers to build or operate battery manufacturing plants to supply the numbers of lithium-ion cells required to support the growth of the electric or plug-in hybrid vehicle industry as demand for such cells increases;</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in the supply of cells due to quality issues or recalls by the battery manufacturers; and</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the cost of raw materials, such as lithium, nickel and cobalt, used in lithium-ion cells.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currency fluctuations, tariffs or shortages in petroleum and other economic or political conditions may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production capacity could result in shortages which would result in increased costs in raw materials to us or impact of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is subject to a variety of laws and regulations regarding cybersecurity, privacy, data protection and information security in China and elsewhere. Any failure to comply with these laws and regulations could subject us to significant adverse consequences.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face significant challenges with respect to cybersecurity, privacy, data protection and information security in China and other jurisdictions that we operate in, including the collection, storage, transmission and sharing of information. We use our vehicles’ electronic systems to log information about each vehicle’s use, such as charge time, battery usage, mileage and driving behavior, in order to aid us in vehicle diagnostics, repair and maintenance, as well as to help us optimize the driving and riding experience. Our users may object to the use of this data, which may hinder our capabilities in conducting our business. We also transmit and store certain confidential and private information of our vehicle buyers, including certain personal information such as names, accounts, user IDs and passwords, and payment or transaction related information. Collection, transmission, possession and use of our user’s data in conducting our business may subject us to legislative and regulatory burdens in China and other jurisdictions that could require notification of any data breach, restrict our use of such information and hinder our ability to acquire new customers or market to existing customers.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required by PRC law to ensure the confidentiality, integrity, availability and authenticity of the information of our customers, which is also essential to maintaining their confidence in our vehicles and services. We have adopted strict information security policies and deployed advanced measures to implement the policies, including, among others, advanced encryption technologies. However, advances in technology, an increased level of sophistication and diversity of our products and services, an increased level of expertise of hackers, new discoveries in the field of cryptography or others can still result in a compromise or breach of the measures that we use. If we are unable to protect our systems, and hence the information stored in our systems, from unauthorized access, use, disclosure, disruption, modification or destruction, such problems or security breaches could cause a loss, give rise to our liabilities to the owners of information or even subject us to fines and penalties. If users allege that we have improperly collected, used, transmitted, released or disclosed their personal information, we could face legal claims and reputational damage. In addition, we may incur significant expenses to comply with privacy, consumer protection and security standards and protocols imposed by laws, regulations, industry standards or contractual obligations, some of which may not be compatible with our existing business practice. If third parties improperly obtain and use the personal information of our users, we may be required to expend significant resources to resolve these problems. In December 2022, we were made aware that certain user information and vehicle sales information in China before August 2021 was for sale on the internet by third parties for illegal purposes. We followed the PRC legal requirements on data leakage incident settlement, and also issued a public statement in China related to the incident, including providing a dedicated hotline and an email address to respond to user queries regarding the data leakage. We have also undertaken the responsibilities for the loss that the users may incur, if any, in connection with the data leakage. As of the date of this annual report, we are not aware of significant issues related to the security of our electronic systems.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general, we expect that data security and data protection compliance will receive greater attention and focus from regulators, both domestically and globally, as well as attract continued or greater public scrutiny and attention going forward, which could increase our compliance costs and subject us to heightened risks and challenges associated with data security and protection. Significant capital and other resources may be required to protect against data security breaches or to alleviate problems caused by such breaches or to comply with our privacy policies or privacy-related legal obligations. The resources required may increase over time as the methods used by hackers and others engaged in online criminal activities are increasingly sophisticated and constantly evolving. Any of our failure or perceived failure to prevent data security breaches or to comply with privacy policies or privacy-related legal requirements, or any security breach that results in the unauthorized release or transfer of personally identifiable information or other customer data, could cause our customers to lose trust in us and could expose us to legal claims. Any perception by the public that online transactions or the privacy of user information are becoming increasingly unsafe or vulnerable to attacks could inhibit the growth of online retail and other online services generally, which may reduce the number of orders we receive.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regulatory and enforcement regime with regard to data security and data protection is evolving and may be subject to different interpretations or significant changes. Moreover, different PRC regulatory bodies, including the Standing Committee of the National People’s Congress of China, the Ministry of Industry and Information Technology, the CAC, the Ministry of Public Security, and the State Administration for Market Regulation have enforced a variety of laws and regulations regarding cybersecurity, privacy, data protection and information security with varying standards and applications in recent years, including, among others, the PRC National Security Law, the PRC Cyber Security Law, the PRC Personal Information Protection Law, the PRC Data Security Law, the Regulations on the Protection of the Security of Critical Information Infrastructure, the Cybersecurity Review Measures, the Several Provisions on Automobile Data Security Management (Trial Implementation), the Administration Measures on Data Security in the Field of Industry and Information Technology (Trial Implementation), the Measures for the Security Assessment of Data Exit, the Measures on the Standard Contract for Cross-border Transfer of Personal Information, the Provisions on Promoting and Regulating Cross-border Data Flows, the Implementing Rules for the Risk Assessment of Data Security in the Field of Industry and Information Technology (Trial Implementation) and the Regulation on Network Data Security Management. See “Item 4. Information on the Company—B. Business Overview—Regulations—Regulations on Internet Information Security and Privacy Protection.” The following are examples of certain recent PRC regulatory activities in this area: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Many of the data-related legislations are relatively new and certain concepts thereunder remain subject to interpretation by the regulators. Moreover, different PRC regulatory bodies have enforced data privacy and protections laws and regulations with varying standards and applications. In general, compliance with the existing PRC laws and regulations, as well as additional laws and regulations that PRC regulatory bodies may enact in the future, related to data security and personal information protection, may be costly and result in additional expenses to us, and subject us to negative publicity, which could harm our reputation and business operations. There are also uncertainties with respect to how such laws and regulations will be implemented and interpreted in practice. In particular, we are subject to the following significant data-related regulations: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Data Security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December 2021, the CAC, together with other authorities, jointly promulgated the Cybersecurity Review Measures, which took effect on February 15, 2022 and replaces its predecessor regulation. Pursuant to the Cybersecurity Review Measures, critical information infrastructure operators that procure internet products and services and network platform operators that conduct data process activities must be subject to the cybersecurity review if their activities affect or may affect national security. The Cybersecurity Review Measures further stipulates that network platform operators that hold personal information of over one million users shall apply with the Cybersecurity Review Office for a cybersecurity review before any public offering at a foreign stock exchange. PRC governmental authorities may also initiate cybersecurity review if they determine certain network products, services, or data processing activities affect or may affect national security. As of the date of this annual report, (i) no detailed rules or implementation rules have been officially published or released by any authority; (ii) the scope of “network products or services or data processing activities that will or may affect national security” and the scope of operators of “critical information infrastructure” remains unclear; and (iii) the PRC government authorities may have wide discretion in the interpretation and enforcement of the applicable laws. As of the date of this annual report, we have not been informed that we are a “critical information infrastructure operator” by any government authorities.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September 2024, the State Council promulgated the Regulation on Network Data Security Management, which took effect January 1, 2025. This regulation restates and further specifies the additional legal requirements for personal information, important data, cross-border data transfer, network platform services, and data security. Among others, this regulation requires that if the network data processing activities affects or may affect national security, such activities shall be subject to national security review in accordance with relevant laws and regulations. However, there have been no clarifications from the authorities as of the date of this annual report as to the standards for determining whether an activity is one that “affects or may affect national security.”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past, the PRC government has initiated cybersecurity reviews against a number of mobile applications operated by several US-listed Chinese companies and prohibited applications from registering new users during the review period. We expect that cybersecurity and data protection issues will receive greater and continued attention and scrutiny from regulators and the public going forward, which could increase our compliance costs and subject us to heightened risks and challenges associated with data security and protection, as well as negative publicity. If the Cybersecurity Review Measures and the Regulation on Network Data Security Management mandate clearance of cybersecurity review and other specific actions to be taken by overseas listed companies like us, we face uncertainties as to whether we can complete these additional procedures timely, or at all, which may subject us to government enforcement actions and investigations, fines, penalties, revocation of the required licenses, suspension of our non-compliant operations, or removal of our mobile application from the application stores, and materially and adversely affect our business and results of operations. As of the date of this annual report, we have not been involved in any formal investigations on cybersecurity review made by the CAC on such basis.</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Personal Information and Privacy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16, 2021, the CAC, the NDRC, the Ministry of Public Security, the Ministry of Industry and Information Technology and the Ministry of Transport jointly promulgated the Several Provisions on Automobile Data Security Management (Trial Implementation), which impose a series of additional personal information and data security protection obligations on automobile data processors like us, including, among other things, (i) in-car processing of automobile data in principle, (ii) enhanced notification and consent requirements, (iii) enhanced individual control over their automobile personal information, and (iv) submitting annual report for processing automobile important data. We may be required to make further adjustments to our business practices to comply with the personal information and data protection laws and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aforementioned PRC regulations, regulatory authorities in the U.S., Europe and elsewhere around the world have adopted or are considering a number of legislative and regulatory proposals concerning data protection. These legislative and regulatory proposals, if adopted, and the uncertain interpretations and application thereof could, in addition to the possibility of fines, result in an order requiring that we change our data practices and policies, which could have an adverse effect on our business and results of operations. For example, the European Union adopted the European Union General Data Protection Regulation, which took effect on May 25, 2018. This regulation includes operational requirements for companies that receive or process personal data of residents of the European Economic Area, and establishes new requirements applicable to the processing of personal data, affords new data protection rights to individuals and imposes penalties for serious data breaches. Individuals also have a right to compensation under this regulation for financial or non-financial losses. As we offer our products and services in European market, we are subject to provisions of this regulation.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depends significantly on our ability to build our brands. We may not succeed in continuing to establish, maintain and strengthen our brands.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and prospects are heavily dependent on our ability to develop, maintain and strengthen our brands. If we do not continue to establish, maintain and strengthen our brands, we may lose the opportunity to build a critical mass of customers. Promoting and positioning our brands will likely depend significantly on our ability to provide high quality vehicles and services, implement competitive marketing strategies, and engage with our customers as intended, and we have limited experience in these areas. In addition, we expect that our ability to develop, maintain and strengthen our brands will depend heavily on the success of our user development and branding efforts. Such efforts mainly include building a community of online and offline users engaged with us through our mobile application, expanding our physical stores, placing online advertisements as well as holding other branding initiatives such as our annual NIO Day and the launch events for our new products and innovative technologies. Moreover, we are also continuously expanding our branding channels, such as placing offline advertisements and hosting online live streams to increase our brand awareness. Such efforts may not achieve the desired results. To promote our brands, we may be required to change our user development and branding practices, which could result in substantially increased expenses, including the need to use traditional media, offline advertisements as well as other promotional methods. If we do not develop and maintain a strong brand image, our business, prospects, financial condition and operating results will be materially and adversely impacted.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we have adopted a multi-brand operating strategy, launching two new electric vehicle brands in 2024, positioned and priced in a manner that varies from our “NIO” brand and our current vehicle models. In May 2024, we launched our family-oriented smart electric vehicle brand, ONVO, as well as its first vehicle model, the L60, a smart electric mid-size family SUV. In December 2024, we unveiled our small smart high-end electric car brand, firefly, and debuted its vehicle model. The development of new brands within the electric vehicle market involves substantial risks related to market differentiation and consumer acceptance. Establishing a clear position and price range for these new brands in an already competitive landscape requires significant investment in product design and development, branding and marketing efforts. We also face the inherent uncertainty of consumer response to the new brands, which poses a risk to achieving the desired market penetration and sales volumes. Moreover, introducing new brands could cause potential dilution to the brand equity of our “NIO” brand and the diversion of our resources, leading to potential inefficiencies. Moreover, the vehicles under the new brands could potentially cannibalize sales from our vehicles under the NIO brand, adversely affecting our current market position and revenue streams. Furthermore, if any of our brands are poorly received by customers, the overall image of our company may be adversely affected, and the negative receptions may have spillover effects to our other brands. Any of the foregoing could materially and adversely affect our ability to grow our business and our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if incidents occur or are perceived to have occurred, whether or not such incidents are our fault, we could be subject to adverse publicity. In particular, given the popularity of social media, any negative publicity, whether true or not, could quickly proliferate and harm consumer perceptions and confidence in our brands. Furthermore, there is the risk of potential adverse publicity related to our business and other partners, whether or not such publicity related to their collaboration with us. Although we have transitioned to independent manufacturing, any product quality issues with vehicles that were historically jointly manufactured by our partners and us could adversely harm our brands and reputation.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from time to time, our vehicles are evaluated and reviewed by third-party media or review organizations. Any negative reviews or reviews which compare us unfavorably to competitors could adversely affect consumer perception about our vehicles.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depends substantially on the continuing efforts of our executive officers, key employees and qualified personnel, and our operations may be severely disrupted if we lose their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success depends substantially on the continued efforts of our executive officers and key employees. If one or more of our executive officers or key employees were unable or unwilling to continue their services with us, we might not be able to replace them easily, in a timely manner, or at all. As we build our brands and become more well-known, the risk that competitors or other companies may poach our talent increases. Our industry is characterized by high demand and intense competition for talent and therefore we cannot assure you that we will be able to attract or retain qualified staff or other highly skilled employees. In addition, because our electric vehicles are based on a different technology platform than traditional ICE vehicles, individuals with sufficient training in electric vehicles may not be available to hire, and we will need to expend significant time and expense training the employees we hire. We also require sufficient talent in areas such as assisted and intelligent driving, software development. Furthermore, as our company is relatively young, our ability to train and integrate new employees into our operations may not meet the growing demands of our business, which may materially and adversely affect our ability to grow our business and our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any of our executive officers and key employees terminates his or her services with us, our business may be severely disrupted, our financial condition and results of operations may be materially and adversely affected and we may incur additional expenses to recruit, train and retain qualified personnel. We have not obtained any “key person” insurance on our key personnel. If any of our executive officers or key employees joins a competitor or forms a competing company, we may lose customers, know-how and key professionals and staff members. To the extent permitted by laws, each of our executive officers and key employees has entered into an employment agreement and a non-compete agreement with us. However, if any dispute arises between our executive officers or key employees and us, the non-competition provisions contained in their non-compete agreements may not be enforceable, especially in China, where these executive officers reside, on the ground that we have not provided adequate compensation to them for their non-competition obligations, which is required under PRC laws.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future growth is dependent on the demand for, and upon consumers’ willingness to adopt, electric vehicles.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Demand for automobile sales depends to a large extent on economic, political and social conditions in a given market and the introduction of new vehicles and technologies. As our business grows, economic conditions and trends will impact our business, prospects and operating results as well.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Demand for our electric vehicles may also be affected by factors directly impacting automobile prices or the cost of purchasing and operating automobiles, such as sales and financing incentives, prices of raw materials and parts and components, cost of fuel and governmental regulations, including tariffs, import regulation and other taxes. Volatility in demand may lead to lower vehicle unit sales, which may result in further downward price pressure and adversely affect our business, prospects, financial condition and 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demand for our vehicles and services will highly depend upon the adoption by consumers of new energy vehicles in general and electric vehicles in particular. The market for new energy vehicles is still rapidly evolving, characterized by rapidly changing technologies, evolving government regulation and industry standards and changing consumer demands and behaviors.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factors that may influence the adoption of alternative fuel vehicles, and specifically electric vehicles,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perceptions about electric vehicle quality, safety, design, performance and cost, especially if adverse events or accidents occur that are linked to the quality or safety of electric vehicles, whether or not such vehicles are produced by us or other companies;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perceptions about vehicle safety in general, in particular safety issues that may be attributed to the use of advanced technology;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limited range over which electric vehicles may be driven on a single battery charge and the speed at which batteries can be recharged;</w:t>
            </w:r>
          </w:p>
        </w:tc>
      </w:tr>
    </w:tbl>
    <w:tbl>
      <w:tblPr>
        <w:tblW w:w="10146" w:type="dxa"/>
        <w:jc w:val="left"/>
        <w:tblInd w:w="0" w:type="dxa"/>
        <w:tblLayout w:type="fixed"/>
        <w:tblCellMar>
          <w:top w:w="28" w:type="dxa"/>
          <w:left w:w="28" w:type="dxa"/>
          <w:bottom w:w="28" w:type="dxa"/>
          <w:right w:w="28" w:type="dxa"/>
        </w:tblCellMar>
      </w:tblPr>
      <w:tblGrid>
        <w:gridCol w:w="124"/>
        <w:gridCol w:w="256"/>
        <w:gridCol w:w="9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decline of an electric vehicle’s range resulting from deterioration over time in the battery’s ability to hold a charge;</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concerns about electric grid capacity and reliability;</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new energy vehicles, including plug-in hybrid electric vehicles;</w:t>
            </w:r>
          </w:p>
        </w:tc>
      </w:tr>
    </w:tbl>
    <w:tbl>
      <w:tblPr>
        <w:tblW w:w="6201" w:type="dxa"/>
        <w:jc w:val="left"/>
        <w:tblInd w:w="0" w:type="dxa"/>
        <w:tblLayout w:type="fixed"/>
        <w:tblCellMar>
          <w:top w:w="28" w:type="dxa"/>
          <w:left w:w="28" w:type="dxa"/>
          <w:bottom w:w="28" w:type="dxa"/>
          <w:right w:w="28" w:type="dxa"/>
        </w:tblCellMar>
      </w:tblPr>
      <w:tblGrid>
        <w:gridCol w:w="124"/>
        <w:gridCol w:w="256"/>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improvements in the fuel economy of the internal combustion engine;</w:t>
            </w:r>
          </w:p>
        </w:tc>
      </w:tr>
    </w:tbl>
    <w:tbl>
      <w:tblPr>
        <w:tblW w:w="4296" w:type="dxa"/>
        <w:jc w:val="left"/>
        <w:tblInd w:w="0" w:type="dxa"/>
        <w:tblLayout w:type="fixed"/>
        <w:tblCellMar>
          <w:top w:w="28" w:type="dxa"/>
          <w:left w:w="28" w:type="dxa"/>
          <w:bottom w:w="28" w:type="dxa"/>
          <w:right w:w="28"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service for electric vehicles;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environmental consciousness of consumers;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charging stations, standardization of electric vehicle charging systems and consumers’ perceptions about convenience and cost to charge an electric vehicle;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tax and other governmental incentives to purchase and operate electric vehicles or future regulation requiring increased use of nonpolluting vehicles;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436" w:type="dxa"/>
        <w:jc w:val="left"/>
        <w:tblInd w:w="0" w:type="dxa"/>
        <w:tblLayout w:type="fixed"/>
        <w:tblCellMar>
          <w:top w:w="28" w:type="dxa"/>
          <w:left w:w="28" w:type="dxa"/>
          <w:bottom w:w="28" w:type="dxa"/>
          <w:right w:w="28" w:type="dxa"/>
        </w:tblCellMar>
      </w:tblPr>
      <w:tblGrid>
        <w:gridCol w:w="124"/>
        <w:gridCol w:w="25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perceptions about and the actual cost of alternative fuel; and</w:t>
            </w:r>
          </w:p>
        </w:tc>
      </w:tr>
    </w:tbl>
    <w:tbl>
      <w:tblPr>
        <w:tblW w:w="2451" w:type="dxa"/>
        <w:jc w:val="left"/>
        <w:tblInd w:w="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factors.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 factors described above may cause current or potential customers not to purchase our electric vehicles and use our services. If the market for electric vehicles does not develop as we expect or develops more slowly than we expect, our business, prospects, financial condition and operating results will be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risks related to customer credit.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offer auto financing arrangements to users directly through our subsidiaries. Under the financing arrangements we typically receive a small portion of the total vehicle purchase price at the commencement of the financing term, followed by a stream of payments over the financing term. To the extent our users fail to make payments on time under any of the foregoing arrangements, our results of operations may be adversely affected. As of December 31, 2024, the amount of auto financing receivables was RMB1,656.9 million (US$227.0 million). As we continue to grow our business, we may increase the amount of our auto financing receivables. We may fail to effectively manage the credit risks related to our auto financing arrangements. To the extent our users default on their obligations to us or fail to make payments on time under any of the foregoing arrangements, our results of operations may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exposed to credit risk of trade receivables.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trade receivables primarily include amounts of vehicle sales in relation of government subsidy to be collected from government on behalf of customers, current portion of auto financing receivables, current portion of battery installment and others. We have identified the risk characteristics of our customers and the related receivables, prepayments, deposits and other receivables which include size, type of the services or the products we provide, or a combination of these characteristics. Receivables with similar risk characteristics have been grouped into pools. For each pool, we consider the historical credit loss, current economic conditions, supportable forecasts of future economic conditions, and any recoveries in assessing the lifetime expected credit losses. Other key factors that influence the expected credit loss analysis include customer demographics, payment terms offered in the normal course of business to customers, and industry-specific factors that could impact our receivables. Additionally, external data and macroeconomic factors are also considered. In 2023, we reversed RMB26.3 million expected credit loss expense in selling, general and administrative expenses. In 2024, we reversed RMB3.8 million (US$0.5 million) expected credit loss expense in selling, general and administrative expenses. As of December 31, 2024, the expected credit loss provision for the current and non-current assets were RMB110.0 million (US$15.1 million). We cannot assure you that all of our customers will not default on their obligations to us in the future, despite our efforts to conduct credit assessment on them.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face inventory risks that, if not properly managed, could harm our financial condition, operating results,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exposed to significant inventory risks that may adversely affect our operating results as a result of increased competition, seasonality, new model launches, rapid changes in vehicle life cycles and pricing, defective vehicles, changes in consumer demand and consumer spending patterns, and other factors. We endeavor to accurately predict these trends and avoid overstocking or understocking issues. Demand for our vehicles, however, can change significantly between the time inventory or components are ordered and the date of sale. We endeavor to coordinate various aspects of our operations to match anticipated customer demand, including procurement, manufacturing, storage, transportation, among others. However, if our prediction does not align with the actual demand, we will likely incur additional costs due to over- or under- procurement of components, inventory buildup and possibly significant inventory write-down, or production shortfalls and delivery delays. Poor inventory management may also make it more difficult for us to inspect and control quality and ensure proper handling, storage and delivery. We may experience higher return rates on new vehicles, receive more customer complaints about them and face costly product liability claims as a result of selling them, which would harm our brands and reputation as well as our financial performance.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might not be able to fulfil our obligation in respect of deferred revenue, which might have impact on our cash or liquidity position.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recognition of deferred revenue is subject to future performance obligations, mainly including the transaction price allocated to the performance obligations that are unsatisfied, or partially satisfied, which mainly arises from the extended warranty services, battery swapping services, vehicle connectivity services, and points and coupons offered to customers. We may have multiple performance obligations identified in the vehicle sales contract and the sales of packages to transfer goods or services to a customer for which we have received consideration, or an amount of consideration is due, from the customer, which is recorded as deferred revenue. Due to potential future changes in customer preferences and the need for us to satisfactorily perform product support and other services, deferred revenue at any particular date may not be representative of actual revenue for any future period. Any failure to fulfil the obligations in respect of deferred revenue may have an adverse impact on our results of operations and liquidity.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Fluctuation of fair value change of short-term and long-term investments that we made may adversely affect our financial condition, results of operations,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fluctuation in the fair value of our short-term and long-term investments could adversely affect our financial condition, results of operations and prospects. For the years ended December 31, 2022, 2023 and 2024, our short-term investments consisted primarily of investments in fixed deposits with maturities between three months and one year, investments in money market funds and financial products issued by banks, and our long-term investments consisted primarily of equity investments in publicly traded companies and privately-held companies, and debt security investments. Determining the fair value of our short-term and long-term investments involves using certain valuation methodologies, which rely heavily on management judgment and are inherently uncertain. Factors beyond our control, such as changes in general economic conditions, market liquidity, asset values, and the performance of the companies we invested in, can lead to adverse changes in the estimates we use, thereby adversely affecting the fair value of our investments. In addition, we are exposed to credit risks in relation to our short-term and long-term investments, which may further affect the net changes in their fair value. We cannot assure you that market conditions will result in fair value gains on our short-term and long-term investments or we will not incur any fair value losses on these investments in the future. If we incur such fair value losses, our results of operations, financial condition and prospects may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become subject to product liability claims, which could harm our financial condition and liquidity if we are not able to successfully defend or insure against such claims.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become subject to product liability claims, which could harm our business, prospects, operating results and financial condition. The automotive industry experiences significant product liability claims and we face inherent risk of exposure to claims in the event our vehicles do not perform as expected or malfunction resulting in property damage, personal injury or death. Our risks in this area are particularly pronounced given we have limited field experience of our vehicles. In addition, we may be subject to product liability claims for defective components and parts that are manufactured by our third-party partners. A successful product liability claim against us could require us to pay a substantial monetary award. Moreover, a product liability claim could generate substantial negative publicity about our vehicles and business and inhibit or prevent commercialization of our future vehicle candidates which would have a material adverse effect on our brands, business, prospects and operating results. Any insurance coverage might not be sufficient to cover all potential product liability claims. Any lawsuit seeking significant monetary damages may have a material adverse effect on our reputation, business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vehicles are subject to motor vehicle standards and the failure to satisfy such mandated safety standards would have a material adverse effect on our business and 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vehicles sold must comply with various standards of the market where the vehicles were sold. In China, vehicles must meet or exceed all mandated safety standards. Rigorous testing and the use of approved materials and equipment are among the requirements for achieving such standards. Vehicles must pass various tests and undergo a certification process and be affixed with the China Compulsory Certificate mark, before receiving delivery from the factory, being sold, or being used in any commercial activity. In addition, the Opinion on Strengthening the Access Administration of Intelligent Connected Vehicles Manufacturing Enterprises and Their Products requires vehicles manufacturing enterprises to ensure the compliance of vehicle products with laws, regulations, technical standards and technical specification and file for record with the Ministry of Industry and Information Technology prior to over-the-air updates, and shall file with the Ministry of Industry and Information Technology in the event of any change to the safety, energy saving, environment protection, anti-theft and other technical parameters and shall ensure conformance by vehicle products and production. Without the approval, no over-the-air update shall be conducted to add or update the autonomous driving function. Any delays or lags of the over-the-air updates due to the Ministry of Industry and Information Technology prior filing procedures may materially and adversely affect our business and operating results. Furthermore, given we commenced delivery of our vehicles in international markets, we are also subject to mandated safety standards in these markets. If we fail to have any of our current or future vehicle models satisfy motor vehicle standards or any new laws and regulations in China and other markets where our vehicles are sold, it would have a material adverse effect on our business and operating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compelled to undertake product recalls or take other actions, which could adversely affect our brand image and financial performance.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Recalls of our vehicles can cause adverse publicity, damage to our brands and liability for costs. We have initiated product recalls in the past. In the future, we may at various times, voluntarily or involuntarily, initiate a recall if any of our vehicles, including any systems or parts sourced from our suppliers, prove to be defective or non-compliant with applicable laws and regulations. Such recalls, whether voluntary or involuntary or caused by systems or components that we or our suppliers engineered or manufactured, could involve significant expense and could adversely affect our brand image in our target markets, as well as our business, prospects,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long-term viability of our distribution model is unproven.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vehicles are generally made to order. In China, we conduct vehicle sales directly to users rather than through dealerships. This model of vehicle distribution subjects us to substantial risk as it requires, in the aggregate, significant expenditures and provides for slower expansion and less coverage of our distribution and sales systems than may be possible by utilizing the traditional dealer franchise system commonly applied for the sales of ICE vehicles and other EV companies. Moreover, we will be competing with companies with well established distribution channels. Our success will depend in large part on our ability to effectively develop our own sales channels and marketing strategies. Implementing our business model is subject to numerous significant challenges, including obtaining permits and approvals from government authorities, and we may not be successful in addressing these challenges. In overseas markets, we adopt more diverse sales approaches, including cooperating with business partners. However, as we are less familiar with overseas markets and may not have sufficient understanding and experience with cooperating with overseas partners or adapting to local economic and political conditions, our overseas sales model may not be as efficient as we anticipate and may continuously evolve, potentially requiring us to incur higher expenses. In addition, the lead time in fulfilling our orders could lead to cancelled orders. If we are unable to timely fulfil our orders, our customer satisfaction could be adversely affected, harming our business and reputation.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financial results may vary significantly from period to period due to the seasonality of our business and fluctuations in our operating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operating results may vary significantly from period to period due to many factors, including seasonal factors that may have an effect on the demand for our electric vehicles. In the past few years, demand for new vehicles in the automotive industry in China was generally higher in the fourth quarter and lower during the Chinese New Year period. Such variation may or may not continue in the future. Our limited operating history makes it difficult for us to judge the exact nature or extent of the seasonality of our business. Also, any unusually severe weather conditions in some markets may impact demand for our vehicles. The seasonal fluctuations in the demand for our vehicles may have a negative impact on our cash flow and could adversely affect our liquidity position. Our operating results could also suffer if we do not achieve revenue consistent with our expectations for this seasonal demand because many of our expenses are based on anticipated levels of annual revenue.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expect our period-to-period operating results to vary based on our operating costs which may increase in future periods as we, among other things, design, develop and manufacture our electric vehicles, research and develop core technologies, build and equip new manufacturing facilities, develop our power network, expand our sales and service network, and increase our sales and marketing activities to support our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these factors, we believe that period-to-period comparisons of our operating results are not necessarily meaningful and that these comparisons cannot be relied upon as indicators of future performance. Moreover, our operating results may not meet expectations of equity research analysts or investors. If this occurs, the trading price of our ADSs could fall substantially either suddenly or over time.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our vehicle owners customize our vehicles or change the charging infrastructure with aftermarket products, the vehicle may not operate properly, which may create negative publicity and could harm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Automobile enthusiasts may seek to “hack” our vehicles to modify their performance which could compromise vehicle safety systems. Also, customers may customize their vehicles with after-market parts that can compromise driver safety. We do not test, nor do we endorse, such changes or products. In addition, the use of improper external cabling or unsafe charging outlets can expose our customers to injury from high voltage electricity. Such unauthorized modifications could reduce the safety of our vehicles and any injuries resulting from such modifications could result in adverse publicity which would negatively affect our brands and harm our business, prospects, financial condition and operating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risks related to the investment in NIO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February 2020, we entered into a collaboration framework agreement with the municipal government of Hefei, Anhui province, where our manufacturing hub is located. Subsequently from April to June 2020, we entered into definitive agreements, as amended and supplemented, or the Previous Hefei Agreements, for investments in NIO China with a group of investors, which we refer to as the Hefei Strategic Investors in this annual report. Under the Previous Hefei Agreements, the Hefei Strategic Investors agreed to invest an aggregate of RMB7 billion in cash into NIO Holding Co., Ltd. (previously known as NIO (Anhui) Holding Co., Ltd.), or NIO China, a legal entity that we wholly owned pre-investment. We agreed to inject our core businesses and assets in China, including vehicle research and development, supply chain, sales and services and NIO Power, collectively referred to as the Asset Consideration, valued at RMB17.77 billion in total, into NIO China, and invest RMB4.26 billion in cash into NIO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March 30, 2024, we entered into a shareholders agreement, or the 2024 Hefei Shareholders Agreement with (i) Hefei Jianheng New Energy Automobile Investment Fund Partnership (Limited Partnership), or Jianheng New Energy Fund, (ii) Advanced Manufacturing Industry Investment Fund II (Limited Partnership), or Advanced Manufacturing Industry Investment Fund, (iii) Anhui Jintong New Energy Automobile II Fund Partnership (Limited Partnership), or New Energy Automobile Fund, and (iv) Anhui Provincial Sanzhong Yichuang Industry Development Fund Co., Ltd., or Anhui Sanzhong Yichuang. The 2024 Hefei Shareholders Agreement amended certain shareholders’ rights in NIO China and superseded the Previous Hefei Shareholders Agreement (as defined below).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September 2024, we entered into definitive agreements for investment in NIO China, or the NIO China Series B Investment Agreements, with Jianheng New Energy Fund, Anhui Provincial Emerging Industry Investment Co., Ltd., or Anhui High-tech Co., and CS Capital Co., Ltd., which we collectively refer to as the Initial NIO China Series B Strategic Investors. Pursuant to the NIO China Series B Investment Agreements, each investor may transfer its rights, interests and obligations under the NIO China Series B Investment Agreements to its affiliates or a third party agreed by us. Subsequently, on December 28, 2024, we entered into supplemental agreements to the NIO China Series B Investment Agreements, or the NIO China Series B Supplemental Agreements, with the Initial Series B Strategic Investors and their respective designated entities, which we collectively refer to as the NIO China Series B Strategic Investors, pursuant to which (i) Jianheng New Energy Fund transferred its rights, interests and obligations under the NIO China Series B Investment Agreements to Hefei Jianxiang Investment Co., Ltd., and (ii) Anhui High-tech Co. transferred its rights, interests and obligations under the NIO China Series B Investment Agreements to Anhui Emerging Industry Yuwen Weiyuan Technology Partnership Enterprise (Limited Partnership). Pursuant to the NIO China Series B Investment Agreements and the NIO China Series B Supplemental Agreements, the NIO China Series B Strategic Investors agreed to invest an aggregate of RMB3.3 billion in cash to subscribe for newly issued shares of NIO China, and we agreed to invest an aggregate of RMB10 billion in cash to subscribe for newly issued shares of NIO China, which we collectively refer to as the NIO China Series B Investment. As of the date of this annual report, the NIO China Series B Strategic Investors have injected an aggregate of RMB2.8 billion in cash into NIO China, while we have injected an aggregate of RMB10 billion in cash into NIO China. As of the date of this annual report, we currently hold 89.0% of controlling equity interest in NIO China. We and the NIO China Series B Strategic Investors are working towards the completion of the remaining portion of the previously announced investment transaction. Upon completion, we will hold 88.25% of controlling equity interest in NIO China, while the NIO China Strategic Investors will collectively hold the remaining 11.75% of equity interest in NIO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the NIO China Series B Investment, we entered into a new shareholders agreement, or the NIO China Series B Shareholders Agreement, with the NIO China Series B Strategic Investors and the other existing shareholders of NIO China, which we collectively referred to as NIO China Strategic Investors. The NIO China Series B Shareholders Agreement amended certain shareholders’ rights in NIO China and superseded the 2024 Hefei Shareholders Agreement. Pursuant to the NIO China Series B Shareholders Agreement, NIO China granted certain minority shareholders’ rights to the NIO China Strategic Investors, including, among others, the right of first refusal, co-sale right, preemptive right, anti-dilution right, redemption right, liquidation preference and conditional drag-along right. You would not enjoy these preferential rights or treatment through investing in our ADSs and the underlying ordinary shares. Exercise of these preferential rights by the NIO China Strategic Investors may also adversely affect your investment in our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particular, the NIO China Strategic Investors may require us to redeem the shares of NIO China they hold upon the occurrence of certain triggering events, at a redemption price equal to the higher of: (i) the total investment amount paid by the NIO China Strategic Investor, plus an investment income calculated at a compound rate of 8.5% (with respect to NIO China Series A Investment) or 7.5% (with respect to NIO China Series B Investment) per annum; and (ii) the value of the equity interests requested for redemption by the NIO China Strategic Investor, based on the post-investment valuation of NIO China and its affiliates and controlled entities in the most recent financing round. If any of the triggering events of redemption occurs, we will need substantial capital to redeem the shares of NIO China held by the NIO China Strategic Investors, and the value of your investment in our company will be negatively affected. In particular, if NIO China fails to complete the listing application or to issue the material assets restructuring plan related to the qualified initial public offering before December 31, 2027, or fails to complete the qualified initial public offering before December 31, 2028, the NIO China Strategic Investors may request us to redeem the equity interest in NIO China then held by them. In addition, if we pursue the initial public offering of NIO China, we will be subject to various requirements under the Hong Kong Listing Rules and practice notes, including, among others, the requirement in the level of operations and assets of the remaining business in our company following the spin-off to maintain listing status, the approval of the Hong Kong Stock Exchange and shareholder approval. As a result, the application for and the completion of the qualified initial public offering are subject to substantial uncertainties. If we do not have adequate cash available or cannot obtain additional financing, or our use of cash is restricted by applicable laws, regulations or agreements governing our current or future indebtedness, we may not be able to redeem shares of NIO China when required under the NIO China Series B Shareholders Agreement, which would constitute an event of default under the NIO China Series B Shareholders Agreement and subject us to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before NIO China completes its potential qualified initial public offering, without the prior written consent of the NIO China Strategic Investors, we may not directly or indirectly transfer, pledge or otherwise dispose of NIO China’s shares to a third party that may result in our shareholding in NIO China falling below 60%. For more information, see “Item 4. Information on the Company—B. Business Overview—Certain Other Cooperation Arrangements—NIO China Strategic Investors” included elsewhere in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we have injected the core businesses and assets into NIO China, the NIO China Strategic Investors will have senior claims over the assets of NIO China compared to NIO China’s other shareholders (i.e., our other subsidiaries) when a liquidation event of NIO China occurs. As a result, holders of our Class A ordinary shares and ADSs will be structurally subordinated to the NIO China Strategic Investors, which may negatively affect the value of the investment of ADS holders and holders of Class A ordinary shares in our company. We may not have sufficient funding to repay our existing debts. We essentially control the daily operation of and substantially all of the corporate matters of NIO China. Notwithstanding this, the NIO China Strategic Investors have voting rights with respect to various significant corporate matters of NIO China and its consolidated entities, such as change in NIO China’s corporate structure, change of its core business and amendment to its articles of association, which may limit our ability to make certain major corporate decisions with regard to NIO China. Any of the foregoing could materially adversely affect your investment in our Class A ordinary shares and ADSs.</w:t>
      </w:r>
    </w:p>
    <w:p>
      <w:pPr>
        <w:pStyle w:val="TextBody"/>
        <w:bidi w:val="0"/>
        <w:spacing w:before="0" w:after="140"/>
        <w:ind w:left="0" w:right="0" w:hanging="0"/>
        <w:jc w:val="both"/>
        <w:rPr>
          <w:rFonts w:ascii="Times New Roman;Times;serif" w:hAnsi="Times New Roman;Times;serif"/>
          <w:b/>
          <w:i/>
          <w:sz w:val="20"/>
        </w:rPr>
      </w:pPr>
      <w:r>
        <w:rPr>
          <w:rFonts w:ascii="Times New Roman;Times;serif" w:hAnsi="Times New Roman;Times;serif"/>
          <w:b/>
          <w:i/>
          <w:sz w:val="20"/>
        </w:rPr>
        <w:t>Our business plans require a significant amount of capital, and we may issue additional equity or debt securities that may have an adverse effect on our shareholders or may otherwise adversely affect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operate in the electric vehicle industry, which is highly capital-intensive. We will need significant capital to, among other things, conduct research and development and expand our production capacity as well as roll out our power network, and sales and service network. As we ramp up our production capacity and operations, we may also require significant capital to maintain our property, plant and equipment and such costs may be greater than anticipated. We expect our capital expenditures to continue to be significant in the foreseeable future as we expand our business, and that our level of capital expenditures will be significantly affected by user demand for our products and services. The fact that we have a limited operating history means we have limited historical data on the demand for our products and services. As a result, our future capital requirements may be uncertain and actual capital requirements may be different from those we currently anticipate. We may seek equity or debt financing to finance a portion of our capital expenditures. Such financing might not be available to us in a timely manner or on terms that are acceptable, or at all. Our substantial amount of currently outstanding indebtedness may also affect our ability to obtain financing in a timely manner and on reasonable terms.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obtain the necessary financing to carry out our business plan is subject to a number of factors, including general market conditions and investor acceptance of our business plan. These factors may make the timing, amount, terms and conditions of such financing unattractive or unavailable to us. If we are unable to raise sufficient funds, we will have to significantly reduce our spending of, delay or cancel some or all of our planned research, development, manufacturing and marketing activities or substantially change our corporate structure, any of which could materially harm our business. We might not be able to obtain any funding, and we might not have sufficient resources to conduct our business as projected, both of which could mean that we would be forced to curtail or discontinue our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our future capital needs and other business reasons could require us to issue additional equity or debt securities or obtain a credit facility. If we raise funds through the issuance of additional equity or debt, including convertible notes or debt secured by some or all of our assets, holders of any debt securities or preferred shares issued will have rights, preferences and privileges senior to those of holders of our ordinary shares in the event of liquidation. The terms of the convertible notes we issued do not restrict our ability to issue additional debt. If additional debt is issued, there is a possibility that once all senior claims are settled, there may be no assets remaining to pay out to the holders of ordinary shares. In addition, if we raise funds through the issuance of additional equity, whether through private placements or public offerings, such an issuance would dilute ownership of our current shareholders that do not participate in the issuance.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the terms of any additional debt securities we may issue in the future may impose restrictions on our operations, which may include limiting our ability to incur additional indebtedness, pay dividends on or repurchase our share capital, or make certain acquisitions or investments. In addition, we may be subject to covenants requiring us to satisfy certain financial tests and ratios, and our ability to satisfy such covenants may be affected by events outside of our control.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terms of the convertible notes we issued could delay or prevent an attempt to take over our company. The terms of the 2026 Notes, 2027 Notes, 2029 Notes and 2030 Notes require us to repurchase the respective notes in the event of a fundamental change. A takeover of our company would constitute a fundamental change. This could have the effect of delaying or preventing a takeover of our company that may otherwise be beneficial to our shareholders.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warranty reserves may be insufficient to cover future warranty claims which could adversely affect our financial performance.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offer comprehensive warranty policies covering the entire vehicle as well as key electric components, including the battery, electric motor, and power electronic units. In addition to the standard warranty required by local laws and regulations, we also provide extended warranty services, with specific terms and conditions varying by markets and vehicle models. Our warranty program is similar to other auto company’s warranty programs intended to cover all parts and labor to repair defects in material or workmanship in the body, chassis, interior, electric system, battery, electric powertrain and other related vehicle parts. We plan to record and adjust warranty reserves based on changes in estimated costs and actual warranty costs. However, we have little experience with warranty claims regarding our vehicles or with estimating warranty reserves. As of December 31, 2024, we had warranty reserves in respect of our vehicles of RMB4,720.7 million (US$646.7 million). We cannot assure you that such reserves will be sufficient to cover future claims. We could, in the future, become subject to significant and unexpected warranty claims, resulting in significant expenses, which would in turn materially and adversely affect our results of operations, financial condition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need to defend ourselves against patent or trademark infringement claims, which may be time-consuming and would cause us to incur substantial costs.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Companies, organizations or individuals, including our competitors, may hold or obtain patents, trademarks or other proprietary rights that would prevent, limit or interfere with our ability to make, use, develop, sell or market our vehicles or components, which could make it difficult for us to operate our business. From time to time, owners of patents or trademarks may contact us regarding their proprietary rights. Companies holding patents or other intellectual property rights may bring suits alleging infringement of such rights or otherwise assert their rights and urge us to take licenses. Our applications and uses of patented technologies and trademarks relating to, among others, our designs, software or artificial intelligence technologies could subject us to the risk of infringing existing intellectual property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example, beginning in 2021, a German automotive manufacturer claimed that we infringed its trademark rights based on resemblance of model designations of certain of our vehicles with those of the manufacturer’s. For that purpose, the manufacturer (i) filed an infringement lawsuit with the Munich Regional Court against us and (ii) brought certain opposition and cancellation proceedings against our trademark applications and registrations of the aforesaid model designations in front of competent intellectual property authorities in certain jurisdictions. Although we believe the allegations of trademark infringement to be unjustified, we had taken precautionary measures and renamed certain car models involved in the infringement claim before our entry into the European market to avoid substantial impact on our sales operations in the Europe and other jurisdictions. In January 2023, the Munich Regional Court made a judgment in favor of the manufacturer, which was upheld by the Munich Higher Regional Court in April 2024. However, this decision had limited impact on our operations in Europe as we had already taken precautionary measures and renamed our car models in Europe. Meanwhile, in November 2024, the competent intellectual property authority in Australia rejected the manufacturer’s objection to our trademarks. As of the date of this annual report, some proceedings in certain jurisdictions are still ongoing. We cannot assure you that the final decisions in the remaining jurisdictions will be in our favor. We may also be subject to additional patent or trademark disputes with other parties. We may have to incur substantial costs in responding to these disputes, similar to our experience with the German manufacturer discussed above. If we are not permitted to use any of our existing model names in jurisdictions where our vehicles are offered, our sales performance there may be negatively affected, which in turn would harm our results of operations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it is determined that we have infringed upon a third party’s intellectual property rights, we may be required to do one or more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cease selling, incorporating certain components into, or using vehicles or offering goods or services that incorporate or use the challenged intellectual property;</w:t>
            </w:r>
          </w:p>
        </w:tc>
      </w:tr>
    </w:tbl>
    <w:tbl>
      <w:tblPr>
        <w:tblW w:w="2571" w:type="dxa"/>
        <w:jc w:val="left"/>
        <w:tblInd w:w="0" w:type="dxa"/>
        <w:tblLayout w:type="fixed"/>
        <w:tblCellMar>
          <w:top w:w="28" w:type="dxa"/>
          <w:left w:w="28" w:type="dxa"/>
          <w:bottom w:w="28" w:type="dxa"/>
          <w:right w:w="28" w:type="dxa"/>
        </w:tblCellMar>
      </w:tblPr>
      <w:tblGrid>
        <w:gridCol w:w="124"/>
        <w:gridCol w:w="256"/>
        <w:gridCol w:w="2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substantial damages;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a license from the holder of the infringed intellectual property right, which license may not be available on reasonable terms or at all;</w:t>
            </w:r>
          </w:p>
        </w:tc>
      </w:tr>
    </w:tbl>
    <w:tbl>
      <w:tblPr>
        <w:tblW w:w="4641" w:type="dxa"/>
        <w:jc w:val="left"/>
        <w:tblInd w:w="0" w:type="dxa"/>
        <w:tblLayout w:type="fixed"/>
        <w:tblCellMar>
          <w:top w:w="28" w:type="dxa"/>
          <w:left w:w="28" w:type="dxa"/>
          <w:bottom w:w="28" w:type="dxa"/>
          <w:right w:w="28" w:type="dxa"/>
        </w:tblCellMar>
      </w:tblPr>
      <w:tblGrid>
        <w:gridCol w:w="124"/>
        <w:gridCol w:w="256"/>
        <w:gridCol w:w="4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redesign our vehicles or other goods or services; or</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and maintain alternative branding for our products and services.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of a successful claim of infringement against us and our failure or inability to obtain a license to the infringed technology or other intellectual property right, our business, prospects, operating results and financial condition could be materially and adversely affected. In addition, any litigation or claims, whether or not valid, could result in substantial costs, negative publicity and diversion of resources and management attention.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prevent others from unauthorized use of our intellectual property, which could harm our business and competitive position.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regard our trademarks, service marks, patents, domain names, trade secrets, proprietary technologies and similar intellectual property as critical to our success. We rely on trademark and patent law, trade secret protection and confidentiality agreements, and technology license agreements with our employees, business constituents and others to protect our proprietary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invested significant resources to develop our own intellectual property. Failure to maintain or protect these rights could harm our business. In addition, any unauthorized use of our intellectual property by third parties may adversely affect our current and future revenues and our reputation.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Implementation and enforcement of PRC intellectual property-related laws have historically been challenging. Furthermore, policing unauthorized use or leakage of proprietary technology or various infringement on our intellectual property rights is difficult and expensive. We rely on a combination of patent, copyright, trademark and trade secret laws and contractual restrictions on disclosure and usage to protect our intellectual property rights. Despite our efforts to protect our proprietary rights, third parties may attempt to copy or otherwise obtain and use our intellectual property or seek court declarations that they do not infringe upon our intellectual property rights. Monitoring unauthorized use of our intellectual property is difficult and costly, and we cannot assure you that the steps we have taken or will take will prevent misappropriation of our intellectual property. From time to time, we may have to resort to litigation to enforce our intellectual property rights, which could result in substantial costs and diversion of our resources.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patent rights may not protect us effectively, and we may not be able to prevent others from developing or exploiting competing technologies, which could have a material and adverse effect on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2024, we had 5,693 issued patents and 4,122 patent applications pending. For our pending application, we cannot assure you that we will be granted patents pursuant to our pending applications. Even if our patent applications succeed and we are issued patents in accordance with them, it is still uncertain whether these patents will be contested, circumvented or invalidated in the future. In addition, the rights granted under any issued patents may not provide us with meaningful protection or competitive advantages. The claims under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applications. Numerous patents and pending patent applications owned by others exist in the fields in which we have developed and are developing our technology. These patents and patent applications might have priority over our patent applications and could subject our patent applications to invalidation. Finally, in addition to those who may claim priority, any of our existing or pending patents may also be challenged by others on the basis that they are otherwise invalid or unenforceable.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limited insurance coverage, which could expose us to significant costs and business disruption.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limited liability insurance coverage for our products and business operations. A successful liability claim against us due to injuries suffered by our users could materially and adversely affect our financial condition, results of operations and reputation. In addition, we do not have any business disruption insurance. Any business disruption event could result in substantial costs to us and diversion of our resources.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maintain a considerable level of debt that are senior in capital structure and cash flow to our shareholders. Satisfying these debt obligations could adversely affect the distributions to our shareholders or result in dilution.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maintain a considerable level of indebtedness to finance our operations and business expansion. In February 2019, we issued US$750 million aggregate principal amount of 4.50% convertible senior notes due 2024, or the 2024 Notes. The 2024 Notes matured on February 1, 2024, and we repaid the then outstanding 2024 Notes that had not been redeemed, repurchased or converted in full. In January 2021, we issued US$750 million aggregate principal amount of 0.00% convertible senior notes due 2026, or the 2026 Notes, and US$750 million aggregate principal amount of 0.50% convertible senior notes due 2027, or the 2027 Notes. In September and October 2023, we issued US$575 million aggregate principal amount of 3.875% convertible senior notes due 2029, or the 2029 Notes, and US$575 million aggregate principal amount of 4.625% convertible senior notes due 2030, or the 2030 Notes. As of December 31, 2024, we had RMB11,440.8 million (US$1,567.4 million) in total long-term borrowings outstanding, consisting primarily of (i) our 3.875% convertible senior notes due 2029 and 4.625% convertible senior notes due 2030, (ii) our 0.00% convertible senior notes due 2026 and 0.50% convertible senior notes due 2027, and (iii) our long-term bank debt, excluding the current portions of (i), (ii), and (iii) that are due within one year from December 31, 2024. Meanwhile, as of December 31, 2024, we had RMB5,729.6 million (US$785.0 million) in total short-term borrowings, including the current portions of long-term borrowings.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2026 Notes and the 2027 Notes are unsecured debt. Prior to August 1, 2025, in the case of the 2026 Notes, and August 1, 2026, in the case of the 2027 Notes, the 2026 Notes and the 2027 Notes, as applicable, will be convertible at the option of the holders only upon satisfaction of certain conditions and during certain periods. Holders may convert their 2026 Notes or 2027 Notes, as applicable, at their option at any time on or after August 1, 2025, in the case of the 2026 Notes, or August 1, 2026, in the case of the 2027 Notes, until the close of business on the second scheduled trading day immediately preceding the maturity date. Upon conversion, we will pay or deliver to such converting holders, as the case may be, cash, ADSs, or a combination of cash and ADSs, at our election. The initial conversion rate of the 2026 Notes is 10.7458 ADSs per US$1,000 principal amount of such 2026 Notes. The initial conversion rate of the 2027 Notes is 10.7458 ADSs per US$1,000 principal amount of such 2027 Notes. The conversion rate for such series of the 2026 Notes and the 2027 Notes is subject to adjustment upon the occurrence of certain events. Holders of the 2026 Notes and the 2027 Notes may require us to repurchase all or part of their 2026 Notes and 2027 Notes for cash on February 1, 2024, in the case of the 2026 Notes, and February 1, 2025, in the case of the 2027 Notes, or in the event of certain fundamental changes, at a repurchase price equal to 100% of the principal amount of the 2026 Notes or the 2027 Notes to be repurchased, plus accrued and unpaid interest, if any, to, but excluding, the repurchase date. In addition, on or after February 6, 2024, in the case of the 2026 Notes, and February 6, 2025, in the case of the 2027 Notes, until the 20th scheduled trading day immediately prior to the maturity date, we may redeem the 2026 Notes or the 2027 Notes, as applicable for cash subject to certain conditions, at a redemption price equal to 100% of the principal amount of the 2026 Notes or the 2027 Notes to be redeemed, plus accrued and unpaid interest, if any, to, but excluding, the optional redemption date. Furthermore, we may redeem all but not part of the 2026 Notes or the 2027 Notes in the event of certain changes in the tax laws. In 2022, we repurchased an aggregate principal amount of US$192.9 million of 2026 Notes for a total cash consideration of US$170.5 million. In September 2023, shortly after the pricing of the 2029 Notes and the 2030 Notes, we repurchased an aggregate principal amount of US$255.6 million of the 2026 Notes for a total cash consideration of US$249.9 million and an aggregate principal amount of US$244.4 million of the 2027 Notes for a total cash consideration of US$222.0 million. In February 2024, we completed the repurchase right offer relating to the 2026 Notes. US$300.5 million in aggregate principal amount of the 2026 Notes were validly surrendered and not withdrawn prior to the expiration of the repurchase right offer. Following settlement of the repurchase, US$912,000 aggregate principal amount of the 2026 Notes remained outstanding and continue to be subject to the existing terms of the indenture and the 2026 Notes.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November and December 2024, we entered into and completed separate, privately negotiated transactions with a limited number of holders of the 2027 Notes resulting in the exchange of US$127.1 million principal amount of the 2027 Notes into ADSs. In these exchange transactions, we delivered to the participating holders 27.7 million ADSs. The exchange prices ranged from 207.0 to 227.6 ADSs per US$1,000 principal amount of the 2027 Notes. We did not receive any cash proceeds from the issuance of the ADSs upon exchange. Concurrently, to offset any dilutive effect on our existing shareholders resulting from the issuance of the ADSs, CHJ Limited, one of our wholly-owned subsidiaries, surrendered 27.7 million Class A ordinary shares held by it to us for cancellation at no consideration. As a result, the total number of issued and outstanding shares of our Company remains unchanged following these exchange transactions. On January 31, 2025, we completed the repurchase right offer relating to the 2027 Notes. US$378.3 million aggregate principal amount of the 2027 Notes were validly surrendered and not withdrawn prior to the expiration of the repurchase right offer. Following settlement of the repurchase, US$213,000 million aggregate principal amount of the 2027 Notes remained outstanding and continues to be subject to the existing terms of the indenture and the 2027 Notes.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2029 Notes and the 2030 Notes are unsecured debt. The holders of the 2029 Notes and the 2030 Notes shall have the right, at such holder’s option, to convert all or any portion of their 2029 Notes or 2030 Notes, as applicable, at any time prior to the close of business on the second scheduled trading day immediately preceding the maturity date, i.e., October 15, 2029, in the case of the 2029 Notes, and October 15, 2030, in the case of the 2030 Notes. The initial conversion rate of the 2029 Notes is 89.9685 ADSs per US$1,000 principal amount of such 2029 Notes. The Initial conversion rate of the 2030 Notes is 89.9685 ADSs per US$1,000 principal amount of such 2030 Notes. The conversion rate is subject to adjustment upon the occurrence of certain events. Holders of the 2029 Notes and 2030 Notes may require us to repurchase all or any portion of their 2029 Notes and 2030 Notes for cash on October 15, 2027, in the case of the 2029 Notes, and October 15, 2028, in the case of 2030 Notes, or in the event of certain fundamental changes, at a repurchase price equal to 100% of the principal amount of the 2029 Notes or the 2030 Notes to be repurchased plus accrued and unpaid interest, if any, to, but excluding, the repurchase date. In addition, on or after October 22, 2027, in the case of the 2029 Notes, and October 22, 2028, in the case of the 2030 Notes, until the 20th scheduled trading day immediately prior to the maturity date, i.e., October 15, 2029, in the case of the 2029 Notes, and October 15, 2030, in the case of the 2030 Notes, we may redeem all or part of the 2029 Notes and 2030 Notes, as applicable for cash subject to certain conditions, at a redemption price equal to 100% of the principal amount of the 2029 Notes or the 2030 Notes to be redeemed, plus accrued and unpaid interest, if any, to, but excluding, the optional redemption date. Furthermore, we may redeem all but not part of the 2029 Notes or the 2030 Notes in the event of certain changes in the tax laws.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Satisfying the obligations of all these indebtedness and interest liabilities could adversely affect the amount or timing of any distributions to our shareholders. We may choose to satisfy, repurchase, or refinance any of these liabilities through public or private equity or debt financings if we deem such financings available on favorable terms. If we do not have adequate cash available or cannot obtain additional financing, or our use of cash is restricted by applicable law, regulations or agreements governing our current or future indebtedness, we may not be able to repurchase any of these notes when required under the respective transaction documents, which would constitute an event of default under the respective transaction documents. An event of default could also lead to a default under other agreements governing our current and future indebtedness, and if the repayment of such other indebtedness were accelerated, we may not have sufficient funds to repay the indebtedness and repurchase any of these notes or make cash payments upon conversion of any of these notes. In addition, the holders of any of these notes may convert their notes to a number of our ADSs in accordance with the respective transaction documents. Any conversion will result in immediate dilution to the ownership interests of existing shareholders and such dilution could be material. Lastly, we are exposed to interest rate risk related to our portfolio of investments in debt securities and the debt that we have issued. Among other things, some of our bank loans carry floating interest, and increases in interest rates would result in a decrease in the fair value of our outstanding debt. In the event that we incur a decrease in the fair value of our outstanding debt, our financial performance will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or may be subject to risks associated with strategic alliances or acquisitions.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have entered into and may in the future enter into strategic alliances, including technology partnerships, joint ventures or minority equity investments, with various third parties to further our business purpose from time to time. For example, we have opened our Power Swap network to the entire industry and signed strategic partnership agreements with Changan Automobile, Geely Group, JAC Group and Chery Automobile on battery swapping. We have partnered with multiple energy companies, and expect to join hands with more partners to collectively contribute towards the development of power network and the wider adoption of battery swapping. Furthermore, on February 26, 2024, we entered into a technology license agreement with Forseven Limited, or Forseven. Under this agreement, we granted a non-exclusive and non-transferrable worldwide license to Forseven to use certain of our technical information, technical solutions, software and intellectual property rights related to or subsisting in our existing and future smart electric vehicle platforms within certain period, for, among other things, the research and development, manufacturing, sales, import and export of vehicle models sold or marketed under Forseven’s brand, subject to the terms and conditions set forth in the agreement. These alliances could subject us to a number of risks, including risks associated with sharing proprietary information, non-performance by the third party and increased expenses in establishing new strategic alliances. We may have limited ability to monitor or control the actions of these third parties and, to the extent any of these strategic third parties suffer negative publicity or harm to their reputation from events relating to their business, we may also suffer negative publicity or harm to our reputation by virtue of our association with any such third party. Specifically, any technical failure in the coordination with our Power Swap network partners can disrupt our charging and battery swapping services to users and delay the expansion of our Power Swap network and the adoption of our battery swapping technology. Also, inefficient processes or inadequate workforce training could lead to operational inefficiencies and increased costs. Furthermore, any problems arising from Forseven’s use of the licensed technologies, including product recalls, safety issues, or resulting legal disputes, could negatively harm our brands and reputation. Any of these risks may materially and adversely affect our business, results of operation and financial conditions.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may acquire additional assets, products, technologies or businesses that are complementary to our existing business. In addition to possible shareholder approval, we may have to obtain approvals and licenses from government authorities for the acquisitions and to comply with any applicable PRC laws and regulations, which could result in increased delay and costs, and may derail our business strategy if we fail to do so. Furthermore, past and future acquisitions and the subsequent integration of new assets and businesses into our own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consummating acquisitions may be significant.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manage our growth effectively, we may not be able to execute our growth strategies successfully.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expanded our operations, and as we ramp up our production and sales, further significant expansion may be required, especially in connection with providing our users with high-quality services, expansion of our sales network and power infrastructures, and managing different models of vehicles. Our future operating results depend to a large extent on our ability to manage this expansion and growth successfully. Risks that we face in undertaking this expansion include, among others:</w:t>
      </w:r>
    </w:p>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managing a larger organization with different divisions;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training a greater number of employees and managing their behaviors, including but not limited to deterring or preventing employee misconducts or illegal actions;</w:t>
            </w:r>
          </w:p>
        </w:tc>
      </w:tr>
    </w:tbl>
    <w:tbl>
      <w:tblPr>
        <w:tblW w:w="6846" w:type="dxa"/>
        <w:jc w:val="left"/>
        <w:tblInd w:w="0" w:type="dxa"/>
        <w:tblLayout w:type="fixed"/>
        <w:tblCellMar>
          <w:top w:w="28" w:type="dxa"/>
          <w:left w:w="28" w:type="dxa"/>
          <w:bottom w:w="28" w:type="dxa"/>
          <w:right w:w="28" w:type="dxa"/>
        </w:tblCellMar>
      </w:tblPr>
      <w:tblGrid>
        <w:gridCol w:w="124"/>
        <w:gridCol w:w="256"/>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controlling expenses and investments in anticipation of expanded operations;</w:t>
            </w:r>
          </w:p>
        </w:tc>
      </w:tr>
    </w:tbl>
    <w:tbl>
      <w:tblPr>
        <w:tblW w:w="6756" w:type="dxa"/>
        <w:jc w:val="left"/>
        <w:tblInd w:w="0" w:type="dxa"/>
        <w:tblLayout w:type="fixed"/>
        <w:tblCellMar>
          <w:top w:w="28" w:type="dxa"/>
          <w:left w:w="28" w:type="dxa"/>
          <w:bottom w:w="28" w:type="dxa"/>
          <w:right w:w="28" w:type="dxa"/>
        </w:tblCellMar>
      </w:tblPr>
      <w:tblGrid>
        <w:gridCol w:w="124"/>
        <w:gridCol w:w="256"/>
        <w:gridCol w:w="6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or expanding design, manufacturing, sales and service facilities;</w:t>
            </w:r>
          </w:p>
        </w:tc>
      </w:tr>
    </w:tbl>
    <w:tbl>
      <w:tblPr>
        <w:tblW w:w="7536" w:type="dxa"/>
        <w:jc w:val="left"/>
        <w:tblInd w:w="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and enhancing administrative infrastructure, systems and processes; and</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new markets and potentially unforeseen challenges as they arise.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failure to manage our growth effectively could materially and adversely affect our business, prospects, results of operations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granted, and may continue to grant options and other types of awards under our share incentive plan, which may result in increased share-based compensation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adopted share incentive plans in 2015, 2016, 2017, 2018 and 2024, which we refer to as the 2015 Plan, the 2016 Plan, the 2017 Plan, the 2018 Plan and 2024 Plan, respectively, for the purpose of granting share-based compensation awards to employees, directors and consultants to incentivize their performance and align their interests with ours. The 2018 Plan became effective as of January 1, 2019 and expired on December 31, 2023. The 2024 Plan became effective as of February 7, 2024. We recognize expenses in our consolidated statement of income in accordance with U.S. GAAP. Under our share incentive plans, we are authorized to grant options and other types of awards. Under the 2015 Plan, the 2016 Plan and the 2017 Plan, the maximum numbers of Class A ordinary shares which may be issued pursuant to all awards are 46,264,378, 18,000,000 and 33,000,000, respectively. Under the 2018 Plan, a maximum number of 23,000,000 Class A ordinary shares may be issued pursuant to all awards. This amount should automatically increase each year by the number of shares representing 1.5% of the then total issued and outstanding share capital of our company as of the end of each preceding year during the term of the 2018 Plan. The maximum number of shares available for issuance pursuant to all awards under the 2024 Plan was initially 19,288,470 Class A ordinary shares, and the amount automatically increases at the beginning of each new year by the number of shares representing 1.2% of the then total issued and outstanding share capital of our company as of the last day of the immediately preceding fiscal year during the term of the 2024 Plan. In addition, any awards not granted under an earlier plan when it terminates are automatically added to the 2024 Plan. As of April 7, 2025, awards to purchase an aggregate amount of 115,271,729 Class A ordinary shares under the 2015 Plan, the 2016 Plan, the 2017 Plan, the 2018 Plan and the 2024 Plan had been granted and were outstanding, excluding awards that were forfeited or cancelled after the grant dates. In addition, one of our subsidiaries also adopted a share incentive plan in 2021, pursuant to which the subsidiary can grant share options to its employees. As of December 31, 2024, our unrecognized share-based compensation expenses related to the stock option and restricted shares amounted to RMB3,527.4 million (US$483.2million).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the granting of share-based awards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prospective candidates and existing employees often consider the value of the equity awards they receive in connection with their employment. Thus, our ability to attract or retain highly skilled employees may be adversely affected by declines in the perceived value of our equity or equity awards. Furthermore, there are no assurances that the number of shares reserved for issuance under our share incentive plans will be sufficient to grant equity awards adequate to recruit new employees and to compensate existing employees.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do not appropriately maintain effective internal control over financial reporting in accordance with Section 404 of the Sarbanes-Oxley Act of 2002, we may be unable to accurately report our financial results and the market price of our ADSs may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reporting obligations under the U.S. securities laws. The SEC, as required under Section 404 of the Sarbanes-Oxley Act of 2002, adopted rules requiring public companies to include a report of management on such company’s internal control over financial reporting in its document, which contains management’s assessment of the effectiveness of the company’s internal control over financial reporting. We were subject to such requirement starting from the fiscal year of 2019. In addition, an independent registered public accounting firm must attest to and report on the effectiveness of the company’s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has concluded that our internal control over financial reporting was effective as of December 31, 2024. In addition, our independent registered public accounting firm has audited the effectiveness of our internal control over financial reporting as of December 31,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future,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with adverse opinion if it is not satisfied with our internal controls or the level at which our controls are documented, designed, operated or reviewed, or if it interprets the requirements differently from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fail to implement and maintain an effective internal control environment, we could suffer material misstatements in our consolidated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listed securities. Furthermore, we may incur additional costs and use additional management and other resources as our business and operations further expand or in an effort to remediate any significant control deficiencies that may be identified in the future.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our suppliers fail to use ethical business practices and comply with applicable laws and regulations, our brand image could be harmed due to negative publicity.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core values, which include developing high quality electric vehicles while operating with integrity, are an important component of our brand image, which makes our reputation sensitive to allegations of unethical business practices. We do not control our independent suppliers or their business practices. Accordingly, we cannot guarantee their compliance with ethical business practices, such as environmental responsibilities, fair wage practices, and compliance with child labor laws, among others. A lack of demonstrated compliance could lead us to seek alternative suppliers, which could increase our costs and result in delayed delivery of our products, product shortages or other disruptions of our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Violation of labor or other laws by our suppliers or the divergence of an independent supplier’s labor or other practices from those generally accepted as ethical in the markets in which we do business could also attract negative publicity for us and our brands. This could diminish the value of our brand image and reduce demand for our electric vehicles if, as a result of such violation, we were to attract negative publicity. If we, or other players in our industry, encounter similar problems in the future, it could harm our brand image, business, prospects,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update our manufacturing equipment more quickly than expected, we may have to shorten the useful lives of any equipment to be retired, which could negatively affect our financial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invested, and we expect to continue to invest, significantly in what we believe is state of the art tooling, machinery and other manufacturing equipment, and we depreciate the cost of such equipment over their expected useful lives. Manufacturing technology may evolve rapidly, and therefore we may decide to update our manufacturing process with advanced equipment more quickly than expected. Moreover, as our engineering and manufacturing expertise and efficiency increase, we may be able to manufacture our products using less of our installed equipment. The useful life of any equipment that would be retired early as a result would be shortened, causing the depreciation on such equipment to be accelerated, and to the extent we own such equipment, our results of operations could be negatively impacted. An increased amount of investment into the manufacturing plants will lead to an increased cost in asset depreciation and amortization, which could negatively affect our results of operations and financial conditions.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construction and operation of our manufacturing facilities are subject to regulatory approvals or filings and may be subject to changes, delays, cost overruns or may not produce expected benefits.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February 2020, we entered into a collaboration framework agreement with the municipal government of Hefei, Anhui province. Subsequently from April to June 2020, we entered into definitive agreements, as amended and supplemented, for investments in NIO China. Pursuant to the definitive agreements, we collaborated with the Hefei Strategic Investors and Hefei Economic and Technological Development Area to develop NIO China’s business and to support the accelerated development of the smart electric vehicle sectors in Hefei. In February 2021, we, through NIO China, entered into a further collaboration framework agreement with the municipal government of Hefei, Anhui province, pursuant to which the Hefei government and NIO China agreed in principle to jointly build a world-class industrial campus to support the development and innovations of the smart electric vehicle industry and related supply chains led by NIO China. In addition, the Hefei government and its associated parties plan to re-invest their returns from the equity investments in NIO China to support the further cooperation in Hefei.</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PRC law, construction projects are subject to broad and strict government supervision and approval procedures, including but not limited to project approvals and filings, construction land and project planning approvals, environment protection approvals, pollution discharge permits, work safety approvals, fire protection approvals, and the completion of inspection and acceptance by authorities. Some of the construction projects being carried out by us are undergoing necessary approval procedures as required by law. As a result, the entities operating such construction projects may be subject to administrative uncertainty, and construction projects in question may be subject to fines or the suspension of use of such projects. Failure to complete the construction projects on schedule and within budget, and failure to obtain necessary approvals or any incompliance with government supervision could have a material adverse impact on our operations, and we may not be able to find commercially reasonable alternatives.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vehicles make use of lithium-ion battery cells, which have been observed to catch fire or vent smoke and flame.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batteries that we produce make use of lithium-ion cells. On rare occasions, lithium-ion cells can rapidly release the energy they contain by venting smoke and flames in a manner that can ignite nearby materials as well as other lithium-ion cells. While we have designed the battery to passively contain any single cell’s release of energy without spreading to neighboring cells, and have taken measures to enhance the safety of our battery designs, a field or testing failure of our vehicles or other batteries that we produce could occur in the future, which could subject us to lawsuits, product recalls, or redesign efforts, all of which would be time-consuming and expensive. Also, negative public perceptions regarding the suitability of lithium-ion cells for automotive applications or any future incident involving lithium-ion cells such as a vehicle or other fire, even if such incident does not involve our vehicles, could seriously harm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store a significant number of lithium-ion cells at our facilities. Any mishandling of battery cells may cause disruption to the operation of our facilities. While we have implemented safety procedures related to the handling of the cells, a safety issue or fire related to the cells could disrupt our operations. Such damage or injury could lead to adverse publicity and potentially a safety recall. Moreover, any failure of a competitor’s electric vehicle or energy storage product may cause indirect adverse publicity for us and our products. Such adverse publicity could negatively affect our brands and harm our business, prospects, financial condition and operating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Interruption or failure of our information technology and communications systems could impact our ability to effectively provide our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aim to provide our users with an innovative suite of services through our mobile application. In addition, our in-car digital services depend, to a certain extent, on network connectivity. The availability and effectiveness of our services depend on the continued operation of our information technology and communications systems. Our systems are vulnerable to damage or interruption from, among other adverse effects, fire, terrorist attacks, natural disasters, power loss, telecommunications failures, computer viruses, computer denial of service attacks or other attempts to harm our systems. Our data centers are also subject to break-ins, sabotage, and intentional acts of vandalism, and potential disruptions. Some of our systems are not fully redundant, and our disaster recovery planning cannot account for all eventualities. Any outage problems at our data centers could result in potential interruptions in our digital service. In addition, our products and services are highly technical and complex and may contain errors or vulnerabilities, which could result in interruptions in our services or the failure of our systems.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anti-corruption, anti-money laundering and similar laws, non-compliance with which can subject us to penalties and expenses, which could adversely affect our business, financial condition and reputation.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anti-corruption, anti-bribery, anti-money laundering, financial and economic sanctions and similar laws and regulations in various jurisdictions in which we conduct activities, including, among others, the U.S. Foreign Corrupt Practices Act and the U.K. Bribery Act 2010. These acts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Foreign Corrupt Practices Act also requires companies to make and keep books, records and accounts that accurately reflect transactions and dispositions of assets and to maintain a system of adequate internal accounting controls. The U.K. Bribery Act also prohibits non-governmental “commercial” bribery and soliciting or accepting bribes. A violation of these laws or regulations could adversely affect our business, results of operations, financial condition and reputation.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direct or indirect interactions with officials and employees of government agencies and state-owned affiliated entities in the ordinary course of business. We have also entered into joint ventures and/or other business partnerships with government agencies and state-owned or affiliated entities. These interactions subject us to an increased level of compliance-related concerns. We are in the process of implementing policies and procedures designed to ensure that we and our directors, officers, employees, representatives, consultants, agents and business partners comply with applicable anti-corruption, anti-bribery, anti-money laundering, financial and economic sanctions and similar laws and regulations. However, our policies and procedures may not be sufficient and our directors, officers, employees, representatives, consultants, agents, and business partners could engage in improper conduct for which we may be held responsible.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results of operations, financial condition and reputation. In addition, changes in economic sanctions laws in the future could adversely impact our business and investments in our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unauthorized control or manipulation of our vehicles’ systems could result in loss of confidence in us and our vehicles and harm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vehicles contain complex information technology systems. For example, our vehicles are designed with built-in data connectivity to accept and install periodic remote updates from us to enhance or update the functionality of our vehicles. We have designed, implemented and tested security measures intended to prevent unauthorized access to our information technology networks, our vehicles and their systems. However, it is likely that there will be hackers who attempt to gain unauthorized access to modify, alter and use such networks, vehicles and systems to gain control of, or to change, our vehicles’ functionality, user interface and performance characteristics, or to gain access to data stored in or generated by the vehicle. Vulnerabilities could be identified in the future and our remediation efforts may not be successful. Any unauthorized access to or control of our vehicles or their systems or any loss of data could result in legal claims or proceedings. In addition, regardless of their veracity, reports of unauthorized access to our vehicles, their systems or data, as well as other factors that may result in the perception that our vehicles, their systems or data are capable of being “hacked,” could negatively affect our brands and harm our business, prospects, financial condition and operating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financial condition and results of operations may be adversely affected by natural disasters, health epidemics and other outbreaks.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could be adversely affected by the effects of epidemics. In recent years, there have been outbreaks of epidemics in China and globally, including the COVID-19 pandemic. Our results of operations could be adversely affected to the extent that future outbreak harms the Chinese economy in general. Further, to the extent the future outbreaks adversely affect our business and financial results, they may heighten many of the other risks described in this annual report, such as those relating to our level of indebtedness, our need to generate sufficient cash flows to service our indebtedness and our ability to comply with the covenants contained in the agreements that govern our indebtedness.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also vulnerable to natural disasters and other calamities. Our vehicle production, supply chain, sales and delivery and our service operations and capacities could be materially and adversely affected by natural disasters and other calamities in the areas where we operate and where our vehicles are sold to. For example, in July 2021, our deliveries of vehicles and power services were interrupted due to the flood in Henan province and the typhoon in Shanghai and several other neighboring cities. Although we have servers that are hosted in an offsite location, our backup system does not capture data on a real-time basis and we may be unable to recover certain data in the event of a server failure.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 on our platform.</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revenues and financial results may be adversely affected by any economic slowdown in China as well as globally.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success of our business ultimately depends on consumer spending. We derive a substantial majority of our revenues from China. As a result, our revenues and financial results are impacted to a significant extent by economic conditions in China. The growth rate of the Chinese economy has gradually slowed down since 2010 and the Chinese population began to decline in 2022, and the trend may continue. Any slowdown could significantly reduce domestic commerce in China. In addition, as we continue to expand our global presence and offer products and services to markets outside China, we expect our results of operations will also be impacted by the global economic conditions. The global macroeconomic environment is facing numerous challenges. For example, the Federal Reserve and other central banks outside of China have raised interest rates. There is considerable uncertainty over the long-term effects of the previous expansionary monetary and fiscal policies adopted by the central banks and financial authorities of some of the world’s leading economies, including the United States and China, and the ongoing transmission of monetary policy in the United States and Europe. The Russia-Ukraine conflict, the Hamas-Israel conflict and the attacks on shipping in the Red Sea have heightened geopolitical tensions across the world, while it has not had a direct impact on our business operations and financial results to date, it could raise energy prices, cause supply chain volatilities and disrupt global markets in general, and may negatively affect our business expansion in Europe and other international markets, which may adversely affect our results of operations and financial results. Regional unrest, terrorist threats and the potential for war may increase market volatility across the globe. There have also been concerns about the relationship between China and other countries, including the surrounding Asian countries, which may potentially have economic effects. In particular, there is significant uncertainty about the future relationship between the United States and China with respect to trade policies, treaties, government regulations and tariffs. Economic conditions in China are sensitive to global economic conditions, as well as changes in domestic economic and political policies and the expected or perceived overall economic growth rate in China. Any severe or prolonged slowdown in the global or Chinese economy may materially and adversely affect our business, results of operations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Sales of electric vehicles, depend in part on discretionary consumer spending and are even more exposed to adverse changes in general economic conditions. In response to their perceived uncertainty in economic conditions, consumers might delay, reduce or cancel purchases of our electric vehicles and our results of operations may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cannot predict the duration or direction of current trends or their impact on China and globally. If we experience unfavorable global market conditions, or if we cannot or do not maintain operations at a scope that is commensurate with such conditions or are later required to or choose to suspend such operations again, our business, prospects, financial condition and operating results may be harmed.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Shutdowns of the U.S. federal government could materially impair our business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Development of our product candidates and/or regulatory approval may be delayed for reasons beyond our control. For example, over the last several years the U.S. government has shut down several times and certain regulatory agencies, such as the SEC, have had to furlough critical SEC and other government employees and stop critical activities. In our operations as a public company, future government shutdowns could impact our ability to access the public markets, such as delaying the declaration of effectiveness of registration statements and obtaining necessary capital to properly capitalize and continue our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There are uncertainties relating to our users trust arrangement involving a portion of our chairman’s shareholding in our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conjunction with our pursuit of being a user enterprise and with the goal of building a deeper connection between NIO and our users, Mr. Bin Li, our founder, chairman of the board of directors and chief executive officer, transferred certain of his ordinary shares to NIO Users Trust after the completion of the initial public offering of our ADSs on the New York Stock Exchange in September 2018. As of the date of this annual report, NIO Users Trust holds 16,967,776 Class A ordinary shares and 33,032,224 Class C ordinary shares through two holding companies controlled by it. Mr. Li continues to retain the voting rights of these shares. In 2019, our user committee adopted the NIO Users Trust Charter by way of voting, and established a User Council to generally discuss and give advice on the management and the operation of NIO Users Trust. In this way, our users have the opportunity to discuss and propose the use of the economic benefits from the shares in NIO Users Trust, which is intended to be composed mainly of the dividends from the shares that it holds, future interests accrued from and investment returns generated by cash assets to be held under the trust, and proceeds from the pledging of such shares from time to time, through the User Council consisting of members of our user community elected by our users. See “Item 4. Information on the Company—B. Business Overview—User Development and User Community—NIO Users Trust” for further details about NIO Users Trust.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current NIO Users Trust Charter provides certain mechanisms for the User Council to discuss the management and supervision of the operations of NIO Users Trust. There is no assurance that such current mechanisms for managing the operations of NIO Users Trust we have adopted are to the satisfaction of all of our users, or that such mechanisms will be carried out in the way it was intended. The User Council may not be able to achieve its intended work focus or carry out their work effectively and efficiently as the power to give instructions to the trustee vests with the settlor, protector and investment advisor of the trust. Furthermore, depending on the proposed use of the economic interests of the shares held by the NIO Users Trust in the future, there could be accounting implications to us that cannot presently be ascertained.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and certain of our directors and officers have been named as defendants in shareholder class action lawsuits and legal proceedings, which could have a material adverse impact on our business, financial condition, cash flows and reputation.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Several shareholder class action lawsuits have been filed against us and certain of our directors and officers. See “Item 8. Financial Information—A. Consolidated Statements and Other Financial Information—Legal Proceedings” for more details. We are currently unable to estimate the potential loss, if any, associated with the resolution of such lawsuits, if they proceed. We anticipate that we will continue to be a target for lawsuits in the future, including class action lawsuits brought by shareholders. From time to time, we may also be involved in legal proceedings in the ordinary course of our business. There can be no assurance that we will be able to prevail in our defense or reverse any unfavorable judgment on appeal, and we may decide to settle lawsuits on unfavorable terms. Any adverse outcome of these cases, including any plaintiffs’ appeal of the judgment in these cases, could result in payments of substantial monetary damages or fines, changes to our business practices, or negative publicity, and thus have a material adverse effect on our business, financial condition, results of operation, cash flows and reputation. In addition, there can be no assurance that our insurance carriers will cover all or part of the defense costs, or any liabilities that may arise from these matters. The litigation process may utilize a significant portion of our cash resources and divert management’s attention from the day-to-day operations of our company, all of which could harm our business. We also may be subject to claims for indemnification related to these matters, and we cannot predict the impact that indemnification claims may have on our business or financial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Corporate Structure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the PRC government deems that our VIE arrangements do not comply with PRC laws, or if these PRC laws change, we could be subject to severe penalties or be forced to relinquish our interests in those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Foreign ownership of certain areas of businesses is subject to restrictions and prohibitions under current PRC laws and regulations. For example, pursuant to the 2024 Negative List, foreign investors are not allowed to, among other things, (i) own more than 50% of the equity interests in a value-added telecommunication service provider (other than for e-commerce, domestic multi-parties communications, storage and forwarding categories, call centers); and (ii) invest in certain services related to autonomous driving. Additionally, in practice, subject to the qualifications set by the China Banking and Insurance Regulatory Commission for foreign shareholders of the insurance brokerage companies, the China Banking and Insurance Regulatory Commission typically would not approve the establishment of foreign-invested insurance brokerage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Cayman Islands exempted company and our PRC subsidiaries are considered foreign-invested enterprises. Accordingly, we have entered into a series of contractual arrangements with Beijing NIO, Anhui NIO AT, Anhui NIO DT and their respective shareholders that enable us to hold or to apply for all the required licenses in China, including, among others, the ICP license, the insurance brokerage license and certain licenses relating to the operation of certain services related to autonomous driving. For a detailed description of these contractual arrangements, see “Item 4. Information on the Company—C. Organizational Structure—Contractual Agreements with the VIEs and Their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the opinion of Han Kun Law Offices, our PRC legal counsel, (i) the ownership structures of NIO Co., Ltd. and Beijing NIO, the ownership structure of Anhui NIO AD and Anhui NIO AT, and the ownership structure of NIO China and Anhui NIO DT, in China do not result in any violation of PRC laws and regulations currently in effect; and (ii) the contractual arrangements between our subsidiaries, the VIEs and their shareholders governed by PRC laws will not result in any violation of PRC laws or regulations currently in effect. However, we have been advised by our PRC legal counsel that there are substantial uncertainties regarding the interpretation and application of current and future PRC laws, regulations and rules, and there can be no assurance that the PRC regulatory authorities will take a view that is consistent with the opinion of our PRC legal counsel. See “Item 4. Information on the Company—B. Business Overview—Regulations— Regulations on Foreign Investment in China” and “Item 3. Key Information—D. Risk Factors—Risks Related to Doing Business in China—Our business may be significantly affected by the Foreign Investment Law.” It is uncertain whether any new PRC laws or regulations relating to VIE structures will be adopted or, if adopted, what they would provide.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 ownership structure, contractual arrangements and businesses of our PRC subsidiaries or the VIEs are found to be in violation of any existing or future PRC laws or regulations, or our PRC subsidiaries or the VIEs fail to obtain or maintain any of the required permits or approvals, the PRC regulatory authorities would have broad discretion to take action in dealing with such violations or failures, including:</w:t>
      </w:r>
    </w:p>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revoking the business licenses and/or operating licenses of such entities;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shutting down our servers or blocking our website, or discontinuing or placing restrictions or onerous conditions on our operation through any transactions between our PRC subsidiaries and the VIEs;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imposing fines, confiscating the income from our PRC subsidiaries or the VIEs, or imposing other requirements with which we or the VIEs may not be able to comply;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us to restructure our ownership structure or operations, including terminating the contractual arrangements with the VIEs and deregistering the equity pledge of the VIEs, which in turn would affect our ability to consolidate, derive economic interests from, or exert effective control over the VIEs;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restricting or prohibiting our use of the proceeds of any financing outside China to finance our business and operations in China, and taking other regulatory or enforcement actions that could be harmful to our business.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these actions could cause significant disruption to our business operations and severely damage our reputation, which would in turn materially and adversely affect our business, financial condition and results of operations. If any of these occurrences results in our inability to direct the activities of the VIEs that most significantly impact their economic performance, and/or our failure to receive the economic benefits from the VIEs, we may not be able to consolidate the entities in our consolidated financial statements in accordance with U.S. GAAP. Currently, Beijing NIO, Anhui NIO AT, and Anhui NIO DT, taking into account all of their respective business with or without foreign investment restrictions under PRC laws, contributed insignificantly to our total revenues in 2022, 2023 and 2024. As of December 31, 2022, 2023 and 2024, the consolidated VIEs did not have significant operations or any material assets or liabilities.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contractual arrangements with the VIEs and their shareholders to hold a controlling financial interest over each VIE, which may not be as effective as direct ownership in providing operational control.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relied and expect to continue to rely on contractual arrangements with Beijing NIO, Anhui NIO AT, Anhui NIO DT and their shareholders to maintain a controlling financial interest as the primary beneficiary of each of them (as defined in U.S. GAAP, ASC 810) and to conduct a portion of our operations in China. For a description of these contractual arrangements, see “Item 4. Information on the Company—C. Organizational Structure—Contractual Agreements with the VIEs and Their Shareholders.” The shareholders of VIEs may not act in the best interests of our company or may not perform their obligations under these contracts. If we had direct ownership of the VIEs, we would be able to exercise our rights as a shareholder to control the VIEs to exercise rights of shareholders to effect changes in the board of directors of the VIEs, which in turn could implement changes, subject to any applicable fiduciary obligations, at the management and operational level. However, under the contractual arrangements, we would rely on legal remedies under PRC law for breach of contract in the event that the VIEs and their shareholders did not perform their obligations under the contracts. These legal remedies may not be as effective as direct ownership in providing us with control over the VIEs.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 VIEs or their shareholders fail to perform their obligations under the contractual arrangements, we may have to incur substantial costs and expend additional resources to enforce such arrangements, and rely on legal remedies under PRC laws, including contractual remedies, which may not be sufficient or effective. All of the agreements under our contractual arrangements are governed by and interpreted in accordance with PRC laws, and disputes arising from these contractual arrangements will be resolved through arbitration in China. Uncertainties in the interpretation and enforcement of PRC laws and regulations could limit our ability to enforce these contractual arrangements. Meanwhile, there are very few precedents and little formal guidance as to how contractual arrangements in the context of a VIE should be interpreted or enforced under PRC law. There remain significant uncertainties regarding the ultimate outcome of such arbitration should legal action become necessary. In addition, under PRC laws, rulings by arbitrators are final, parties cannot appeal the arbitration results in courts, and if the losing parties fail to carry out the arbitration awards within a prescribed time limit, the prevailing parties may only enforce the arbitration awards in the PRC courts through arbitration award recognition proceedings, which would require additional expenses and delay. If we are unable to enforce these contractual arrangements, or if we suffer significant delay or face other obstacles in the process of enforcing these contractual arrangements, we may not be able to exert effective control over the VIEs, and our ability to conduct our business may be negatively affected. See “Risks Related to Doing Business in China—Uncertainties in the interpretation and enforcement of PRC laws and regulations could limit the legal protections available to you and us.”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ability to enforce the equity pledge agreements between us and the VIEs’ shareholders may be subject to limitations based on PRC laws and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equity pledge agreements under our VIE contractual arrangements, each shareholder of the VIEs agrees to pledge its equity interests in the respective VIE to our PRC subsidiary to secure the respective VIE’s performance of its obligations under the contractual arrangements. The equity pledges of shareholders of each VIE under equity pledge agreements have been registered with the local branch of the State Administration for Market Regulation. In addition, in the registration forms of the local branch of the State Administration for Market Regulation for the pledges over the equity interests under the equity pledge agreements, the aggregate amount of registered equity interests pledged to NIO Co., Ltd. represents 100% of the registered capital of Beijing NIO, the aggregate amount of registered equity interests pledged to Anhui NIO AD represents 100% of the registered capital of Anhui NIO AT, and the aggregate amount of registered equity interests pledged to NIO China represents 100% of the registered capital of Anhui NIO DT See “Item 4. Information on the Company—C. Organizational Structure—Contractual Agreements with the VIEs and Their Shareholders” for more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equity pledge agreements with the VIEs’ shareholders provide that the pledged equity interests shall constitute continuing security for any and all of the indebtedness, obligations and liabilities under all of the principal service agreements and the scope of pledge shall not be limited by the amount of the registered capital of that VIE. However, a PRC court may take the position that the amount listed on the equity pledge registration forms represents the full amount of the collateral that has been registered and perfected. If this is the case, the obligations that are supposed to be secured in the equity pledge agreements in excess of the amount listed on the equity pledge registration forms could be determined by the PRC court as unsecured debt, which typically takes last priority among creditors.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shareholders of the VIEs have conflicts of interest with us, which may materially and adversely affect our business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founders, Bin Li and Lihong Qin, own 80% and 20%, respectively, of the equity interests in Beijing NIO and Anhui NIO DT, and own 80% and 2.24%, respectively, of the equity interests in Anhui NIO AT. Shaoqing Ren, a vice president of our company, owns 17.76% of the equity interests in Anhui NIO AT. See “Item 4. Information on the Company—C. Organizational Structure—Contractual Agreements with the VIEs and Their Shareholders” for more information. As shareholders of the VIEs, they have conflicts of interest with us. These shareholders may breach, or cause the VIEs to breach, or refuse to renew, the existing contractual arrangements we have with them and the VIEs, which would have a material and adverse effect on our ability to effectively control the VIEs and receive economic benefits from it. For example, the shareholders may be able to cause our agreements with the VIEs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Currently, we do not have any arrangements to address conflicts of interest between these shareholders and our company. Each of Bin Li and Lihong Qin is also a director and executive officer of our company, and Shaoqing Ren is a vice president of our company. We rely on Bin Li, Lihong Qin and Shaoqing Ren to abide by the laws of the Cayman Islands and China, which provide that directors and senior management owe a fiduciary duty to the company that requires them to act in good faith and in what they believe to be the best interests of the company and not to use their position for personal gain. There is currently no specific and clear guidance under PRC laws that addresses any conflict between PRC laws and the laws of Cayman Islands in respect of any conflict relating to corporate governance. If we cannot resolve any conflict of interest or dispute between us and the shareholders of VIEs, we would have to rely on legal proceedings, which could result in disruption of our business and subject us to substantial uncertainty as to the outcome of any such legal proceedings.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contractual arrangements with the VIEs may be subject to scrutiny by the PRC tax authorities and they may determine that we or the VIEs owe additional taxes, which could negatively affect our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between our PRC subsidiaries the VIEs in China, and the VIEs’ shareholders were not entered into on an arm’s length basis in such a way as to result in an impermissible reduction in taxes under applicable PRC laws, rules and regulations, and adjust VIEs’ income in the form of a transfer pricing adjustment. A transfer pricing adjustment could, among other things, result in a reduction of expense deductions recorded by VIEs for PRC tax purposes, which could in turn increase their tax liabilities without reducing our PRC subsidiary’s tax expenses. If any of our PRC subsidiaries requests the shareholders of the respective VIE to transfer their equity interests in such VIE at nominal or no value pursuant to the contractual agreements, such transfer could be viewed as a gift and subject our PRC subsidiary to PRC income tax. Furthermore, the PRC tax authorities may impose late payment fees and other penalties on VIEs for the adjusted but unpaid taxes according to the applicable regulations. Our financial position could be materially and adversely affected if any of the VIEs’ tax liabilities increase or if any VIE is required to pay late payment fees and other penalties.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lose the ability to use and benefit from assets held by the VIEs that are material to the operation of our business if the VIEs go bankrupt or becomes subject to dissolution or liquidation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part of our contractual arrangements with the VIEs, the entities may in the future hold certain assets that are material to the operation of our business. If any VIE goes bankrupt and all or part of its assets become subject to liens or rights of third-party creditors, we may be unable to continue some or all of our business activities, which could materially and adversely affect our business, financial condition and results of operations. Under the contractual arrangements, the VIEs may not, in any manner, sell, transfer, mortgage or dispose of their assets or legal or beneficial interests in the business without our prior consent. If any VIE undergoes voluntary or involuntary liquidation proceedings, unrelated third-party creditors may claim rights to some or all of these assets, thereby hindering our ability to operate our business, which could materially and adversely affect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Divestitures of businesses and assets may have a material and adverse effect on our business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undertake in the future, partial or complete divestitures or other disposal transactions in connection with certain of our businesses and assets, particularly ones that are not closely related to our core focus areas or might require excessive resources or financial capital, to help our company meet its objectives. These decisions are largely based on our management’s assessment of the business models and likelihood of success of these businesses. However, our judgment could be inaccurate, and we may not achieve the desired strategic and financial benefits from these transactions. Our financial results could be adversely affected by the impact from the loss of earnings and corporate overhead contribution/allocation associated with divested businesses.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Dispositions may also involve continued financial involvement in the divested business, such as through guarantees, indemnities or other financial obligations. Under these arrangements, performance by the divested businesses or other conditions outside of our control could affect our future financial results. We may also be exposed to negative publicity as a result of the potential misconception that the divested business is still part of our consolidated group. On the other hand, we cannot assure you that the divesting business would not pursue opportunities to provide services to our competitors or other opportunities that would conflict with our interests. If any conflicts of interest that may arise between the divesting business and us cannot be resolved in our favor, our business, financial condition, results of operations could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reducing or eliminating our ownership interests in these businesses might negatively affect our operations, prospects, or long-term value. We may lose access to resources or know-how that would have been useful in the development of our own business. Our ability to diversify or expand our existing businesses or to move into new areas of business may be reduced, and we may have to modify our business strategy to focus more exclusively on areas of business where we already possess the necessary expertise. We may sell our interests too early, and thus forego gains that we otherwise would have received had we not sold. Selecting businesses to dispose of or spin off, finding buyers for them (or the equity interests in them to be sold) and negotiating prices for what may be relatively illiquid ownership interests with no easily ascertainable fair market value will also require significant attention from our management and may divert resources from our existing business, which in turn could have an adverse effect on our business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Hong Kong Stock Exchange has granted us a waiver from strict compliance with the requirements in Paragraph 3(b) of Practice Note 15 to the Hong Kong Listing Rules such that we are able to list a subsidiary entity on the Hong Kong Stock Exchange within three years of the listing of our Class A ordinary shares on the Hong Kong Stock Exchange. While we currently do not have any plan with respect to any spin-off listing on the Hong Kong Stock Exchange, we may consider a spin-off listing on the Hong Kong Stock Exchange for one or more of our businesses within the three-year period subsequent to our listing in Hong Kong. The waiver granted by the Hong Kong Stock Exchange is conditional upon us confirming to the Hong Kong Stock Exchange in advance of any spin-off that it would not render our company incapable of fulfilling the eligibility requirements under Rule 19C.05 of the Hong Kong Listing Rules based on the financial information of the entity or entities to be spun-off at the time of the listing of our Class A ordinary shares on the Hong Kong Stock Exchange (calculated cumulatively if more than one entity is spun-off).</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Doing Business in China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ADSs may be prohibited from trading in the United States under the HFCAA in the future if the PCAOB is unable to inspect or investigate completely auditors located in China. The delisting or prohibition of trading of the ADSs, or the threat of their being delisted or prohibited from trading, may materially and adversely affect the value of your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In May 2022, the SEC conclusively listed us as a Commission-Identified Issuer under the HFCAA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As of the date of this annual report, the PCAOB has not issued any new determination that it is unable to inspect or investigate completely registered public accounting firms headquartered in any jurisdiction. For this reason, we do not expect to be identified as a Commission-Identified Issuer under the HFCAA after we file this annual report on Form 20-F.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Although our Class A ordinary shares have been listed on the Hong Kong Stock Exchange and the Singapore Exchange, and the ADSs and Class A ordinary shares are fully fungible, we cannot assure you that an active trading market for our Class A ordinary shares on the Hong Kong Stock Exchange and the Singapore Exchange will be sustained or that the ADSs can be converted and traded with sufficient market recognition and liquidity, if our shares and ADSs are prohibited from trading in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China’s economic, political or social conditions or government policies could have a material and adverse effect on our business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majority of our revenues are expected to be derived in China in the near future and most of our operations, including all of our manufacturing, is conducted in China. Accordingly, our results of operations, financial condition and prospects are influenced by economic, political and legal developments in China. The PRC government may influence China’s economic growth through strategically allocating resources, controlling the payment of foreign currency-denominated obligations, setting monetary policy and providing preferential treatment to particular industries or companies. While the PRC economy has experienced significant growth over the past decades, that growth has been uneven across different regions and between economic sectors.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leading to reduction in demand for our services and solutions and adversely affect our competitive position.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Uncertainties in the interpretation and enforcement of PRC laws and regulations could limit the legal protections available to you and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legal system is a civil law system based on written statutes. Prior court decisions may be cited for reference but have limited precedential value. Our PRC subsidiaries are foreign-invested enterprises and are subject to laws and regulations applicable to foreign-invested enterprises as well as various Chinese laws and regulations generally applicable to companies incorporated in China. However, since these laws and regulations are relatively new and the PRC legal system continues to rapidly evolve, the interpretations of many laws, regulations and rules are not always uniform and enforcement of these laws, regulations and rules involves uncertainties.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have to resort to administrative and court proceedings to enforce our legal rights. However, since PRC administrative and court authorities have significant discretion in interpreting and implementing statutory and contractual terms like other jurisdictions do, it may be difficult to evaluate the outcome of administrative and court proceedings and the level of protection we enjoy in China. Such uncertainties, including uncertainty over the scope and effect of our contractual, property (including intellectual property) and procedural rights, and any failure to respond to changes in the regulatory environment in China could materially and adversely affect our business and impede our ability to continue our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approval of or the filing with the CSRC or other PRC government authorities may be required in connection with our future offshore listings and capital raising activities. We cannot predict whether or for how long we will be able to obtain such approval or filing.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Regulations on Mergers and Acquisitions of Domestic Enterprises by Foreign Investors require an overseas special purpose vehicle formed for listing purposes through acquisitions of PRC domestic companies and controlled by PRC persons or entities to obtain the approval of the CSRC, prior to the listing and trading of such special purpose vehicle’s securities on an overseas stock exchange. The interpretation and application of the regulations remain unclear and uncertain. If the CSRC approval is required for any of our offshore listings and capital raising activities, it is uncertain whether we can or how long it will take us to obtain the approval and, even if we obtain such CSRC approval, such CSRC approval could be rescinded. Any failure to obtain or delay in obtaining the CSRC approval for our offshore listings and capital raising activities if such approval is required, or a rescission of such CSRC approval that we have obtained, would subject us to sanctions imposed by the CSRC or other PRC regulatory authorities, which could include fines and penalties on our operations in the PRC, restrictions or limitations on our ability to pay dividends outside of the PRC, and other forms of sanctions that may materially and adversely affect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July 6, 2021, the PRC government authorities issued the </w:t>
      </w:r>
      <w:r>
        <w:rPr>
          <w:rFonts w:ascii="Times New Roman;Times;serif" w:hAnsi="Times New Roman;Times;serif"/>
          <w:i/>
          <w:sz w:val="20"/>
        </w:rPr>
        <w:t>Opinions on Strictly Cracking Down Illegal Securities Activities in Accordance with the Law</w:t>
      </w:r>
      <w:r>
        <w:rPr>
          <w:rFonts w:ascii="Times New Roman;Times;serif" w:hAnsi="Times New Roman;Times;serif"/>
          <w:sz w:val="20"/>
        </w:rPr>
        <w:t>, which called for the enhanced administration over illegal securities activities and supervision of overseas-listed China-based companies, proposed to revise the regulation governing the overseas issuance and listing of shares by such companies and clarified the responsibilities of competent domestic industry regulators and government authorities.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17, 2023, the CSRC issued the Trial Administrative Measures of Overseas Securities Offering and Listing by Domestic Companies and five supporting guidelines, which took effect on March 31, 2023. According to these rules, the issuer or a major domestic operating company designated by the issuer, as the case may be, shall file with the CSRC, among other things, (i) with respect to its follow-on offering in the same foreign market within three business days, after completion of the follow-on offering, and (ii) with respect to its follow-on offering and listing in other foreign markets within three business days, after its initial filing of the listing application to the regulator in the place of such intended listing. Non-compliance with these rules or an overseas listing completed in breach of them may result in a warning on the domestic companies and a fine of RMB1 million to RMB10 million on them. Furthermore, the supervisors directly responsible and other directly responsible persons of the domestic enterprises may be warned, and fined between RMB500,000 to RMB5,000,000. The controlling shareholders or actual controllers of the domestic company which organize or instigate the illegal acts, or conceal matters resulting in the illegal acts, may be fined between RMB1 million to RMB10 million. On February 17, 2023, the CSRC issued the Notice on Administrative Arrangements for the Filing of Domestic Enterprise’s Overseas Offering and Listing, which stipulates the domestic enterprises like us that have completed overseas listings are not required to file with the CSRC in accordance with these rules immediately, but shall carry out filing procedures as required if we conduct refinancing or fall within other circumstances that require filing with the CSRC.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Considering that these rules have been promulgated recently, there are still some uncertainties about how to further refine and implement the requirements, which needs to be further guided and clarified by the CSRC and other regulatory authorities. If we have subsequent filing or reporting matters in the future, such as future offshore listings, refinancing and other capital raising activities, as well as other major events, including but not limited to the change of control, investigated or punished by overseas securities regulatory authorities or competent authorities, changing listing status or listing sector, terminating the listing voluntarily or forcibly, and changing our major business activities, given the substantial uncertainties surrounding the latest CSRC filing requirements at this stage, we cannot assure you that we will be able to complete the filings or reporting and fully comply with the new rules and requirements in a timely manner or at all. See “Item 4. Information on the Company—B. Business Overview—Regulations—M&amp;A Rules and Overseas Listing.”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CSRC or other PRC regulatory authorities also may take actions requiring us, or making it advisable for us, to halt our offshore listings or future capital raising activities before settlement and delivery of the proceeds hereby. Consequently, if you engage in market trading or other activities in anticipation of and prior to settlement and delivery, you do so at the risk that settlement and delivery may not occur. In addition, if the CSRC or other regulatory authorities later promulgate new rules or explanations requiring that we obtain their approvals or accomplish the required filing or other regulatory procedures for our offshore listings or future capital raising activities, we may be unable to obtain a waiver of such approval requirements, if and when procedures are established to obtain such a waiver. Any uncertainties or negative publicity regarding such approval, filing or other requirements could materially and adversely affect our business, prospects, financial condition, reputation, and the proceeds of the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adversely affected by the complexity, uncertainties and changes in PRC regulations on internet-related business, automotive businesses and other business carried out by our PRC subsidiaries and the VIEs.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operate in the automotive and internet industry, both of which are extensively regulated by the PRC government. For example, the PRC government imposes foreign ownership restrictions and licensing and permit requirements for companies in the internet industry. See “Item 4. Information on the Company—B. Business Overview—Regulations—Regulations on Foreign Investment in China” and “—Regulations on Value-added Telecommunications Services.” Manufacturing of our vehicles is subject to extensive regulations in China. See “Item 4. Information on the Company—B. Business Overview—Regulations—Regulations and Approvals Covering the Manufacturing of New Energy Vehicles.” These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 and furthermore, we cannot assure you that we have complied or will be able to comply with all applicable laws at all times. Consequently, we could face the risks of being subject to governmental investigations, orders by the competent authorities for rectification, administrative penalties or other legal proceedings.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Currently, we rely on the contractual arrangements with Beijing NIO and its shareholders to hold an ICP license, and separately own the domain names and trademarks in connection with our internet services and operate our website and mobile application through NIO Co., Ltd. Our internet services may be treated as a value-added telecommunications business. If so, we may be required to transfer the domain names, trademark and the operations of the internet services from NIO Co., Ltd. to Beijing NIO, and we may also be subject to administrative penalties. We rely on the contractual arrangements with Anhui NIO DT and its shareholders to operate insurance brokerage services. NIO Insurance Broker Co., Ltd., the subsidiary of Anhui NIO DT, currently holds an insurance brokerage license and provides insurance brokerage services primarily related to vehicles and properties. We intend to apply for requisite licenses for Anhui NIO AT for certain supporting functions during the development of our assisted and intelligent driving technology. Any challenge to the validity of these arrangements may significantly disrupt our business, subject us to sanctions, compromise enforceability of our contractual arrangements, or have other harmful effects on us. It is uncertain, (i) if Beijing NIO or NIO Co., Ltd. will be required to obtain a separate operating license for certain services that we carried out through our mobile application in addition to the valued-added telecommunications business operating licenses for internet content provision services, and if Beijing NIO will be required to supplement our current ICP license in the future, (ii) if Anhui NIO DT, its subsidiary or NIO China will be required to obtain a separate operating license for certain services that we carried out in addition to the insurance brokerage license, and if Anhui NIO DT or its subsidiary will be required to supplement our current insurance brokerage license in the future; and (iii) if Anhui NIO AT or Anhui NIO AD will be required to obtain a separate operating license for certain services that we carried out in addition to certain required licenses to be applied for, and if Anhui NIO AT will be required to supplement certain required licenses to be applied for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our mobile applications are also regulated by the Administrative Provisions on Information Services of Mobile Internet Applications promulgated by CAC in June 2022, which took effect on August 1, 2022 and replaces its predecessor regulation. According to these provisions, the providers of mobile applications shall be responsible for the information contents presented and shall not produce and disseminate illegal information and shall consciously prevent and resist unhealthy information. However, we cannot assure that all the information or content displayed on, retrieved from or linked to our mobile applications complies with the requirements of these provisions at all times. If our mobile applications were found to be violating these provisions, we may be subject to administrative penalties, including warning, service suspension or removal of our mobile applications from the mobile application store, which may materially and adversely affect our business and operating results.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interpretation and application of existing PRC laws, regulations and policies and possible new laws, regulations or policies relating to the internet industry, particularly the policies relating to value-added telecommunications services, have created substantial uncertainties regarding the legality of existing and future foreign investments in the businesses and activities of internet businesses in China, including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Several PRC regulatory authorities, such as the State Administration for Market Regulation, the NDRC, the Ministry of Industry and Information Technology, and the Ministry of Commerce, oversee different aspects of our operations, and we are required to obtain a wide range of government approvals, licenses, permits and registrations in connection with our operations. For example, certain filings must be made by automobile dealers through the information system for the national automobile circulation operated by the commerce department within 90 days after the receipt of a business license. Furthermore, the NEV industry is relatively new in China, and the PRC government has not adopted a clear regulatory framework to regulate the industry. As some of the laws, rules and regulations that we may be subject to were primarily enacted with a view toward application to ICE vehicles, or are relatively new, there is significant uncertainty regarding their interpretation and application with respect to our business. For example, it remains unclear under PRC laws whether our charging vans need to be registered with related local traffic management authorities or obtain transportation operation licenses for their services, and whether we would be required to obtain any particular permit or license to be qualified to provide our charging services in cooperation with third-party charging stations. In addition, the PRC government may enact new laws and regulations that require additional licenses, permits, approvals and/or registrations for the operation of any of our existing or future business. As a result, we cannot assure you that we have all the permits, licenses, registrations, approvals and/or business license covering the sufficient scope of business required for our business or that we will be able to obtain, maintain or renew permits, licenses, registrations, approvals and/or business license covering sufficient scope of business in a timely manner or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PRC government’s significant oversight over our business operation could result in a material adverse change in our operations and the value of our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conduct our business primarily in China. Our operations in China are governed by PRC laws and regulations. The PRC government has significant oversight over the conduct of our business, and may influence our operations as the government deems appropriate to advance regulatory and societal goals and policy positions. The PRC government has recently published new policies that significantly affected certain industries and we cannot rule out the possibility that it will in the future release regulations or policies that directly or indirectly affect our industry or require us to seek additional permission to continue our operations, which could result in a material adverse change in our operation and/or the value of our ADSs. Therefore, investors of our company and our business face potential uncertainty from actions taken by the PRC government affecting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rely on distributions by our PRC subsidiaries for our financing requirements, and any limitation on our PRC subsidiaries to make payments to us could have a material and adverse effect on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holding company, and we may rely on dividends and other distributions on equity paid by our PRC subsidiaries for our cash and financing requirements, including the funds necessary to pay dividends and other cash distributions to our shareholders and service any debt we may incur. Current PRC regulations permit our PRC subsidiaries to pay dividends to us only out of their accumulated after-tax profits upon satisfaction of statutory conditions and procedures, if any, determined in accordance with Chinese accounting standards and regulations. In addition, each of our PRC subsidiaries is required to set aside at least 10% of its after-tax profits each year, if any, to fund certain reserve funds until the total amount set aside reaches 50% of its registered capital. As of December 31, 2024, most of our PRC subsidiaries and the VIEs had not made appropriations to statutory reserves as our PRC subsidiaries and the VIEs reported accumulated loss. For a detailed discussion of applicable PRC regulations governing distribution of dividends, see “Item 4. Information on the Company—B. Business Overview—Regulations—Regulations on Dividend Distribution.” Additionally, if our PRC subsidiaries incur debt on their own behalf in the future, the instruments governing their debt may restrict their ability to pay dividends or make other distributions to us. Furthermore, the PRC tax authorities may require our subsidiaries to adjust their taxable income under the contractual arrangements they currently have in place with the VIEs in a manner that would materially and adversely affect their ability to pay dividends and other distributions to us. See “Risks Related to Our Corporate Structure—Our contractual arrangements with the VIEs may be subject to scrutiny by the PRC tax authorities and they may determine that we or the VIEs owe additional taxes, which could negatively affect our financial condition.” In addition, the incurrence of indebtedness by our PRC subsidiaries could result in operating and financing covenants and undertakings to creditors that would restrict the ability of our PRC subsidiaries to pay dividends to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 See “—If we are classified as a PRC resident enterprise for PRC income tax purposes, such classification could result in unfavorable tax consequences to us and our non-PRC shareholders or ADS holders.”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Increases in labor costs and enforcement of stricter labor laws and regulations in the PRC may adversely affect our business and our profitability.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China’s overall economy and the average wage in China have increased in recent years and are expected to grow. The average wage level for our employees has also increased in recent years. We expect that our labor costs, including wages and employee benefits, will increase. Unless we are able to pass on these increased labor costs to those who pay for our services, our profitability and results of operations may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have been subject to stricter regulatory requirements in terms of entering into labor contracts with our employees, limitation with respect to utilization of labor dispatching, applying for foreigner work permits, labor protection and labor condition and paying various statutory employee benefits, including pensions, housing fund,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Companies registered and operating in China are required under the PRC Social Insurance Law (latest amended in 2018) and the Regulations on the Administration of Housing Funds (latest amended in 2019) to, apply for social insurance registration and housing fund deposit registration within 30 days of their establishment, and to pay for their employees different social insurance including pension insurance, medical insurance, work-related injury insurance, unemployment insurance and maternity insurance to the extent required by law. However, certain of our PRC subsidiaries and the VIEs that do not hire any employees and are not a party to any employment agreement, have not applied for and obtained such registration, and instead of paying the social insurance payment on their own for their employees, certain of our PRC subsidiaries and the VIEs use third-party agencies to pay in the name of such agency. We could be subject to orders by the competent labor authorities for rectification and failure to comply with the orders may further subject us to administrative fines.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the interpretation and implementation of labor-related laws and regulations are still evolving, our employment practices may violate labor-related laws and regulations in China, which may subject us to labor disputes or government investigations. We cannot assure you that we have complied or will be able to comply with all labor-related law and regulations including those relating to obligations to make social insurance payments and contribute to the housing provident funds. If we are deemed to have violated labor laws and regulations, we could be required to provide additional compensation to our employees and our business, financial condition and results of operations will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in order to control labor costs, we conducted a series of organizational restructuring to cut headcount in 2019, which we believe has negatively affected our reputation, brand image and our ability to retain the remaining qualified staff and skilled employees. We could undertake an organizational restructuring again in the future, the occurrence of which will pose negative implications on our competitive position, cost us qualified employees and subject us to potential employment lawsuits. Any of the above would negatively affect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Fluctuations in exchange rates could have a material and adverse effect on our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conversion of RMB into foreign currencies, including U.S. dollars, is based on rates set by the People’s Bank of China. The RMB has fluctuated against the U.S. dollar, at times significantly and unpredictably. The value of RMB against the U.S. dollar and other currencies is affected by changes in China’s political and economic conditions and by China’s foreign exchange policies, among other things. We cannot assure you that RMB will not appreciate or depreciate significantly in value against the U.S. dollar in the future. It is difficult to predict how market forces or PRC or U.S. government policy may impact the exchange rate between RMB and the U.S. dollar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significant appreciation or depreciation of RMB may materially and adversely affect our revenues, earnings and financial position, and the value of, and any dividends payable on, our ADSs in U.S. dollars. For example, to the extent that we need to convert U.S. dollars we receive into RMB to pay our operating expenses, appreciation of RMB against the U.S. dollar would have an adverse effect on the RMB amount we would receive from the conversion. Conversely, a significant depreciation of RMB against the U.S. dollar may significantly reduce the U.S. dollar equivalent of our earnings, which in turn could adversely affect the price of our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Very limited hedging options are available in China to reduce our exposure to exchange rate fluctuations. While we have entered into and may continue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RMB into foreign currency. As a result, fluctuations in exchange rates may have a material adverse effect on your investment.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PRC regulation on funding PRC subsidiaries by offshore entities and governmental control of currency conversion may delay or prevent us from funding our PRC subsidiaries, which could materially and adversely affect our liquidity and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PRC laws and regulations, we are permitted to utilize the proceeds of any financing outside China to fund our PRC subsidiaries by making loans to or additional capital contributions to our PRC subsidiaries, subject to applicable government registration, statutory limitations on amount and approval requirements. For more details, see “Item 4. Information on the Company—B. Business Overview—Regulations—Regulations on Foreign Exchange.” These PRC laws and regulations may significantly limit our ability to use Renminbi converted from the net proceeds of any financing outside China to fund the establishment of new entities in China by our PRC subsidiaries, to invest in or acquire any other PRC companies through our PRC subsidiaries, or to establish new VIEs in China. Moreover, we cannot assure you that we will be able to complete the necessary registrations or obtain the necessary government approvals on a timely basis, if at all, with respect to future loans to our PRC subsidiaries or future capital contributions that we made to our PRC subsidiaries. If we fail to complete such registrations or obtain such approvals, our ability to use the proceeds we received or expect to receive from our offshore offerings and to capitalize or otherwise fund our PRC operations may be negatively affected, which could materially and adversely affect our liquidity and our ability to fund and expand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26, 2017, the NDRC issued the Management Rules for Overseas Investment by Enterprises. On February 11, 2018, the Catalog on Overseas Investment in Sensitive Industries (2018 Edition) was promulgated. Overseas investment governed by these rules refers to the investment activities conducted by an enterprise located in the territory of China either directly or via an overseas enterprise under its control through making investment with assets and equities or providing financing or guarantees in order to obtain overseas ownership, control, management rights and other related interests, and overseas investment by a PRC individual through overseas enterprises under his/her control is also subject to these rules. According to these rules, before being conducted, any overseas investment in a sensitive industry or any direct investment by a Chinese enterprise in a non-sensitive industry but with an investment amount over US$300 million requires approval from, or filing with, the NDRC, and for those non-sensitive investments indirectly by Chinese investors (including PRC individuals) with investment amounts over US$300 million need to be reported. However, uncertainties remain with respect to the interpretation and application of these rules, we are not sure whether our using of proceeds will be subject to these rules. If we fail to obtain the approval, complete the filing or report our overseas investment with our proceeds (as the case may be) in a timely manner provided that these rules are applicable, we may be forced to suspend or cease our investment, or be subject to penalties or other liabilities, which could materially and adversely affect our business, financial condition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Governmental control of currency conversion may limit our ability to utilize our revenues effectively.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government imposes controls on the convertibility of Renminbi into foreign currencies and, in certain cases, the remittance of currency out of China. Under existing PRC foreign exchange regulations, payments of current account items, such as profit distributions and trade and service-related foreign exchange transactions, can be made in foreign currencies without prior approval from the State Administration of Foreign Exchange, or SAFE, by complying with certain procedural requirements. However, approval from or registration with appropriate governmental authorities is required where Renminbi is to be converted into a foreign currency and remitted out of China to pay capital expenses, such as the repayment of loans denominated in foreign currencies. See “Item 4. Information on the Company—B. Business Overview—Regulations—Regulations on Foreign Exchange.”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2016, the PRC government has further tightened its foreign exchange policies and enhanced its scrutiny of major outbound capital movement. More restrictions and a substantial vetting process have been put in place by SAFE to regulate cross-border transactions falling under the capital account. The PRC government may also restrict access in the future to foreign currencies for current account transactions, at its discretion. We receive substantially all of our revenues in RMB. If the foreign exchange control system prevents us from obtaining sufficient foreign currencies to satisfy our foreign currency demands, we may not be able to pay dividends in foreign currencies to our shareholders, including holders of our ADSs.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PRC regulations on offshore investment by PRC residents may prevent our PRC subsidiaries from distributing profits to us or expose us or our PRC resident beneficial owners to penalties under PRC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SAFE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certain material events. See “Item 4. Information on the Company—B. Business Overview—Regulations—Regulations on Foreign Exchange—Offshore Investment.”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our shareholders who are PRC residents or entities do not complete their registration with the local SAFE branches, our PRC subsidiaries may be prohibited from distributing their profits and any proceeds from any reduction in capital, share transfer or liquidation to us, and we may be restricted in our ability to contribute additional capital to our PRC subsidiaries. Moreover, failure to comply with SAFE registration requirements could result in liability under PRC laws for evasion of applicable foreign exchange restrictions.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we may not be informed of the identities of all the PRC residents or entities holding direct or indirect interests in our company, nor can we compel our beneficial owners to comply with SAFE registration requirements. As a result, we cannot assure you that all of our shareholders or beneficial owners who are PRC residents or entities have complied with, and will in the future make or obtain any applicable registrations or approvals required by, SAFE regulations. Failure by such shareholders or beneficial owners to comply with SAFE regulations, or our failure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China’s M&amp;A Rules and other regulations establish complex procedures for certain acquisitions of PRC companies by foreign investors, which could make it difficult for us to pursue growth through acquisitions 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number of PRC laws and regulations have established procedures and requirements that could make merger and acquisition activities in China by foreign investors more time-consuming and complex. In addition to the Anti-Monopoly Law of China itself, these include the Rules on Mergers and Acquisitions of Domestic Enterprises by Foreign Investors, adopted by six PRC governmental and regulatory agencies in 2006 and amended in 2009, and the Rules of the Ministry of Commerce on Implementation of Security Review System of Mergers and Acquisitions of Domestic Enterprises by Foreign Investors, promulgated in 2011. These laws and regulations impose requirements in some instances that the Ministry of Commerce be notified in advance of any change-of-control transaction in which a foreign investor takes control of a PRC domestic enterprise. In addition, the Anti-Monopoly Law of China requires that the Ministry of Commerce be notified in advance of any concentration of undertaking if certain thresholds are triggered. Moreover, these rules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Ministry of Commerce, and prohibit any attempt to bypass a security review, including by structuring the transaction through a proxy or contractual control arrangement. In the future, we may grow our business by acquiring complementary businesses. Complying with the requirements of the regulations to complete such transactions could be time-consuming, and any required approval processes, including approval from the Ministry of Commerce, may delay or inhibit our ability to complete such transactions, which could affect our ability to expand our business or maintain our market share.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failure to comply with PRC regulations regarding the registration requirements for employee stock incentive plans may subject the PRC plan participants or us to fines and other legal or administrative sanctions.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SAFE regulations, PRC residents who participate in a stock incentive plan in an overseas publicly listed company are required to register with SAFE or its local branches and complete certain other procedures. See “Item 4. Information on the Company—B. Business Overview—Regulations—Regulations on Employment and Social Welfare—Employee Stock Incentive Plan.” We and our PRC resident employees who participate in our share incentive plans are subject to these regulations since we became a public company listed in the United States. If we or any of these PRC resident employees fail to comply with these regulations, we or such employees may be subject to fines and other legal or administrative sanctions. We also face regulatory uncertainties that could restrict our ability to adopt additional incentive plans for our directors, executive officers and employees under PRC law.</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Discontinuation of any of the preferential tax treatments and government subsidies or imposition of any additional taxes and surcharges could adversely affect our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PRC subsidiaries currently benefit from a number of preferential tax treatments. For example, one of our subsidiaries, NIO Technology (Anhui) Co., Ltd., is entitled to enjoy, after completing certain application formalities, a 15% preferential enterprise income tax from 2022 as it has been qualified as a “High and New Technology Enterprise” under the PRC Enterprise Income Tax Law and related regulations. The discontinuation of any of the preferential income tax treatment that we currently enjoy could have a material and adverse effect on our result of operations and financial condition. We cannot assure you that we will be able to maintain or lower our current effective tax rate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addition, our PRC subsidiaries have received various financial subsidies from PRC local government authorities. The financial subsidies result from discretionary incentives and policies adopted by PRC local government authorities. Local governments may decide to change or discontinue such financial subsidies at any time. The discontinuation of such financial subsidies or imposition of any additional taxes could adversely affect our financial condition and results of operations.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If we are classified as a PRC resident enterprise for PRC income tax purposes, such classification could result in unfavorable tax consequences to us and our non-PRC shareholders or ADS holders.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Under the PRC Enterprise Income Tax Law and its implementation rules, an enterprise established outside of the PRC with a “de facto management body” within the PRC is considered a PRC resident enterprise. The implementation rules define the term “de facto management body” as the body that exercises full and substantial control over and overall management of the business, productions, personnel, accounts and properties of an enterprise. In 2009, the State Taxation Administration issued a circular, known as Circular 82, which provides certain specific criteria for determining whether the “de facto management body” of a PRC-controlled enterprise that is incorporated offshore is located in China. Although Circular 82 only applies to offshore enterprises controlled by PRC enterprises or PRC enterprise groups, not those controlled by PRC individuals or foreigners like us, the criteria set forth in the circular may reflect the State Taxation Administration’s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will be subject to the enterprise income tax on our global income at the rate of 25% and we will be required to comply with PRC enterprise income tax reporting obligations. In addition, we may be required to withhold a 10% withholding tax from interest or dividends we pay to our shareholders that are non-PRC resident enterprises, including the holders of our ADSs. In addition, non-PRC resident enterprise shareholders (including our ADS holders) may be subject to PRC tax at a rate of 10% on gains realized on the sale or other disposition of our ADSs or ordinary shares, if such income is treated as sourced from within the PRC. Furthermore, if PRC tax authorities determine that we are a PRC resident enterprise for enterprise income tax purposes, interest or dividends paid to our non-PRC individual shareholders (including our ADS holders) and any gain realized on the transfer of the ADSs or ordinary shares by such holders may be subject to PRC tax at a rate of 20% (which, in the case of interest or dividends, we may withhold at source), if such gains are deemed to be from PRC sources. These rates may be reduced by an applicable tax treaty, but it is unclear whether our non-PRC shareholders would be able to claim the benefits of any tax treaties between their country of tax residence and the PRC in the event that we are treated as a PRC resident enterprise.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We may not be able to obtain certain benefits under tax arrangements on dividends paid by our PRC subsidiaries to us through our Hong Kong subsidiary.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are a holding company incorporated under the laws of the Cayman Islands and as such rely on dividends and other distributions on equity from our PRC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Mainland China and the Hong Kong Special Administrative Region for the Avoidance of Double Taxation and Tax Evasion on Income, such withholding tax rate may be lowered to 5% if a Hong Kong resident enterprise owns no less than 25% of a PRC enterprise. Furthermore, the Administrative Measures for Non-Resident Enterprises to Enjoy Treatments under Treaties, which took effect in January 2020, require non-resident enterprises to determine whether they are qualified to enjoy the preferential tax treatment under the tax treaties and file report and materials with the tax authorities. There are also other conditions for enjoying the reduced withholding tax rate according to other tax rules and regulations. See “Item 5. Operating and Financial Review and Prospects—A. Operating Results—Taxation—PRC.” As of December 31, 2024, most of our subsidiaries and the VIEs located in the PRC reported accumulated loss and therefore they had no retained earnings for offshore distribution. In the future, we intend to re-invest all earnings, if any, generated from our PRC subsidiaries for the operation and expansion of our business in China. Should our tax policy change to allow for offshore distribution of our earnings, we would be subject to a significant withholding tax. Our determination regarding our qualification to enjoy the preferential tax treatment could be challenged by the tax authority and we may not be able to complete the necessary filings with the tax authority and enjoy the preferential withholding tax rate of 5% under the arrangement with respect to dividends to be paid by our PRC subsidiaries to our Hong Kong subsidiary.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face uncertainty with respect to indirect transfers of equity interests in PRC resident enterprises by their non-PRC holding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February 2015, the State Taxation Administration issued the Circular on Issues of Enterprise Income Tax on Indirect Transfers of Assets by Non-PRC Resident Enterprises, or Circular 7. Circular 7 extends its tax jurisdiction to not only indirect transfers but also transactions involving transfer of other taxable assets, through the offshore transfer of a foreign intermediate holding company. In addition, Circular 7 provides certain criteria on how to assess reasonable commercial purposes and has introduced safe harbors for internal group restructurings and the purchase and sale of equity through a public securities market. Circular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On October 17, 2017, the State Taxation Administration issued Circular on Issues of Tax Withholding regarding Non-PRC Resident Enterprise Income Tax, or Circular 37, which took effect on December 1, 2017 and was amended on June 15, 2018. Circular 37 further clarifies the practice and procedure of the withholding of non-resident enterprise income tax.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face uncertainties on the reporting and consequences of future private equity financing transactions, share exchanges or other transactions involving the transfer of shares in our company by investors that are non-PRC resident enterprises. The PRC tax authorities may pursue such non-PRC resident enterprises with respect to a filing or the transferees with respect to withholding obligations, and request our PRC subsidiaries to assist in the filing. As a result, we and non-PRC resident enterprises in such transactions may become at risk of being subject to filing obligations or being taxed under Circular 7 and Circular 37, and may be required to expend valuable resources to comply with them or to establish that we and our non-PRC resident enterprises should not be taxed under these regulations, which may have a material adverse effect on our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the authorized users of our non-tangible assets, including our corporate chops and seals, fail to fulfill their responsibilities, or misuse these assets, our business could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PRC law, legal documents for corporate transactions are executed using the chops or seal of the signing entity or with the signature of a legal representative whose designation is registered and filed with the branch of the State Administration for Market Regulation.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we usually utilize chops to enter into contracts, the designated legal representatives of each of our PRC subsidiaries and the VIEs have the apparent authority to enter into contracts on behalf of such entities without chops and bind such entities. All designated legal representatives of our PRC subsidiaries and the VIEs are members of our senior management team who have signed employment agreements with us or our PRC subsidiaries and the VIEs under which they agree to abide by various duties they owe to us. In order to maintain the physical security of our chops and chops of our PRC entities, we generally store these items in secured locations accessible only by the authorized personnel in the legal or finance department of each of our subsidiaries and the VIEs. Although we monitor such authorized personnel, there is no assurance such procedures will prevent all instances of abuse or negligence. Accordingly, if any of our authorized personnel misuse or misappropriate our corporate chops or seals, we could encounter difficulties in maintaining control over the entities and experience significant disruption to our operations. If a designated legal representative obtains control of the chops in an effort to obtain control over any of our PRC subsidiaries or the VIEs, we or our PRC subsidiaries or the VIEs would need to pass a new shareholders or board resolution to designate a new legal representative and we would need to take legal action to seek the return of the chops, apply for new chops with the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representative and acts in good faith.</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interest in leased property may be defective or subject to lien and our right to lease, own or use the properties may be therefore challenged, which could cause significant disruption to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PRC laws, all lease agreements are required to be registered with the local housing authorities. We presently lease several premises in China, some of which have not completed the registration of the ownership rights or the registration of our leases with the authorities. Failure to complete these required registrations may expose our landlords, lessors and us to potential monetary fines. If these registrations are not obtained in a timely manner or at all, we may be subject to monetary fines or may have to relocate our offices and incur the associated losses.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Some of the ownership certificates or other similar proof of certain leased properties have not been provided to us by the lessors. Therefore, we cannot assure you that such lessors are entitled to lease the real properties to us. If the lessors are not entitled to lease the real properties to us and the owners of such real properties decline to ratify the lease agreements between us and the respective lessors, we may not be able to enforce our rights to lease such properties under the respective lease agreements against the owners. If our lease agreements are claimed as null and void by third parties who are the real owners of such leased real properties, we could be required to vacate the properties, in the event of which we could only initiate the claim against the lessors under lease agreements for indemnities for their breach of the leasing agreements. In addition, we may not be able to renew our existing lease agreements before their expiration dates, in which case we may be required to vacate the properties. We cannot assure you that suitable alternative locations are readily available on commercially reasonable terms, or at all, and if we are unable to relocate our operations in a timely manner, our operations may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Some of our PRC subsidiaries have incurred or will incur indebtedness and may, in connection therewith, create mortgage, pledge or other lien over substantive operating assets, facilities or equity interests of certain PRC subsidiaries as guarantee to their repayment of indebtedness or as counter guarantee to third-party guarantors which provide guarantee to our PRC subsidiaries’ repayment of indebtedness. In the event that the PRC subsidiaries fail to perform their repayment obligations, or such guarantors perform their guarantee obligations, claims may be raised to our substantive operating assets, facilities or equity interests of the PRC subsidiaries in question. If we cannot continue to own or use such assets, facilities or equity interests, our operation may be adversely affected.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ADSs and Class A Ordinary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adopt different practices as to certain matters as compared with many other companies listed on the Hong Kong Stock Exchange.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trading of our Class A ordinary shares on the Hong Kong Stock Exchange commenced on March 10, 2022 under the stock code “9866.” As a company listed on the Hong Kong Stock Exchange pursuant to Chapter 19C of the Hong Kong Listing Rules, we are not subject to certain provisions of the Hong Kong Listing Rules pursuant to Rule 19C.11, including, among others, rules on notifiable transactions, connected transactions, share option schemes, content of financial statements as well as certain other continuing obligations. In addition, in connection with the listing of our Class A ordinary shares on the Hong Kong Stock Exchange, we have applied for a number of waivers and/or exemptions from strict compliance with the Hong Kong Listing Rules, the Codes on Takeovers and Mergers and Shares Buy-backs issued by the Securities and Futures Commission, and the Securities and Futures Ordinance. As a result, we will adopt different practices as to those matters as compared with other companies listed on the Hong Kong Stock Exchange that do not enjoy those exemptions or waivers.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thirteenth amended and restated articles of association are specific to us and include certain provisions that may be different from the requirements under the Hong Kong Listing Rules and common practices in Hong Kong. In particular, in our thirteenth amended and restated amended articles of associations put forth in the first annual general meeting after the listing of our Class A ordinary shares on the Hong Kong Stock Exchange, or the First AGM, we refer to the Relevant Period as the period commencing from the date on which any of our Class A ordinary shares first become secondary listed on the Hong Kong Stock Exchange to and including the date immediately before the day which the secondary listing is withdrawn from the Hong Kong Stock Exchange. For example, in order to comply with applicable Hong Kong Listing Rules, during the Relevant Period, (i) NIO Users Trust will not have any director nomination right; (ii) our company shall have only one class of shares with enhanced or weighted voting rights; (iii) our directors shall not have the power to, amongst others, authorize share split or designate a new share class with enhanced or weighted voting rights; and (iv) certain restrictions on the weighted voting right structure of our company under Chapter 8A of the Hong Kong Listing Rules shall apply, including, among others, (a) no further increase in the proportion of WVR shares, (b) only a director or a director holding vehicle being permitted to hold WVR shares, and (c) automatic conversion of WVR shares into Class A ordinary shares under certain circumstances.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Notwithstanding the above and at any time after the Relevant Period, the provisions which are subject to the Relevant Period will continue to apply in the circumstances where the Company has a change of listing status on the Hong Kong Stock Exchange other than in the case where the secondary listing of the Company is withdrawn from the Hong Kong Stock Exchange pursuant to the applicable Hong Kong Listing Rules.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Given certain shareholder protection under the Hong Kong Listing Rules will only be applicable during the Relevant Period, our investors may be afforded less protection after the Relevant Period under our amended articles of association adopted in the First AGM—both in comparison to other companies secondarily listed on the Hong Kong Stock Exchange and to when our company had secondary listing status on the Hong Kong Stock Exchange.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only cease to be secondary listed under Chapter 19C of the Hong Kong Listing Rules under one of the following situations: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in the case where we are primary listed on another stock exchange and voluntarily withdraw our secondary listing on the Hong Kong Stock Exchange;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migration of the majority of trading to the Hong Kong Stock Exchange’s markets, in the case where the majority of trading in our listed shares migrates to the Hong Kong Stock Exchange’s markets on a permanent basis;</w:t>
            </w:r>
          </w:p>
        </w:tc>
      </w:tr>
    </w:tbl>
    <w:tbl>
      <w:tblPr>
        <w:tblW w:w="9561" w:type="dxa"/>
        <w:jc w:val="left"/>
        <w:tblInd w:w="0" w:type="dxa"/>
        <w:tblLayout w:type="fixed"/>
        <w:tblCellMar>
          <w:top w:w="28" w:type="dxa"/>
          <w:left w:w="28" w:type="dxa"/>
          <w:bottom w:w="28" w:type="dxa"/>
          <w:right w:w="28" w:type="dxa"/>
        </w:tblCellMar>
      </w:tblPr>
      <w:tblGrid>
        <w:gridCol w:w="124"/>
        <w:gridCol w:w="25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conversion, i.e., our voluntary conversion to a dual-primary listing on the Hong Kong Stock Exchange;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overseas de-listing, where our shares or depositary receipts issued on our shares cease to be listed on the stock exchange which we are primary listed;</w:t>
            </w:r>
          </w:p>
        </w:tc>
      </w:tr>
    </w:tbl>
    <w:tbl>
      <w:tblPr>
        <w:tblW w:w="6561" w:type="dxa"/>
        <w:jc w:val="left"/>
        <w:tblInd w:w="0" w:type="dxa"/>
        <w:tblLayout w:type="fixed"/>
        <w:tblCellMar>
          <w:top w:w="28" w:type="dxa"/>
          <w:left w:w="28" w:type="dxa"/>
          <w:bottom w:w="28" w:type="dxa"/>
          <w:right w:w="28" w:type="dxa"/>
        </w:tblCellMar>
      </w:tblPr>
      <w:tblGrid>
        <w:gridCol w:w="124"/>
        <w:gridCol w:w="256"/>
        <w:gridCol w:w="6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Hong Kong Stock Exchange cancels the listing of our securities;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Securities and Futures Commission of Hong Kong directs the Hong Kong Stock Exchange to cancel the listing of our securities.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scenarios under which we may cease to be secondary listed on the Hong Kong Stock Exchange are subject to the changing market conditions, our listing or de-listing in other jurisdictions, our compliance with the listing rules of the Hong Kong Stock Exchange and other factors beyond our control. As a result, there are substantial uncertainties relating to applicability of the shareholders’ rights and protection under the aforementioned provisions of our amended articles of association adopted in the First AGM particularly in the case where the Company de-lists from the Hong Kong Stock Exchange.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we are listed as a Non-Grandfathered Greater China Issuer pursuant to Chapter 19C of the Hong Kong Listing Rules, our articles of association must comply with the requirements of the Hong Kong Listing Rules unless waived by the Hong Kong Stock Exchange. We have put forth resolutions to our shareholders at the First AGM convened on August 25, 2022 to amend certain provisions of our articles of association in order to comply with the Hong Kong Listing Rules.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Furthermore, if 55% or more of the total worldwide trading volume, by dollar value, of our Class A ordinary shares and ADSs over our most recent fiscal year takes place on the Hong Kong Stock Exchange, the Hong Kong Stock Exchange will regard us as having a dual primary listing in Hong Kong and we will no longer enjoy certain exemptions or waivers from strict compliance with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requirements under the Hong Kong Listing Rules, the Codes on Takeovers and Mergers and Shares Buy-backs and the Securities and Futures Ordinance, which could result in us having to amend our corporate structure, articles of association and corporate governance policies to comply with the applicable Hong Kong Listing Rules and we may incur of incremental compliance costs.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change the listing venue of our securities, you may lose the shareholder protection mechanisms afforded under the regulatory regimes of the applicable securities exchange.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company listed on the New York Stock Exchange, the Hong Kong Stock Exchange and the Singapore Exchange, we are subject to various listing standards and requirements that are aimed at protecting your rights as shareholders of our company, subject to certain permitted exceptions applicable to foreign companies. For example, after our listing on the Hong Kong Stock Exchange, our thirteenth amended and restated memorandum and articles of association requires that there should only be one class of shares with enhanced voting rights, and that certain reserved matters under the Hong Kong Listing Rules are required to be voted on a one vote per share basis at the general meetings. In the event that we reduce the number of shares in issue, the holders of WVR shares shall reduce their voting rights in the Company proportionately through a conversion of a portion of their Class C shares or otherwise. If we choose to change the listing venue of our securities, including delisting from either exchanges, you may lose the shareholder protection mechanisms afforded under the regulatory regimes of the applicable securities exchange. In particular, various factors will be taken into consideration by the Company in relation to the circumstances under which it may be considered not desirable or viable for the shares to remain listed on a certain stock exchange, such as the then regulatory environment of the listing venue, whether the additional compliance burden arisen by remaining listed in a particular stock exchange will be unduly burdensome for the Company to further its interest, realize its vision or implementing certain business plans.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trading prices of our listed securities have been and are likely to continue to be volatile, which could result in substantial losses to investors.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trading prices of our listed securities have been and are likely to continue to be volatile and could fluctuate widely in response to a variety of factors, many of which are beyond our control. For example, in 2024, the trading price of our ADSs ranged from a low of US$3.61 to a high of US$8.94; the trading price of our Class A ordinary shares listed on the Hong Kong Stock Exchange ranged from a low of HK$28.60 to a high of HK$72.85; the trading price of our Class A ordinary shares listed on the Main Board of the Singapore Exchange ranged from a low of US$3.71 to a high of US$9.36. The market price for our listed securities may continue to be volatile and subject to wide fluctuations in response to factors including, but not limited to, the following:</w:t>
      </w:r>
    </w:p>
    <w:tbl>
      <w:tblPr>
        <w:tblW w:w="7491" w:type="dxa"/>
        <w:jc w:val="left"/>
        <w:tblInd w:w="0" w:type="dxa"/>
        <w:tblLayout w:type="fixed"/>
        <w:tblCellMar>
          <w:top w:w="28" w:type="dxa"/>
          <w:left w:w="28" w:type="dxa"/>
          <w:bottom w:w="28" w:type="dxa"/>
          <w:right w:w="28" w:type="dxa"/>
        </w:tblCellMar>
      </w:tblPr>
      <w:tblGrid>
        <w:gridCol w:w="124"/>
        <w:gridCol w:w="256"/>
        <w:gridCol w:w="7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quarterly results of operations and cash flows;</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by securities research analysts;</w:t>
            </w:r>
          </w:p>
        </w:tc>
      </w:tr>
    </w:tbl>
    <w:tbl>
      <w:tblPr>
        <w:tblW w:w="3321" w:type="dxa"/>
        <w:jc w:val="left"/>
        <w:tblInd w:w="0" w:type="dxa"/>
        <w:tblLayout w:type="fixed"/>
        <w:tblCellMar>
          <w:top w:w="28" w:type="dxa"/>
          <w:left w:w="28" w:type="dxa"/>
          <w:bottom w:w="28" w:type="dxa"/>
          <w:right w:w="28" w:type="dxa"/>
        </w:tblCellMar>
      </w:tblPr>
      <w:tblGrid>
        <w:gridCol w:w="124"/>
        <w:gridCol w:w="256"/>
        <w:gridCol w:w="2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in automotive markets;</w:t>
            </w:r>
          </w:p>
        </w:tc>
      </w:tr>
    </w:tbl>
    <w:tbl>
      <w:tblPr>
        <w:tblW w:w="7911" w:type="dxa"/>
        <w:jc w:val="left"/>
        <w:tblInd w:w="0" w:type="dxa"/>
        <w:tblLayout w:type="fixed"/>
        <w:tblCellMar>
          <w:top w:w="28" w:type="dxa"/>
          <w:left w:w="28" w:type="dxa"/>
          <w:bottom w:w="28" w:type="dxa"/>
          <w:right w:w="28" w:type="dxa"/>
        </w:tblCellMar>
      </w:tblPr>
      <w:tblGrid>
        <w:gridCol w:w="124"/>
        <w:gridCol w:w="25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operating performance or market valuations of other automotive companies;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we or our competitors made of new products, acquisitions, strategic partnerships, joint ventures or capital commitments;</w:t>
            </w:r>
          </w:p>
        </w:tc>
      </w:tr>
    </w:tbl>
    <w:tbl>
      <w:tblPr>
        <w:tblW w:w="3696" w:type="dxa"/>
        <w:jc w:val="left"/>
        <w:tblInd w:w="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 or departure of key personnel;</w:t>
            </w:r>
          </w:p>
        </w:tc>
      </w:tr>
    </w:tbl>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of exchange rates between RMB and the U.S. dollar;</w:t>
            </w:r>
          </w:p>
        </w:tc>
      </w:tr>
    </w:tbl>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government investigation or other legal or regulatory proceeding;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of lock-up and other transfer restrictions on our Class A ordinary shares or ADSs, issuance of ADSs or ordinary shares upon conversion of the convertible notes we issued, or any ordinary shares or sales of additional ADSs;</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actual or alleged illegal acts of our shareholders or management;</w:t>
            </w:r>
          </w:p>
        </w:tc>
      </w:tr>
    </w:tbl>
    <w:tbl>
      <w:tblPr>
        <w:tblW w:w="3336" w:type="dxa"/>
        <w:jc w:val="left"/>
        <w:tblInd w:w="0" w:type="dxa"/>
        <w:tblLayout w:type="fixed"/>
        <w:tblCellMar>
          <w:top w:w="28" w:type="dxa"/>
          <w:left w:w="28" w:type="dxa"/>
          <w:bottom w:w="28" w:type="dxa"/>
          <w:right w:w="28" w:type="dxa"/>
        </w:tblCellMar>
      </w:tblPr>
      <w:tblGrid>
        <w:gridCol w:w="124"/>
        <w:gridCol w:w="256"/>
        <w:gridCol w:w="2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 repurchase program;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or political conditions in China or elsewhere in the world.</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these factors may result in large and sudden changes in the volume and price at which our Class A ordinary shares and/or ADSs will trade.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stock market in general, and the market prices for companies with operations in China in particular, have experienced volatility that often has been unrelated to the operating performance of such companies. The securities of some China-based companies that have listed their securities in the United States have experienced significant volatility since their initial public offerings in recent years, including, in some cases, substantial declines in the trading prices of their securities. The trading performances of these companies’ securities after their offerings may affect the attitudes of investors towards Chinese companies listed in the United States in general, which consequently may impact the trading performance of our Class A ordinary shares and/or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engaged in any inappropriate activities. In particular, the global financial crisis and the ensuing economic recessions in many countries have contributed and may continue to contribute to extreme volatility in the global stock markets. These broad market and industry fluctuations may adversely affect the market price of our Class A ordinary shares and/or ADSs. Volatility or a lack of positive performance in our Class A ordinary shares and/or ADSs price may also adversely affect our ability to retain key employees, most of whom have been granted options or other equity incentives.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securities or industry analysts do not publish research or reports about our business, or if they adversely change their recommendations regarding our Class A ordinary shares and/or ADSs, the market price for our Class A ordinary shares and/or ADSs and trading volume could decline.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trading market for our Class A ordinary shares and/or ADSs will be influenced by research or reports that industry or securities analysts publish about our business. If one or more analysts who cover us downgrade our Class A ordinary shares and/or ADSs, the market price for our Class A ordinary shares and/or ADSs would likely decline. If one or more of these analysts cease to cover us or fail to regularly publish reports on us, we could lose visibility in the financial markets, which in turn could cause the market price or trading volume for our Class A ordinary shares and/or ADSs to decline.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dual-class voting structure will limit the holders of our Class A ordinary shares and ADSs to influence corporate matters, provide certain shareholders of ours with substantial influence and could discourage others from pursuing any change of control transactions that holders of our Class A ordinary shares and ADSs may view as beneficial.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had historically adopted a triple-class voting structure such that our ordinary shares consisted of Class A ordinary shares, Class B ordinary shares and Class C ordinary shares. Upon the listing of our Class A ordinary shares on the Hong Kong Stock Exchange, all of our Class B ordinary shares were converted to Class A ordinary shares pursuant to the conversion notice delivered by the shareholders. As a result, the Class B ordinary shares were eliminated in our currently effective thirteenth amended and restated memorandum and articles of association. Currently, our ordinary shares consist of Class A ordinary shares and Class C ordinary shares. Holders of Class A ordinary shares and Class C ordinary shares have the same rights other than voting and conversion rights. Each holder of our Class A ordinary shares is entitled to one vote per share, and each holder of our Class C ordinary shares is entitled to eight votes per share on all matters submitted to them for a vote. Our Class A ordinary shares and Class C ordinary shares vote together as a single class on all matters submitted to a vote of our shareholders, except as may otherwise be required by law. Each Class C ordinary share is convertible into one Class A ordinary share, whereas Class A ordinary shares are not convertible into Class C ordinary shares under any circumstances. Upon any transfer of Class C ordinary shares by a holder thereof to any person or entity which is not an affiliate of such holder, such Class C ordinary shares are automatically and immediately converted into the equal number of Class A ordinary shares.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the date of this annual report, Mr. Bin Li, our founder, chairman and chief executive officer, together with his affiliates, beneficially own all of our issued Class C ordinary shares. Due to the disparate voting powers associated with our dual-class share structure, Mr. Li has considerable influence over important corporate matters. As of April 7, 2025, Mr. Li beneficially owned approximately 36.7% of the aggregate voting power of our company through mobike Global Ltd. and Originalwish Limited, companies wholly owned by Mr. Li, and through NIO Users Limited, a holding company ultimately controlled by Mr. Li and through NIO Users Community Limited, a company wholly owned by NIO Users Limited. Mr. Li has considerable influence over matters requiring shareholder approval, including electing directors and approving material mergers, acquisitions or other business combination transactions. This concentrated control will limit the ability of the holders of our Class A ordinary shares and ADSs to influence corporate matters and could also discourage others from pursuing any potential merger, takeover or other change of control transaction, which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could have the effect of depriving the holders of our Class A ordinary shares and our ADSs of the opportunity to sell their shares at a premium over the prevailing market price. Moreover, Mr. Li may increase the concentration of his voting power and/or share ownership in the future, which may, among other consequences, decrease the liquidity in our Class A ordinary shares and ADSs.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Techniques employed by short sellers may drive down the market price of our ADSs and/or Class A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issuer and its business prospects in order to create negative market momentum and generate profits for themselves after selling a security short. These short attacks have, in the past, led to selling of shares in the market.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Public companies listed in the United States that have a substantial majority of their operations in China have been the subject of short selling. Much of the scrutiny and negative publicity have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28, 2022, Grizzly Research LLC issued a short seller report that made certain allegations against us. On June 29, 2022, we announced that our board of directors, including the audit committee, was reviewing the allegations and considering the appropriate course of action to protect the interests of all shareholders. On July 11, 2022, our board of directors, including the audit committee of our board, decided to form an independent committee, consisting of independent directors Mr. Denny Ting Bun Lee, Mr. Hai Wu, and Ms. Yu Long, to oversee an independent internal review regarding the key allegations made in the short seller report. The internal review was performed by the independent committee with the assistance of third-party professional advisors including an international law firm and forensic accounting experts from a well-regarded forensic accounting firm that is not our auditor. On August 26, 2022, we announced that the internal review was substantially completed. Based on findings of the internal review, the independent committee has concluded that the allegations in the short seller report were not substantiated.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be the subject of unfavorable allegations made by short sellers again in the future. Any such allegations may be followed by periods of instability in the market price of our Class A ordinary shares and ADSs and negative publicity. If and when we become the subject of any unfavorable allegations, whether such allegations are proven to be true or untrue, we would have to expend a significant amount of resources to investigate such allegations and/or defend ourselves. While we would strongly defend against any meritless short seller attacks, we may be constrained in the manner in which we can proceed against the short seller by principles of freedom of speech, applicable federal or state law or issues of commercial confidentiality. Moreover, while an internal investigation is ongoing and to ensure that its findings are reached independently without undue influence, we may also be constrained in our ability to offer a public rebuttal immediately even if the allegation can, in our view, be readily rebutted. Such a situation could be costly and time-consuming and could distract our management from growing our business. Even if such allegations are ultimately proven to be groundless, allegations against us could severely impact our business operations and shareholders’ equity, and the value of any investment in our ADSs and/or Class A ordinary shares could be greatly reduced or rendered worthless.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sale or availability for sale of substantial amounts of our Class A ordinary shares and/or ADSs could adversely affect their market price.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Sales of substantial amounts of our Class A ordinary shares and/or ADSs in the public market, or the perception that these sales could occur, could adversely affect the market price of our Class A ordinary shares and/or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our Class A ordinary shares and/or ADSs. In addition, certain holders of our existing shareholders are entitled to certain registration rights, including demand registration rights, piggyback registration rights, and Form F-3 or Form S-3 registration rights. Registration of these shares under the Securities Act of 1933, or the Securities Act, would result in these shares becoming freely tradable without restriction under the Securities Act immediately upon the effectiveness of the registration. Sales of these registered shares in the public market, or the perception that such sales could occur, could cause the price of our Class A ordinary shares and/or ADSs to decline.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Because we do not expect to pay dividends in the foreseeable future, the holders of our Class A ordinary shares and/or ADSs must rely on price appreciation of our Class A ordinary shares and/or ADSs for return on their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Class A ordinary shares and/or ADSs as a source for any future dividend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complete discretion as to whether to distribute dividends. Even if our board of directors decides to declare and pay dividends, the timing, amount and form of future dividends, if any, will depend on our future results of operations and cash flow, our capital requirements and surplus, the amount of distributions, if any, that we received from our subsidiaries, our financial condition, contractual restrictions and other factors deemed relevant by our board of directors. Accordingly, the return to ADS holders will likely depend entirely upon any future price appreciation of our Class A ordinary shares and/or ADSs. There is no guarantee that our Class A ordinary shares and/or ADSs will appreciate in value or even maintain the price at which Class A ordinary shares and/or ADS holders purchased the Class A ordinary shares and/or ADSs. Our Class A ordinary shares and/or ADS holders may not realize a return on their investment in our Class A ordinary shares and/or ADSs and they may even lose their entire investment in our Class A ordinary shares and/or ADSs.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There can be no assurance that we will not be classified as a passive foreign investment company, or PFIC, for U.S. federal income tax purposes for any taxable year, which could result in adverse U.S. federal income tax consequences to U.S. holders of our ADSs or Class A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 non-U.S. corporation, such as our company, will be classified as a passive foreign investment company, or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Although the law in this regard is not entirely clear, we treat the VIEs as being owned by us for U.S. federal income tax purposes because we control their management decisions and are entitled to substantially all of the economic benefits associated with these entities, and as a result, we consolidate their results of operations in our consolidated U.S. GAAP financial statements. If it were determined, however, that we do not own the VIEs for U.S. federal income tax purposes, we may be treated as a PFIC for the current taxable year and any subsequent taxable year.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Assuming that we are the owner of the VIEs for U.S. federal income tax purposes, and based upon our current and expected income and assets, we do not believe that we were a PFIC for the taxable year ended December 31, 2024. However, no assurance can be given that we will not be or become a PFIC in the current or future taxable years because the determination of whether we will be or become a PFIC is a factual determination made annually that will depend, in part, upon the nature and composition of our income and assets (in particular, the retention of substantial amounts of cash and investments). Fluctuations in the market price of our ADSs or Class A ordinary shares may cause us to be or become classified as a PFIC for the current or future taxable years because the value of our assets for purposes of the asset test, including the value of our goodwill and other unbooked intangibles, may be determined by reference to the market price of our ADSs or Class A ordinary shares, which may be volatile. In particular, recent declines in the market price of the ADSs and Class A ordinary shares significantly increased our risk of becoming a PFIC. The market price of the ADSs and Class A ordinary shares may continue to fluctuate considerably and, consequently, we cannot assure you of our PFIC status for any taxable year. Furthermore, the composition of our income and assets may also be affected by how, and how quickly, we use our liquid assets. Under circumstances where our passive income significantly increases relative to our non-passive income, or where we determine not to deploy significant amounts of cash for active purposes, our risk of becoming classified as a PFIC may substantially increase. If we were to be or become a PFIC for any taxable year during which a U.S. holder holds our ADSs or Class A ordinary shares, certain adverse U.S. federal income tax consequences could apply to such U.S. holders.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memorandum and articles of association contain anti-takeover provisions that could have a material adverse effect on the rights of holders of our Class A ordinary shares and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thirteenth amended and restated memorandum and articles of association contain provisions that have the potential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rights and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Class A ordinary shares and/or ADSs may fall and the voting and other rights of the holders of our Class A ordinary shares and ADSs may be materially and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shareholders may face difficulties in protecting their interests, and ability to protect their rights through U.S. courts may be limited, because we are incorporated under Cayman Islands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an exempted company incorporated under the laws of the Cayman Islands. Our corporate affairs are governed by our thirteenth amended and restated memorandum and articles of association, the Companies Act (As Revised) of the Cayman Islands, or the Companies Act,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with respect to Cayman Islands companies, plaintiffs may face special obstacles, including but not limited to those relating to jurisdiction and standing, in attempting to assert derivative claims in state or federal courts of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Shareholders of Cayman Islands exempted companies like us have no general rights under Cayman Islands law to inspect corporate records (except for our thirteenth amended and restated memorandum and articles of association and our register of mortgages and charges) or to obtain copies of lists of shareholders of these companies. Our directors have discretion under our thirteenth amended and restated articles of association to determine whether or not, and under what conditions, our corporate records may be inspected by our shareholders, but are not obliged to make them available to our shareholders. This may make it more difficult for our shareholders to obtain the information needed to establish any facts necessary for a shareholder motion or to solicit proxies from other shareholders in connection with a proxy contest.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Cayman Islands company listed on the New York Stock Exchange, we are subject to the NYSE corporate governance listing standards. However, the NYSE corporate governance listing standards permit a foreign private issuer like us to follow the corporate governance practices of its home country. Certain corporate governance practices in the Cayman Islands, which is our home country, may differ significantly from the NYSE corporate governance listing standards.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Sections 303A.01, 303A.04, 303A.05, 303A.07 and 302.00 of the New York Stock Exchange Listed Company Manual, a company listed on the New York Stock Exchange must have a majority of independent directors, a nominating and corporate governance committee composed entirely of independent directors, a compensation committee composed entirely of independent directors and an audit committee with a minimum of three members, and must hold an annual shareholders’ meeting during each fiscal year. We currently follow our home country practice in lieu of these requirements. We may also continue to rely on these and other exemptions available to foreign private issuers in the future, and to the extent that we choose to do so in the future, our shareholders may be afforded less protection than they otherwise would under the NYSE corporate governance listing standards applicable to U.S. domestic issuers. As a result, you may not be afforded the same protections or information, which would be made available to you, were you investing in a United States domestic issuer.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It may be difficult for overseas regulators to conduct investigations or collect evidence within China and it may also be challenging to export evidence from China for use in litigation.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Shareholder claims or regulatory investigations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With respect to foreign regulatory investigations,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United States may not be efficient in the absence of mutual and practical cooperation mechanism. According to Article 177 of the PRC Securities Law, which took effect in March 2020, no overseas securities regulator is allowed to directly conduct investigations or evidence collection activities within the territory of the PRC. Furthermore, pursuant to the Provisions on Strengthening the Confidentiality and Archives Administration Related to the Overseas Securities Offering and Listing by Domestic Enterprises which became effective on March 31, 2023, the investigation and evidence collection in relation to the oversea securities offering and listing of the PRC companies by overseas securities regulatory authorities and relevant authorities shall be conducted through the cross-border cooperation mechanism for supervision and administration. The PRC companies shall obtain the prior consent from the CSRC or relevant authorities before cooperating with such overseas securities regulatory authorities or relevant authorities in connection with relevant inspections or investigations or providing relevant documents to such overseas securities regulatory authorities or relevant authorities. The inability of an overseas securities regulator to directly conduct investigations or evidence collection activities within China may further increase difficulties faced by you in protecting your interests. With respect to both foreign regulatory investigations and foreign litigation, Article 36 of the PRC Data Security Law, which took effect in September 2021, provides that any organization or individual within the territory of the PRC shall not provide any foreign judicial authority and law enforcement with any data stored within the territory of the PRC without the approval of the competent authority of the PRC. Since detailed interpretation of or implementation rules under this article have yet to be promulgated, the ambiguity of “competent authority” for approving data exportation and its relations with other applicable legal provisions including Article 177 of the PRC Securities Law may further increase difficulties faced by you in protecting your interests.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ADS holders may not be entitled to a jury trial with respect to claims arising under the deposit agreement, which could result in less favorable outcomes to the plaintiff(s) in any such action.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 agreement, dated as of September 11, 2018 by and among NIO Inc., Deutsche Bank Trust Company Americas, as ADS depositary, and the holders and beneficial owners of the ADSs issued thereunder (the “deposit agreement”), governing the ADSs representing our Class A ordinary shares provides that, subject to the depositary’s right to require a claim to be submitted to arbitration,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Class A ordinary shares, the ADSs or the deposit agreement, including any claim under the U.S. federal securities laws.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any of the holders or beneficial owners of ADSs bring a claim against us or the depositary in connection with matters arising under the deposit agreement or the ADSs, including claims under federal securities laws, such holder or beneficial owner may not be entitled to a jury trial with respect to such claims, which may have the effect of limiting and discouraging lawsuits against us and/or the depositary, lead to increased costs to bring a claim, limited access to information and other imbalances of resources between such holder and us, or limit such holder’s ability to bring a claim in a judicial forum that such holder finds favorable.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Exchange Act nor serve as a waiver by any holder or beneficial owner of ADSs of compliance with the U.S. federal securities laws and the rules and regulations promulgated thereunder.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Certain judgments obtained against us by our shareholders may not be enforceable.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Cayman Islands exempted company and the majority of our assets are located outside of the United States. The most significant portion of our operations are conducted in China. In addition, a majority of our current directors and officers are nationals and residents of countries other than the United States. Substantially all of the assets of these persons may be located outside the United States. As a result, it may be difficult or impossible for our shareholders to bring an action against us or against these individuals in the United States in the event that such shareholders believe that their rights have been infringed under the U.S. federal securities laws or otherwise. Even if such shareholders are successful in bringing an action of this kind, the laws of the Cayman Islands and of China may render them unable to enforce a judgment against our assets or the assets of our directors and officers.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 foreign private issuer within the meaning of the rules under the Exchange Act, and as such we are exempt from certain provisions applicable to United States domestic public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we are a foreign private issuer under the Exchange Act, we are exempt from certain provisions of the securities rules and regulations in the United States that are applicable to U.S. domestic issuers,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requiring the filing of quarterly reports on Form 10-Q or current reports on Form 8-K with the SEC;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regulating the solicitation of proxies, consents, or authorizations in respect of a security registered under the Exchange Act;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requiring insiders to file public reports of their stock ownership and trading activities and liability for insiders who profit from trades made in a short period of time; and</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selective disclosure rules by issuers of material non-public information under Regulation FD.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required to file an annual report on Form 20-F within four months of the end of each fiscal year. In addition, we intend to publish our results on a quarterly basis through press releases, distributed pursuant to the rules and regulations of the New York Stock Exchange. Press releases relating to financial results and material events will also be furnished to the SEC on Form 6-K. However, the information we are required to file with or furnish to the SEC will be less extensive and less timely than that required to be filed with the SEC by U.S. domestic issuers. As a result, you may not be afforded the same protections or information that would be made available to you were you investing in a U.S. domestic issuer.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voting rights of holders of ADSs are limited by the terms of the deposit agreement, and they may not be able to exercise their right to vote their Class A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Holders of our ADSs will only be able to exercise the voting rights with respect to the underlying Class A ordinary shares in accordance with the provisions of the deposit agreement. Under the deposit agreement, ADS holders must vote by giving voting instructions to the depositary. If we ask for instructions of ADS holders, then upon receipt of such voting instructions, the depositary will try to vote the underlying Class A ordinary shares in accordance with these instructions. If we do not instruct the depositary to ask for instructions of ADS holders, the depositary may still vote in accordance with instructions given by holders of ADSs, but it is not required to do so. ADS holders will not be able to directly exercise their right to vote with respect to the underlying shares unless they withdraw the shares. When a general meeting is convened, an ADS holder may not receive sufficient advance notice to withdraw the shares underlying his or her ADSs to allow such holder to vote with respect to any specific matter. If we ask for instructions of holders of ADSs, the depositary will notify ADS holders of the upcoming vote and will arrange to deliver our voting materials to ADS holders. We have agreed to give the depositary at least 30 days’ prior notice of shareholders’ meetings. Nevertheless, we cannot assure you that ADS holders will receive the voting materials in time to ensure that ADS holders can instruct the depositary to vote their shares. In addition, the depositary and its agents are not responsible for failing to carry out voting instructions or for their manner of carrying out ADS holders’ voting instructions. This means that an ADS holder may not be able to exercise the right to vote and may have no legal remedy if the shares underlying his or her ADSs are not voted as such holder requested.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depositary for our ADSs will give us a discretionary proxy to vote our Class A ordinary shares underlying the ADSs if the holders of such ADSs do not vote at shareholders’ meetings, except in limited circumstances, which could adversely affect the interests of our ADS 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deposit agreement for the ADSs, if any holder of the ADSs does not vote, the depositary will give us a discretionary proxy to vote our Class A ordinary shares underlying such ADSs at shareholders’ meetings unless:</w:t>
      </w:r>
    </w:p>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failed to timely provide the depositary with notice of meeting and related voting materials;</w:t>
            </w:r>
          </w:p>
        </w:tc>
      </w:tr>
    </w:tbl>
    <w:tbl>
      <w:tblPr>
        <w:tblW w:w="7656" w:type="dxa"/>
        <w:jc w:val="left"/>
        <w:tblInd w:w="0" w:type="dxa"/>
        <w:tblLayout w:type="fixed"/>
        <w:tblCellMar>
          <w:top w:w="28" w:type="dxa"/>
          <w:left w:w="28" w:type="dxa"/>
          <w:bottom w:w="28" w:type="dxa"/>
          <w:right w:w="28" w:type="dxa"/>
        </w:tblCellMar>
      </w:tblPr>
      <w:tblGrid>
        <w:gridCol w:w="124"/>
        <w:gridCol w:w="256"/>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instructed the depositary that we do not wish a discretionary proxy to be given;</w:t>
            </w:r>
          </w:p>
        </w:tc>
      </w:tr>
    </w:tbl>
    <w:tbl>
      <w:tblPr>
        <w:tblW w:w="9606" w:type="dxa"/>
        <w:jc w:val="left"/>
        <w:tblInd w:w="0" w:type="dxa"/>
        <w:tblLayout w:type="fixed"/>
        <w:tblCellMar>
          <w:top w:w="28" w:type="dxa"/>
          <w:left w:w="28" w:type="dxa"/>
          <w:bottom w:w="28" w:type="dxa"/>
          <w:right w:w="28" w:type="dxa"/>
        </w:tblCellMar>
      </w:tblPr>
      <w:tblGrid>
        <w:gridCol w:w="124"/>
        <w:gridCol w:w="256"/>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informed the depositary that there is substantial opposition as to a matter to be voted on at the meeting;</w:t>
            </w:r>
          </w:p>
        </w:tc>
      </w:tr>
    </w:tbl>
    <w:tbl>
      <w:tblPr>
        <w:tblW w:w="8271" w:type="dxa"/>
        <w:jc w:val="left"/>
        <w:tblInd w:w="0" w:type="dxa"/>
        <w:tblLayout w:type="fixed"/>
        <w:tblCellMar>
          <w:top w:w="28" w:type="dxa"/>
          <w:left w:w="28" w:type="dxa"/>
          <w:bottom w:w="28" w:type="dxa"/>
          <w:right w:w="28" w:type="dxa"/>
        </w:tblCellMar>
      </w:tblPr>
      <w:tblGrid>
        <w:gridCol w:w="124"/>
        <w:gridCol w:w="256"/>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matter to be voted on at the meeting would have a material adverse impact on shareholders; or</w:t>
            </w:r>
          </w:p>
        </w:tc>
      </w:tr>
    </w:tbl>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at the meeting is to be made on a show of hands.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effect of this discretionary proxy is that if any such holder of the ADSs does not vote at shareholders’ meetings, such holder cannot prevent our Class A ordinary shares underlying such ADSs from being voted, except under the circumstances described above. This may make it more difficult for shareholders to influence the management of our company. Holders of our Class A ordinary shares are not subject to this discretionary proxy.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 ADS holder’s right to pursue claims against the depositary is limited by the terms of the deposit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a holder of our ADSs, will have irrevocably waived any objection which such holder may have to the laying of venue of any such proceeding, and irrevocably submitted to the exclusive jurisdiction of such courts in any such action or proceeding. However, there is uncertainty as to whether a court would enforce this exclusive jurisdiction provision. Furthermore, investors cannot waive compliance with the U.S. federal securities laws and rules and regulations promulgated thereunder.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may, in its sole discretion, require that any dispute or difference arising from the relationship created by the deposit agreement be referred to and finally settled by an arbitration conducted under the terms described in the deposit agreement, although the arbitration provisions do not preclude an ADS holder from pursuing claims under the Securities Act or the Exchange Act in state or federal courts. Furthermore, if an ADS holder is unsuccessful in such arbitration, such holder may be responsible for the fees of the arbitrator and other costs incurred by the parties in connection with such arbitration pursuant to the deposit agreement. Also, we may amend or terminate the deposit agreement without the consent of any ADS holder. If an ADS holder continues to hold its ADSs after an amendment to the deposit agreement, such holder agrees to be bound by the deposit agreement as amended.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ADS holders may not receive dividends or other distributions on our Class A ordinary shares and the ADS holders may not receive any value for them, if it is illegal or impractical to make them available to the ADS 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of our ADSs has agreed to pay the ADS holders the cash dividends or other distributions it or the custodian receives on Class A ordinary shares or other deposited securities underlying our ADSs, after deducting its fees and expenses. Our ADS holders will receive these distributions in proportion to the number of Class A ordinary shares the underlying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our ADS holders may not receive distributions we make on our Class A ordinary shares or any value for them if it is illegal or impractical for us to make them available to the ADS holders. These restrictions may cause a material decline in the value of our ADSs or Class A ordinary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ADS holders may experience dilution of their holdings due to inability to participate in rights offerings.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need additional capital, and the sale of additional Class A ordinary shares and/or ADSs or other equity securities could result in additional dilution to our shareholders, and the incurrence of additional indebtedness could increase our debt service obligations.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require additional cash resources due to changed business conditions, strategic acquisitions or other future developments. If these resources are insufficient to satisfy our cash requirements, we may seek to sell additional equity or debt securities or obtain additional credit facilities. The sale of additional equity and equity-linked securities could result in additional dilution to our shareholders. The sale of substantial amounts of our Class A ordinary shares and/or ADSs (including upon conversion of our convertible notes) could dilute the interests of our shareholders and ADS holders and adversely impact the market price of our Class A ordinary shares and/or ADSs. The incurrence of indebtedness would result in increased debt service obligations and could result in operating and financing covenants that would restrict our operations. We cannot assure you that financing will be available in amounts or on terms acceptable to us, if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Future sales or issuances, or perceived future sales or issuances, of substantial amounts of our ordinary shares or ADSs could adversely affect the price of our Class A ordinary shares and/or ADS.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our existing shareholders sell, or are perceived as intending to sell, substantial amounts of our ordinary shares or ADSs, including those issued upon the exercise of our outstanding stock options, the market price of our Class A ordinary shares and/or ADSs could fall. Such sales, or perceived potential sales, by our existing shareholders might make it more difficult for us to issue new equity or equity-related securities in the future at a time and place we deem appropriate. Ordinary shares held by our existing shareholders may be sold in the public market in the future subject to the restrictions contained in Rule 144 and Rule 701 under the Securities Act and the applicable lock-up agreements. If any existing shareholder or shareholders sell a substantial amount of ordinary shares after the expiration of the applicable lock-up periods, the prevailing market price for our Class A ordinary shares and/or ADSs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certain of our shareholders or their transferees and assignees will have the right to cause us to register the sale of their shares under the Securities Act upon the occurrence of certain circumstances. Registration of these shares under the Securities Act would result in these shares becoming freely tradable without restriction under the Securities Act immediately upon the effectiveness of the registration.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ADS holders may be subject to limitations on transfer of their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different characteristics of the capital markets in the U.S., Hong Kong and Singapore may negatively affect the trading prices of our Class A ordinary shares and/or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the U.S., Hong Kong and Singapore listing and regulatory requirements concurrently. The NYSE, Hong Kong Stock Exchange and Singapore Exchange have different trading hours, trading characteristics (including trading volume and liquidity), trading and listing rules, and investor bases (including different levels of retail and institutional participation). As a result of these differences, the trading prices of our Class A ordinary shares and our ADSs may not be the same, even allowing for currency differences. Fluctuations in the price of our ADSs due to circumstances peculiar to the U.S. capital markets could materially and adversely affect the price of our Class A ordinary shares, or vice versa. Certain events having significant negative impact specifically on the U.S. capital markets may result in a decline in the trading price of our Class A ordinary shares notwithstanding that such event may not impact the trading prices of securities listed in Hong Kong and Singapore generally or to the same extent, or vice versa. Because of the different characteristics of the U.S., Hong Kong and Singapore capital markets, the market prices of our ADSs may not be indicative of the trading performance of our Class A ordinary shares on the Hong Kong Stock Exchange and the Singapore Exchange, or vice versa.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Exchange between our Class A ordinary shares and our ADSs may adversely affect the liquidity and/or trading price of each other.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ADSs are currently traded on NYSE. Subject to compliance with U.S. securities law and the terms of the deposit agreement, holders of our Class A ordinary shares may deposit Class A ordinary shares with the depositary in exchange for the issuance of our ADSs. Any holder of ADSs may also surrender ADSs and withdraw the underlying Class A ordinary shares represented by the ADSs pursuant to the terms of the deposit agreement for trading on the Hong Kong Stock Exchange or the Singapore Exchange. In the event that a substantial number of Class A ordinary shares are deposited with the depositary in exchange for ADSs or vice versa, the liquidity and trading price of our Class A ordinary shares on the Hong Kong Stock Exchange or the Singapore Exchange and our ADSs on NYSE may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time required for the exchange between Class A ordinary shares and ADSs might be longer than expected and investor might not be able to settle or effect any sale of their securities during this period, and the exchange of Class A ordinary shares into ADSs involves costs.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is no direct trading or settlement between the NYSE and the Hong Kong Stock Exchange or the Singapore Exchange on which our ADSs and our Class A ordinary shares are respectively traded. In addition, the time differences between New York and Hong Kong or Singapore, unforeseen market circumstances or other factors may delay the deposit of Class A ordinary shares in exchange for ADSs or the withdrawal of Class A ordinary shares underlying the ADSs. Investors will be prevented from settling or effecting the sale of their securities during such periods of delay. In addition, there is no assurance that any exchange for Class A ordinary shares into ADSs (and vice versa) will be completed in accordance with the timelines that investors may anticipate. Furthermore, the depositary for the ADSs is entitled to charge holders fees for various services including for the issuance of ADSs upon deposit of Class A ordinary shares, cancelation of ADSs, distributions of cash dividends or other cash distributions, distributions of ADSs pursuant to share dividends or other free share distributions, distributions of securities other than ADSs and annual service fees. As a result, shareholders who exchange Class A ordinary shares into ADSs, and vice versa, may not achieve the level of economic return the shareholders may anticipate.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5" w:name="ITEM4INFORMATIONONTHECOMPANY_610331"/>
      <w:bookmarkStart w:id="76" w:name="_Hlk194486116"/>
      <w:bookmarkStart w:id="77" w:name="_e9cb0d98_12dd_4495_a091_6bb5c0c71e75"/>
      <w:bookmarkEnd w:id="75"/>
      <w:bookmarkEnd w:id="76"/>
      <w:bookmarkEnd w:id="77"/>
      <w:r>
        <w:rPr>
          <w:rFonts w:ascii="Times New Roman;Times;serif" w:hAnsi="Times New Roman;Times;serif"/>
          <w:b/>
          <w:sz w:val="20"/>
        </w:rPr>
        <w:t>ITEM 4.       INFORMATION ON THE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A.          History and Development of the Company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were founded in November 2014, as Nextev Inc., which was changed to our current name NIO Inc. in July 2017. Significant milestones in our development since 2024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we completed the repurchase right offer relating to the 2026 Notes. US$300.5 million in aggregate principal amount of the 2026 Notes were validly surrendered and not withdrawn prior to the expiration of the repurchase right offer. Following settlement of the repurchase, US$912,000 aggregate principal amount of the 2026 Notes remained outstanding and continue to be subject to the existing terms of the indenture and the 2026 Notes.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we launched our family-oriented smart electric vehicle brand, ONVO, as well as its first vehicle model, the L60, a smart electric mid-size family SUV. We commenced deliveries of L60 in September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NIO China and NIO Energy Investment (Hubei) Co., Ltd., or NIO Power, a wholly-owned subsidiary of NIO China, entered into definitive agreements with Wuhan Guangchuang Emerging Technology Phase I Venture Capital Fund Partnership (Limited Partnership), or NIO Power Investor, for an investment in NIO Power. Pursuant to these agreements, the NIO Power Investor will initially invest RMB1.0 billion in cash in NIO Power, subject to the satisfaction of customary closing conditions in the definitive agreements. The NIO Power Investor has the right to invest up to an additional RMB500 million in NIO Power at the same valuation as this investment. As of the date of this annual report, NIO Power Investor has made the first installment of RMB500 million investment in cash in NIO Power. Additionally, in December 2024, NIO China invested RMB1.0 billion in cash to subscribe for newly issued shares of NIO Power. As of the date of this report, NIO China holds a 90.9% equity interest in NIO Power.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we entered into definitive agreements for investment in NIO China with the Initial NIO China Series B Strategic Investors. Subsequently, in December 2024, we entered into the NIO China Series B Supplemental Agreements with the NIO China Series B Strategic Investors. Pursuant to the NIO China Series B Investment Agreements and the NIO China Series B Supplemental Agreements, the NIO China Series B Strategic Investors agreed to invest an aggregate of RMB3.3 billion in cash to subscribe for newly issued shares of NIO China, and we agreed to invest an aggregate of RMB10 billion in cash to subscribe for newly issued shares of NIO China. As of the date of this annual report, the NIO China Series B Strategic Investors have injected an aggregate of RMB2.8 billion in cash into NIO China, while we have injected an aggregate of RMB10 billion in cash into NIO China. As of the date of this annual report, we currently hold 89.0% of controlling equity interest in NIO China. We and the NIO China Series B Strategic Investors are working towards the completion of the remaining portion of the previously announced investment transaction. Upon completion, we will hold 88.25% of controlling equity interest in NIO China, while the NIO China Strategic Investors will collectively hold the remaining 11.75% of equity interest in NIO China.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2024, we unveiled firefly, our small, smart, high-end electric car brand and debuted its vehicle model. The official launch of the firefly vehicle model is expected in April 2025.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we completed the repurchase right offer relating to the 2027 Notes. US$378.3 million in aggregate principal amount of the 2027 Notes were validly surrendered and not withdrawn prior to the expiration of the repurchase right offer. Following settlement of the repurchase, US$213,000 aggregate principal amount of the 2027 Notes remained outstanding and continue to be subject to the existing terms of the indenture and the 2027 Notes.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7, 2025, we completed the offering of 136,800,000 Class A ordinary shares, at an offering price of HK$29.46 per share, to non-U.S. persons in offshore transactions in reliance on Regulation S under the Securities Act. The aggregate offering size was HK$4,030.1 million.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principal executive offices are located at Building 19, No. 1355, Caobao Road, Minhang District, Shanghai, PRC. Our telephone number at this address is +86-21-6908-2018. Our registered office in the Cayman Islands is located at the offices of Maples Corporate Services Limited, PO Box 309, Ugland House, Grand Cayman, KY1-1104, Cayman Islands. Our agent for service of process in the United States is Puglisi &amp; Associates, located at 850 Library Avenue, Suite 204, Newark, Delaware 19711. We maintain our website at http://ir.nio.com/. The information contained on, or linked from, our website is not a part of this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SEC maintains a website at www.sec.gov that contains reports, proxy and information statements, and other information regarding issuers that file electronically with the SEC using its EDGAR system.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5. Operating and Financial Review and Prospects—B. Liquidity and Capital Resources—Capital Expenditures” for a discussion of our capital expenditures.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Business Overview</w:t>
      </w:r>
    </w:p>
    <w:p>
      <w:pPr>
        <w:pStyle w:val="TextBody"/>
        <w:bidi w:val="0"/>
        <w:spacing w:before="0" w:after="240"/>
        <w:ind w:left="0" w:right="0" w:firstLine="720"/>
        <w:jc w:val="both"/>
        <w:rPr/>
      </w:pPr>
      <w:r>
        <w:rPr>
          <w:rFonts w:ascii="Times New Roman;Times;serif" w:hAnsi="Times New Roman;Times;serif"/>
          <w:sz w:val="20"/>
        </w:rPr>
        <w:t>Our Chinese name, Weilai (</w:t>
      </w:r>
      <w:r>
        <w:rPr>
          <w:rFonts w:eastAsia="MS Mincho"/>
          <w:sz w:val="20"/>
        </w:rPr>
        <w:t>蔚来</w:t>
      </w:r>
      <w:r>
        <w:rPr>
          <w:rFonts w:ascii="Times New Roman;Times;serif" w:hAnsi="Times New Roman;Times;serif"/>
          <w:sz w:val="20"/>
        </w:rPr>
        <w:t>), means Blue Sky Coming.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pioneer and a leading company in the global smart electric vehicle market. We aspire to shape a sustainable and brighter future with the mission of “Blue Sky Coming”. We envision ourself as a user enterprise where innovative technology meets experience excellence. We design, develop, manufacture and sell smart electric vehicles, driving innovations in next-generation core technologies. We distinguish ourself through continuous technological breakthroughs and innovations, exceptional products and services, and a community for shared growth.</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Vehicles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design, develop, manufacture and sell our premium smart electric vehicles under the NIO brand, family-oriented smart electric vehicles through the ONVO brand, and small smart high-end electric cars with the FIREFLY brand. We currently offer our products and services in China, Europe, and other markets, and are planning to expand into more global markets to capture the fast-growing EV demand.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NIO brand, we introduced the EP9 supercar in 2016, which was the then fastest electric vehicle, setting the Nurburgring Nordschleife all-electric vehicle lap record. Starting from December 2017, we launched and continually iterated on a succession of well-positioned vehicle models and established a competitive product portfolio, including the ES8 (or the EL8), a six-seater smart electric flagship SUV, the ES7 (or the EL7), a mid-large five-seater smart electric SUV, the ES6 (or the EL6), a five-seater all-round smart electric SUV, the EC7, a five-seater smart electric flagship coupe SUV, the EC6, a five-seater smart electric coupe SUV, the ET9, a smart electric executive flagship, the ET7, a smart electric executive sedan, the ET5, a mid-size smart electric sedan, and the ET5T, a smart electric tourer.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2024, we completed a comprehensive upgrade across our entire product portfolio, delivering an enhanced intelligent cockpit experience. With exquisite design, high performance, superior comfort, and advanced digital systems, our product portfolio accurately caters to the diverse needs of users for family, business, and leisure travels. In December 2024, at NIO Day 2024, we officially launched the NIO ET9, a smart electric executive flagship. The ET9 integrates NIO’s full-stack technological capabilities across 12 areas, offering flagship experiences to users in design, space, comfort, audio, intelligent systems, assisted and intelligent driving, safety, powertrain, and overall driving and riding performance.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Inheriting our high-performance DNA marked by dual-motor intelligent All-Wheel-Drive system, all NIO models are able to achieve outstanding performances in 0-100 km/h and braking distance. Enabled by battery swapping technology, all our models are compatible with different battery packs including standard range battery, long range battery and ultra-long range battery, supporting different driving ranges and providing an upgradable and flexible user experience. We aim to deliver products with the highest safety and quality standards to our users in line with our core values and commitments.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ONVO, our family-oriented smart electric vehicle brand launched in May 2024, stands for “On Voyage,” and carries the implied meaning of “Happiness on Every Path We Travel With Family” in Chinese, embodies ONVO’s commitment to creating better family life and bringing better brand and product experiences to family users. ONVO’s first model, the L60, a mid-size family smart electric SUV was launched and commenced delivery in September 2024. With a spacious interior, enhanced safety features and advanced technologies, the L60 maximizes user value while optimizing lifecycle ownership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Firefly, our small, smart, high-end electric car brand, was launched in December 2024. Built upon NIO’s expertise in research and development, design capabilities, safety standards, and intelligent technologies, firefly embodies the brand’s DNA of being “vivid, thoughtful and solid.” Inspired by the spirit of “freedom to glow,” firefly aims to provide global users with a vivid driving experience and a thoughtfully designed, solid living space.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2024, we delivered 221,970 vehicles, including 201,209 vehicles from our premium smart electric vehicle brand NIO, and 20,761 vehicles from our family-oriented smart electric vehicle brand ONVO. The official launch of the firefly vehicle model is expected in April 2025. We will continue to develop more products to expand our addressable market segments.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diagram illustrates our vehicle models and their starting manufacturer’s suggested retail price, or the MSRP, in China as of the date of this annual report in RMB (unless otherwise noted):</w:t>
      </w:r>
    </w:p>
    <w:p>
      <w:pPr>
        <w:pStyle w:val="TextBody"/>
        <w:bidi w:val="0"/>
        <w:spacing w:before="0" w:after="240"/>
        <w:ind w:left="0" w:right="0" w:hanging="0"/>
        <w:jc w:val="center"/>
        <w:rPr/>
      </w:pPr>
      <w:r>
        <w:rPr/>
        <w:drawing>
          <wp:inline distT="0" distB="0" distL="0" distR="0">
            <wp:extent cx="5100320" cy="285242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5100320" cy="2852420"/>
                    </a:xfrm>
                    <a:prstGeom prst="rect">
                      <a:avLst/>
                    </a:prstGeom>
                  </pic:spPr>
                </pic:pic>
              </a:graphicData>
            </a:graphic>
          </wp:inline>
        </w:drawing>
      </w:r>
    </w:p>
    <w:p>
      <w:pPr>
        <w:pStyle w:val="TextBody"/>
        <w:pBdr/>
        <w:bidi w:val="0"/>
        <w:spacing w:before="0" w:after="200"/>
        <w:ind w:left="0" w:right="0" w:hanging="720"/>
        <w:jc w:val="left"/>
        <w:rPr>
          <w:rFonts w:ascii="Times New Roman;Times;serif" w:hAnsi="Times New Roman;Times;serif"/>
          <w:sz w:val="16"/>
        </w:rPr>
      </w:pPr>
      <w:r>
        <w:rPr>
          <w:rFonts w:ascii="Times New Roman;Times;serif" w:hAnsi="Times New Roman;Times;serif"/>
          <w:sz w:val="16"/>
        </w:rPr>
        <w:t>Note:</w:t>
      </w:r>
    </w:p>
    <w:tbl>
      <w:tblPr>
        <w:tblW w:w="6407" w:type="dxa"/>
        <w:jc w:val="left"/>
        <w:tblInd w:w="0" w:type="dxa"/>
        <w:tblLayout w:type="fixed"/>
        <w:tblCellMar>
          <w:top w:w="0" w:type="dxa"/>
          <w:left w:w="0" w:type="dxa"/>
          <w:bottom w:w="0" w:type="dxa"/>
          <w:right w:w="0" w:type="dxa"/>
        </w:tblCellMar>
      </w:tblPr>
      <w:tblGrid>
        <w:gridCol w:w="211"/>
        <w:gridCol w:w="6196"/>
      </w:tblGrid>
      <w:tr>
        <w:trPr/>
        <w:tc>
          <w:tcPr>
            <w:tcW w:w="211"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w:t>
            </w:r>
          </w:p>
        </w:tc>
        <w:tc>
          <w:tcPr>
            <w:tcW w:w="6196"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The price represents pre-sale price in China as of the date of this annual report in RMB.</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Our Key Technological Breakthroughs and Innovations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our inception, we have remained committed to innovation and dedicated to investing in research and development of core technologies. Our technological breakthroughs and innovations differentiate us from our peers, creating better user experiences and enhancing our users’ confidence in us. We have strategically focused on building in-house capabilities including battery swapping, assisted and intelligent driving, digital technologies, electric powertrain and battery, vehicle engineering and design, among others, to control the design and development of the vehicle software and hardware architecture and the critical components that go into our products. Our capabilities have given us greater flexibility to continually improve our current products and launch new products. By integrating these industry-leading technologies, all of our vehicles are designed to provide our users with a relaxing, interactive, intelligent and immersive experience.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strategically located our research and development offices in locations where we believe give us access to the best talent. Our global research and development center for production models is located in Shanghai. Our advanced vehicle manufacturing center is located in Anhui. Our global research and development center for software is located in Beijing. Our global research and development center for autonomous driving is located in San Jose. Our global design center is located in Munich. Our global research and development center for advanced engineering is located in Oxford.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Battery Swapping and BaaS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of our smart electric vehicles are equipped with proprietary battery swapping technologies, providing our users with a “chargeable, swappable, upgradable” experience. We also offer Battery as a Service, or BaaS, an industry-first innovative model which allows users to purchase electric vehicles and subscribe for the usage of batteries separately. BaaS enables our users to benefit from lower vehicle purchase prices, flexible battery upgrade options and assurance of battery performance.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Battery Swapping.</w:t>
            </w:r>
            <w:r>
              <w:rPr>
                <w:caps w:val="false"/>
                <w:smallCaps w:val="false"/>
              </w:rPr>
              <w:t xml:space="preserve"> </w:t>
            </w:r>
            <w:r>
              <w:rPr>
                <w:rFonts w:ascii="Times New Roman;Times;serif" w:hAnsi="Times New Roman;Times;serif"/>
                <w:b w:val="false"/>
                <w:i w:val="false"/>
                <w:caps w:val="false"/>
                <w:smallCaps w:val="false"/>
                <w:sz w:val="20"/>
              </w:rPr>
              <w:t>Supported by over 1,670 patented technologies as of December 31, 2024, all of our vehicles support battery swapping. It provides our users with convenient “recharging” experiences by simply swapping the user’s battery for another one within minutes. Moreover, it enables users to enjoy the benefits of battery technology advancements with upgrade options. Additionally, during each battery swap, a comprehensive health assessment on the battery and electric drive system is performed to ensure optimal condition of the vehicle. Equipped with Lidars and NVIDIA DRIVE Orin X chips, our Power Swap Station 4.0 can conduct fully automatic swaps up to 480 times per day and support intelligent vehicle-station connectivity in complex environments.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BaaS.</w:t>
            </w:r>
            <w:r>
              <w:rPr>
                <w:caps w:val="false"/>
                <w:smallCaps w:val="false"/>
              </w:rPr>
              <w:t xml:space="preserve"> </w:t>
            </w:r>
            <w:r>
              <w:rPr>
                <w:rFonts w:ascii="Times New Roman;Times;serif" w:hAnsi="Times New Roman;Times;serif"/>
                <w:b w:val="false"/>
                <w:i w:val="false"/>
                <w:caps w:val="false"/>
                <w:smallCaps w:val="false"/>
                <w:sz w:val="20"/>
              </w:rPr>
              <w:t>Enabled by vehicle-battery separation technology and battery subscription model, BaaS decouples the battery price from the purchase price of a vehicle and allows users to subscribe for battery usage separately. For each user under the BaaS model, we sell a battery to the Battery Asset Company, and the user subscribes for the usage of the battery from the Battery Asset Company. If our users opt to purchase a vehicle and subscribe for the battery under BaaS, they can enjoy a deduction off the original vehicle purchase price while paying a monthly subscription fee for the battery. Our users are able to enjoy permanent or flexible upgrades to batteries with higher capacities or other future battery options with an additional fee as the battery technologies evolve.</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Assisted and Intelligent Driving and Subscription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assisted and intelligent driving is the core of smart electric vehicles, and it has been our focus from day one. We are one of the first companies in China to offer enhanced ADAS capabilities and we have been dedicated to developing our proprietary full-stack assisted and intelligent driving capabilities.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offer NIO assisted and intelligent driving, or NAD, our full-stack in-house developed assisted and intelligent driving capabilities, to NIO brand users. NAD is equipped with our proprietary perception algorithms, localization, control strategy and platform software. The technology comprises NIO Adam, a super computing platform with outstanding computing power, and NIO Aquila, a super sensing system equipped with high-performance sensors including LiDAR. With the gradual release of certain features of the NAD through NOP+, our generalization capability and collective intelligence capability have seen rapid growth. Currently, NOP+ has been made available for expressways, urban areas, parking and battery swapping, delivering a safer and more relaxing assisted and intelligent driving experience for our users. Our NOP+ is available for user subscription.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continually process fast iteration on our assisted and intelligent driving system capabilities. At NIO IN 2024, we unveiled the NIO WorldModel (NWM), our multivariable autoregressive generative model, and introduced the NADArch2.0, a brand-new architecture for our assisted and intelligent driving technology. NADArch2.0 is an industry-leading end-to-end architecture empowered by the NWM and will offer a more relaxed and safer assisted and intelligent driving experience for our users.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offer ONVO Smart Driving, or OSD, to ONVO brand users. OSD is built upon our full-stack assisted and intelligent driving capabilities. OSD utilizes advanced sensor fusion algorithms and is equipped with multiple high-performance sensors, providing users with sophisticated assisted and intelligent driving features. This technology has been optimized for expressways, urban areas, parking, and battery swapping.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have commenced our in-house research and development of the intelligent driving chipset to maximize the assisted and intelligent driving algorithm efficiency. In December 2023, we unveiled our first proprietary automotive-grade chip for assisted and intelligent driving, the NX9031. We plan to integrate this chip into our vehicles starting from the delivery of our ET9.</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Digital Technologies</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 xml:space="preserve">Digital System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Digital system is the foundation for us to achieve continuous upgrades through over-the-air updates, the digital platform for building our own proprietary software and algorithms and the security system for deep reassurance.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top of our proprietary software architecture and cloud data platform, SkyOS, our full-domain vehicle operating system, has what we believe to be the industry-leading connectivity and remote service capabilities with an end-to-end security framework. By seamlessly integrating and efficiently collaborating all vehicle domains, including assisted and intelligent driving, digital cockpit, and vehicle control, SkyOS provides a secure, intelligent and smooth driving experience to users.</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Digital Cockpit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Running on the in-house developed SkyOS, our digital cockpit has an AI-driven, scalable and flexible architecture that presents users with an intelligent and immersive digital experience. We have built flexibility into the digital cockpit, so that we can continue to update the cockpit’s operating system with new features and applications.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Inspired by the concept of creating a mobile living space, providing a caring emotion companion while connecting products, services and community, we have launched the N-Box Enhanced Infotainment Console and the AR display system, bringing immersive experiences and a realistic sense of space to our users. Inside our digital cockpit, our in-car AI companions, can listen to, communicate and interact with users, while also supporting multimodal large vision models to foster a strong emotional connection between vehicles and users.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Electric Powertrain and Battery</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Electric Powertrain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Starting from our first product, we have designed, developed and manufactured our own proprietary electric powertrains in-house. We possess in-house research and development capabilities across motors, electric controls, reducers, and high voltage charging and distribution systems.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electric powertrains are designed specifically for our vehicles, and through firmware over-the-air, we are able to continue to improve and update, and adjust according to our users’ driving behavior. Enabled by in-house research and development capabilities, our motor configuration offers a variety of electric motors. We are in the process of developing our next generation electric powertrains based on the high-voltage architecture.</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Battery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committed to the research, development and innovations in battery technologies and have built up the research and development capabilities throughout the lifecycle of uni-pack battery. Our batteries are based on advanced battery pack design, battery management system and proprietary swapping mechanism.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Currently, we offer standard range battery, long range battery and ultra-long range battery. In addition, we provide flexible battery upgrade plan to maximize battery utilization efficiency, allowing users to flexibly select battery options or upgrade battery range based on their individual driving needs. We are also collaborating with our partners in developing long-life batteries.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Vehicle Engineering and Design Capabilities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significant in-house vehicle engineering and design capabilities, covering all major areas of vehicle development starting from inception to completion, with a particular emphasis on software-driven technologies and fast iteration. In addition, our innovation in core components allows for the efficient development of multiple brands and models. For example, our in-house developed intelligent chassis controller enables integrated control of redundant braking, air spring and damper, while achieving functional safety, cyber security and OTA updates. Moreover, we have implemented our “Skyride” intelligent chassis system, which integrates core hardware components of steer-by-wire, rear-wheel steering, and fully active suspension.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global design team has comprehensive design capabilities across the board, from brands, vehicles, user interface/user experience, lifestyle products to accessories.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User Development and User Community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reach out to and engage with our users directly through our own offline and online platforms, to continuously expand our user community.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Physical Stores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NIO Houses and NIO Spaces serve as NIO’s offline channels for us to reach out to and serve our users, as well as the offline platforms for the NIO user community.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NIO Houses have showroom functions while serving as a clubhouse for our users and their friends. NIO Spaces are mainly showrooms for our brand, vehicles and services. As of December 31, 2024, we had 180 NIO Houses and 433 NIO Spaces in total globally.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ONVO Centers and ONVO Spaces serve as ONVO’s offline channels, designed to showcase products, facilitate sales, and foster engagement within the ONVO user community. As of December 31, 2024, we had a total of 300 ONVO Centers and ONVO Spaces in China.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Brand Apps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mobile apps for NIO, ONVO and FIREFLY are all designed to serve as a comprehensive portal, which allows users to not only place orders for and configure vehicles, but also to access vehicle control, power and other services, as well as purchase lifestyle products. Most importantly, our apps function as online platforms for our user community.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Brand Events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annual NIO Day is an event jointly hosted by us and our users where we launch our new products and technologies and celebrate the user community. In December 2017 in Beijing, China, we held our first NIO Day and launched the ES8. We had since then held multiple NIO Days to launch new products and interact with our users in the subsequent years. Most recently, in December 2024, we held NIO Day 2024 in Guangzhou, China, with the official launch of the ET9. In addition, during the event, firefly, our small smart high-end electric car brand, was officially launched.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May 2024, we hosted the debut event for our ONVO brand, introducing our family-oriented smart electric vehicle brand, ONVO, as well as its first vehicle model, the L60, a smart electric mid-size family SUV.</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Lifestyle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established our lifestyle brands for NIO, ONVO and FIREFLY, and we operate online stores within our apps where users can purchase a variety of lifestyle products. The product categories include clothing and accessories, home and living, consumer electronics, food and beverages.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User Points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users with points to encourage user engagement and positive user behavior, such as to keep a safe driving record. Points are earned, among other things, through the welcome packages upon the purchase of vehicles, referrals for test drives and vehicle purchases, and active engagement in the user community. Points can be used, both on our apps and at our physical stores.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NIO Users Trust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conjunction with our pursuit of being a user enterprise and with the goal of building a deeper connection between NIO and our users, Mr. Bin Li, our chairman of the board of directors and chief executive officer, transferred a certain amount of his ordinary shares to NIO Users Trust in January 2019. Our users have the opportunity to discuss and propose the use of the economic benefits from the shares in NIO Users Trust through a User Council consisting of members of our user community elected by our users. The User Council helps coordinate user activities in our community. According to the articles of association of NIO Users Trust, incomes and proceeds derived from the trust assets shall be mainly used for the following purposes: (i) environmental protection and sustainable development, (ii) NIO Users community care projects, (iii) community activities promoting common growth of users and other necessary projects, and (iv) operational expenses of the Users Trust.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Power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offer a comprehensive and innovative suite of power solutions to address the charging and swapping needs of our users. Our power solutions include home chargers called Power Home, battery swapping called Power Swap, supercharging piles called Power Charger, destination charging piles called Destination Charger, and mobile charging called Power Mobile. All of those solutions are integrated with Power Cloud, a cloud-based system that synchronizes users’ power consumption information with our power network. Power Cloud intelligently recommends appropriate services based on users’ locations and power consumption patterns. Our users can not only check the availability of charging and swapping resources within NIO’s own network, but also access real-time information on a wide range of public chargers through the Power Map feature on our apps. In addition, we offer One Click for Power valet service, where we pick up, charge and return the vehicle. Our goal is to provide the most convenient and efficient power solutions to our users.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Power Home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Through Power Home, we install home chargers at our users’ residences upon request if the installation is feasible. We currently offer both standard and high-speed home chargers to meet different charging needs.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Power Swap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of our vehicles support battery swapping. Once a vehicle is parked at a Power Swap Station and the swap function is activated, the battery is automatically replaced within minutes. Automatic battery and electric system assessments are performed during each swap to enhance safety and reliability.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the establishment of our first battery swap station in 2018, we have been committed to the ongoing development and improvement of our Power Swap systems. Equipped with Lidars and NVIDIA DRIVE Orin X chips, our Power Swap Station 4.0 can conduct fully automatic swaps up to 480 times per day and support intelligent vehicle-station connectivity in complex environments.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2024, we had 3,054 Power Swap Stations covering urban areas and expressways globally, through which we had completed over 61 million battery swaps cumulatively. We have opened our Power Swap network to the entire industry and signed strategic partnership agreements with Changan Automobile, Geely Group, Chery Automobile, JAC Group, Lotus, GAC Group and FAW Group on battery charging and swapping.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20, 2024, we announced the “Power Up Counties” plan to strengthen our charging and swapping network across all county-level administrative divisions in China. This initiative aims to provide a more convenient, efficient and comprehensive charging experience for our users. We have been collaborating with partners across transportation, energy and other sectors to jointly develop charging and swapping infrastructure. We expect to join hands with more partners to contribute towards the development of power network and the widespread adoption of battery swapping.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Power Charger and Destination Charger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Through Power Charger, our supercharging piles, we provide our users a fast and reliable power solution. Users are able to locate, use and pay for charging services via our apps. Our Power Chargers feature a slim design and are strategically placed in parking lots and other accessible locations. We currently offer Power Chargers with charging capacities of up to 640kW.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deploy Destination Chargers at key locations such as tourist attractions, shopping malls and office buildings to provide greater convenience and flexibility for users.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2024, we had 25,097 Power Chargers and Destination Chargers in operation. We plan to further enhance charging efficiency and expand our charging network to cater to the growing user demand.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Power Mobile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Through Power Mobile, we provide on-demand charging services through fast charging vans equipped with our proprietary fast-charging technology. This service supplements our battery swapping and charging network, providing users with additional charging flexibility. Users are able to book Power Mobile services in advance through our apps.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Power Map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our own swapping and charging network, our users have access to a network of public chargers with real-time availability updates via Power Map in our apps, which consisted of over 1,770,000 publicly accessible charging piles globally as of December 31, 2024. In order to further improve the user experience, we have been working to increase the number of public chargers synchronized with Power Cloud.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One Click for Power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One Click for Power valet service offers users a seamless charging experience. Through our apps, users can request our team to pick up their vehicle from a designated location for valet charging, battery swapping or Power Mobile service. Power Cloud utilizes smart scheduling to identify the most suitable power solution based on the user’s driving habits, ensuring maximum convenience.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Service and Warranty</w:t>
      </w:r>
    </w:p>
    <w:p>
      <w:pPr>
        <w:pStyle w:val="TextBody"/>
        <w:bidi w:val="0"/>
        <w:spacing w:before="0" w:after="240"/>
        <w:ind w:left="0" w:right="0" w:firstLine="720"/>
        <w:jc w:val="both"/>
        <w:rPr>
          <w:rFonts w:ascii="Times New Roman;Times;serif" w:hAnsi="Times New Roman;Times;serif"/>
          <w:sz w:val="20"/>
        </w:rPr>
      </w:pPr>
      <w:bookmarkStart w:id="78" w:name="_Hlk162414903"/>
      <w:bookmarkEnd w:id="78"/>
      <w:r>
        <w:rPr>
          <w:rFonts w:ascii="Times New Roman;Times;serif" w:hAnsi="Times New Roman;Times;serif"/>
          <w:sz w:val="20"/>
        </w:rPr>
        <w:t>Our users can access a full suite of innovative services through our apps, as part of our strategy of redefining the user experience. We provide an integrated service ecosystem that delivers a holistic, end-to-end service experience. We believe that our service capability is among the core competitiveness we possess.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Service</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Service Network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provide servicing through both company-owned and authorized third-party service centers, offering repair, maintenance and bodywork services. As of December 31, 2024, we had 383 service centers worldwide.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provide high-quality delivery services through delivery centers, which serve as vital hubs in the user experience journey. At these centers, we offer users comprehensive support, including vehicle transportation and delivery, pre-delivery inspections, guidance on vehicle features, assistance with vehicle registration and insurance processing.</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Service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offer service plans on an annual fee basis in certain regions. The service plans offer a combination of insurance and a range of service options. The insurance offered in the plan covers statutory third-party liability and vehicle damage insurance, which are provided through third-party insurers. Our service offerings include vehicle repair and maintenance services, courtesy vehicles, and enhanced data packages, among other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Users are able to arrange for vehicle services through our apps. We also offer repair and maintenance services at users’ doorsteps for added convenience.</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Auto Financing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agreements with several commercial banks in China to assist users in acquiring financing for vehicle purchases. We also offer auto financing arrangements to users directly through our subsidiaries.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Used Vehicle Service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partnered with various used car dealers through our apps to assist users in completing used car transactions efficiently and conveniently.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Warranty Policy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offer comprehensive warranty policies covering the entire vehicle as well as key electric components, including the battery, electric motor, and power electronic units. In addition to the standard warranty required by local laws and regulations, we also provide extended warranty services, with specific terms and conditions varying by markets and vehicle models.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Supply Chain, Manufacturing and Quality Assurance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view the suppliers and manufacturers we work with as key partners in our vehicle development process. We aim to leverage our partners’ industry expertise to ensure that each vehicle we produce meets our strict quality standards.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Supply Chain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work with both global and local supply chain partners, with the majority of our suppliers being located in China, which enables us to acquire supplies more efficiently and reduce overall logistics-related cost.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obtain systems, components, raw materials, parts, manufacturing equipment, and other supplies and services from suppliers which we deem reputable and reliable. We adhere to a structured internal process when sourcing suppliers, evaluating factors such as quality, cost and delivery timelines. We continuously enhance our supply chain to build a more efficient and diversified system. Additionally, we actively cultivate partnerships with suppliers that have innovative technological capabilities and cost advantages, thereby increasing the competitiveness and innovativeness of our supply chain. While we obtain components from multiple sources whenever possible, many of the components used in our vehicles are purchased from a single source. Eventually we plan to implement a multi-sourcing strategy in order to reduce reliance on sole-source suppliers.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Manufacturing</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Vehicle Manufacturing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manufacture our vehicles at the F1 and F2 Plants in Anhui, China. Our production capacity expansion strategy is aligned with our product pipeline development and sales projections. In line with this strategic planning, our new F3 Plant in Anhui Province is expected to commence operations in the third quarter of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past, we partnered with JAC for the joint manufacturing of our vehicles at the F1 and F2 Plants. In December 2023, we entered into definitive agreements with JAC to acquire the manufacturing equipment and assets of both plants for a total consideration of approximately RMB3.16 billion, excluding taxes. The asset transfer was completed in the same month. In addition, we have completed the filing process for our electric passenger vehicle investment project with the relevant authorities in Anhui province and have been included in the Ministry of Industry and Information Technology’s catalogue of approved manufacturers. Our manufacturing model has transitioned from joint manufacturing to independent manufacturing.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Other Manufacturing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established our manufacturing facilities in China for the production of electric powertrains and other vehicle parts, with highly automated production lines, advanced manufacturing execution systems and automated guided vehicles. We also manufacture Power Swap Stations and charging piles independently, as well as in collaboration with our partners.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Quality Assurance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aim to deliver high-quality products and services to our users in line with our core values and commitments. We have established a Quality Committee responsible for the overall quality management across the company. Chaired by our executive vice president, the Quality Committee oversees the formulation of group-level quality assurance policies, strategies, goals and initiatives, while also monitoring progress toward quality objectives. Our dedicated quality management teams are responsible for our overall quality strategy, quality systems and processes, quality culture, and general quality management implementation.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our quality management system is the key to ensuring the delivery of high-quality products and services, minimizing waste and maximizing efficiency. Our All-Time Quality (ATQ) system is a comprehensive framework centered on user interests, applying quality management across our entire business chain, from product development, supply chain and manufacturing to logistics, user experience and service quality. Our quality management system covers six major areas including software, charging and battery swapping, vehicle, smart hardware, electric drive system, and battery. The ATQ system also extends across all stages of our business, covering early-stage design quality, partner quality, manufacturing and logistics quality, and user service quality.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early-stage design quality, we adopt a Design-for-X approach that comprehensively anticipates and prevents quality issues across various aspects, including early-stage product definition, modeling, engineering development, software development, process development, and quality control. Our approach emphasizes proactive failure prevention, strives for first-time accuracy, and fosters a dynamic failure prevention ecosystem that shares common goals and is capable, self-driven and iterative.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Regarding partner quality, we have developed an innovative partner evaluation system that has positively influences our upstream and downstream partners, enabling win-win cooperation. Through innovations in supply chain collaboration models, we have developed a creative supply chain management approach that supports our partners to quickly improve process and quality management capabilities, driving a transformation of the value chain.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 ensure manufacturing and logistics quality, we have engaged in comprehensive and in-depth planning to utilize industry-leading, digitalized and intelligent quality inspection tools and established a systematic quality assurance mechanism for vehicle manufacturing.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user service quality, we leverage our internet-based capabilities and extensive user touchpoints to create an end-to-end quality assurance system for user operation, maintenance and repair, and issue resolution.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Certain Other Cooperation Arrangements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NIO China Strategic Investors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29, 2020, we entered into an investment agreement, or the initial investment agreement, and a shareholders agreement, or the initial shareholders agreement (collectively, the initial agreements), for investments into NIO Holding Co., Ltd. (previously known as NIO (Anhui) Holding Co., Ltd.), or NIO China, a legal entity that we wholly owned pre-investment, with Hefei City Construction and Investment Holding (Group) Co., Ltd., CS Capital Co., Ltd. (also known as CMG-SDIC Capital Co., Ltd.) and Anhui High-tech Co.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initial agreements, each investor may designate a fund managed by it or a third party, as applicable, to perform the investment obligations and assume other rights and obligations under the initial agreements. Accordingly, on June 5, 2020, we entered into respective supplemental agreements I to the initial agreements with the investors and their respective designated funds, Jianheng New Energy Fund, Advanced Manufacturing Industry Investment Fund and New Energy Automobile Fund. Under the supplemental agreements I, (i) Hefei City Construction and Investment Holding (Group) Co., Ltd. designated Jianheng New Energy Fund to assume all of its rights and obligations under the initial agreements, (ii) CS Capital Co., Ltd. designated Advanced Manufacturing Industry Investment Fund to assume all of its rights and obligations under the initial agreements, (iii) Anhui High-tech Co. designated New Energy Automobile Fund to perform a portion of its investment obligations under the investment agreement and assume the corresponding rights and obligations under the initial agreements, and (iv) Anhui High-tech Co. will continue to perform the remaining of its investment and other obligations not assigned to New Energy Automobile Fund and enjoy its rights under the initial agreements. On June 18, 2020, we entered into respective supplemental agreements II with the parties to the supplemental agreements I and Anhui Sanzhong Yichuang, another designated fund of Anhui High-tech Co. Under the supplemental agreements II, Anhui High-tech Co. designated Anhui Sanzhong Yichuang to assume its remaining rights and obligations under the initial agreements that had not been assigned to New Energy Automobile Fund pursuant to the supplemental agreements I.</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initial investment agreement, as amended and supplemented, is referred to as the Hefei Investment Agreement, and the initial shareholders agreement, as amended and supplemented, is referred to as the Previous Hefei Shareholders Agreement in this annual report. The Hefei Investment Agreement and the Previous Hefei Shareholders Agreement are collectively referred to as the Previous Hefei Agreements in this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Hefei Investment Agreement, the Hefei Strategic Investors agreed to invest an aggregate of RMB7 billion in cash into NIO China. We agreed to inject our core businesses and assets in China, including vehicle research and development, supply chain, sales and services and NIO Power, collectively referred to as the Asset Consideration, into NIO China. The Asset Consideration was valued at RMB17.77 billion, as calculated based on 85% of the market value of our company (calculated based on our average ADS trading price over the thirty public trading days preceding April 21, 2020). Further, we agreed to invest RMB4.26 billion in cash into NIO China. Upon the completion of these transactions, we held 75.885% of controlling equity interests in NIO China, and the Hefei Strategic Investors collectively held the remaining 24.115%. In September 2020, February 2021 and September 2021, we, through one of our wholly-owned subsidiaries, purchased from certain Hefei Strategic Investors equity interests in NIO China and subscribed for newly increased registered capital of NIO China to increase our shareholding. After the completion of these transactions, or the NIO China Series A Investment, we held 92.114% controlling equity interests in NIO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Previous Hefei Agreements, NIO China established its headquarters in the Hefei Economic and Technological Development Area for its business operation, research and development, sales and services, supply chain and manufacturing functions. We collaborated with the Hefei Strategic Investors and Hefei Economic and Technological Development Area to develop NIO China’s business and to support the accelerated development of the smart electric vehicle sectors in Hefei. In addition, NIO China could enjoy a series of subsidies and support from Hefei Economic and Technological Development Area, including rent subsidies, financial support and preferential tax treatment, when NIO China meets certain performance criteria, such as targets for manufacturing capacity, procurement amount and vehicle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March 30, 2024, we entered into the 2024 Hefei Shareholders Agreement with Jianheng New Energy Fund, Advanced Manufacturing Industry Investment Fund, New Energy Automobile Fund and Anhui Sanzhong Yichuang. The 2024 Hefei Shareholders Agreement amended certain shareholders’ rights in NIO China and superseded the Previous Hefei Shareholders Agreement.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September 2024, we entered into definitive agreements for investment in NIO China with the Initial NIO China Series B Strategic Investors. Pursuant to the NIO China Series B Investment Agreements, each investor may transfer its rights, interests and obligations under the NIO China Series B Investment Agreements to its affiliates or a third party agreed by us. Subsequently, on December 28, 2024, the Company entered into supplemental agreements to the NIO China Series B Investment Agreements, or the NIO China Series B Supplemental Agreements, with the Initial Series B Strategic Investors and their respective designated entities, which we collectively refer to as the NIO China Series B Strategic Investors, pursuant to which (i) Jianheng New Energy Fund transferred its rights, interests and obligations under the NIO China Series B Investment Agreements to Hefei Jianxiang Investment Co., Ltd., and (ii) Anhui High-tech Co. transferred its rights, interests and obligations under the NIO China Series B Investment Agreements to Anhui Emerging Industry Yuwen Weiyuan Technology Partnership Enterprise (Limited Partnership). Pursuant to the NIO China Series B Investment Agreements and the NIO China Series B Supplemental Agreements, the NIO China Series B Strategic Investors agreed to invest an aggregate of RMB3.3 billion in cash to subscribe for newly issued shares of NIO China, and we agreed to invest an aggregate of RMB10 billion in cash to subscribe for newly issued shares of NIO China, which we collectively refer to as the NIO China Series B Investment. As of the date of this annual report, the NIO China Series B Strategic Investors have injected an aggregate of RMB2.8 billion in cash into NIO China, while we have injected an aggregate of RMB10 billion in cash into NIO China. As of the date of this annual report, we currently hold 89.0% of controlling equity interest in NIO China. We and the NIO China Series B Strategic Investors are working towards the completion of the remaining portion of the previously announced investment transaction. Upon completion, we will hold 88.25% of controlling equity interest in NIO China, while the NIO China Strategic Investors will collectively hold the remaining 11.75% of equity interest in NIO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pursuant to the NIO China Series B Investment Agreements, we have the right to invest an additional RMB20 billion to subscribe for additional shares in NIO China by December 31, 2025 based on the same price and terms of the NIO China Series B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the NIO China Series B Investment, we entered into a new shareholders agreement, as amended and supplemented by the NIO China Series B Supplemental Agreements, or the NIO China Series B Shareholders Agreement, with the NIO China Series B Strategic Investors and the other existing shareholders of NIO China, which we collectively referred to as NIO China Strategic Investors. The NIO China Series B Shareholders Agreement amended certain shareholders’ rights in NIO China and superseded the 2024 Hefei Shareholders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NIO China Series B Shareholders Agreement, the NIO China Strategic Investors have certain minority shareholder rights, including, among others, the right of first refusal, co-sale right, preemptive right, anti-dilution right, redemption right, liquidation preference and conditional drag-along right. In particular, the following rights, among others, directly relate to obligations of NIO Inc.:</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Redemption right</w:t>
            </w:r>
            <w:r>
              <w:rPr>
                <w:rFonts w:ascii="Times New Roman;Times;serif" w:hAnsi="Times New Roman;Times;serif"/>
                <w:b w:val="false"/>
                <w:i w:val="false"/>
                <w:caps w:val="false"/>
                <w:smallCaps w:val="false"/>
                <w:sz w:val="20"/>
              </w:rPr>
              <w:t xml:space="preserve">. Any NIO China Strategic Investor may require us and/or our Hong Kong holding vehicles, the immediate holding companies of NIO China, to redeem all or a portion of the equity interests in NIO China held by such NIO China Strategic Investor upon the occurrence of certain triggering events at a redemption price equal to the higher of: </w:t>
            </w:r>
            <w:r>
              <w:rPr>
                <w:rFonts w:ascii="Times New Roman;Times;serif" w:hAnsi="Times New Roman;Times;serif"/>
                <w:b w:val="false"/>
                <w:i/>
                <w:sz w:val="20"/>
              </w:rPr>
              <w:t xml:space="preserve">(i) </w:t>
            </w:r>
            <w:r>
              <w:rPr>
                <w:rFonts w:ascii="Times New Roman;Times;serif" w:hAnsi="Times New Roman;Times;serif"/>
                <w:b w:val="false"/>
                <w:i w:val="false"/>
                <w:caps w:val="false"/>
                <w:smallCaps w:val="false"/>
                <w:sz w:val="20"/>
              </w:rPr>
              <w:t>the total investment amount paid by the NIO China Strategic Investor, plus an investment income calculated at a compound rate of 8.5% (with respect to NIO China Series A Investment) or 7.5% (with respect to NIO China Series B Investment) per annum; and</w:t>
            </w:r>
            <w:r>
              <w:rPr/>
              <w:t xml:space="preserve"> </w:t>
            </w:r>
            <w:r>
              <w:rPr>
                <w:rFonts w:ascii="Times New Roman;Times;serif" w:hAnsi="Times New Roman;Times;serif"/>
                <w:b w:val="false"/>
                <w:i/>
                <w:sz w:val="20"/>
              </w:rPr>
              <w:t xml:space="preserve">(ii) </w:t>
            </w:r>
            <w:r>
              <w:rPr>
                <w:rFonts w:ascii="Times New Roman;Times;serif" w:hAnsi="Times New Roman;Times;serif"/>
                <w:b w:val="false"/>
                <w:i w:val="false"/>
                <w:caps w:val="false"/>
                <w:smallCaps w:val="false"/>
                <w:sz w:val="20"/>
              </w:rPr>
              <w:t>the value of the equity interests requested for redemption by the NIO China Strategic Investor, based on the post-investment valuation of NIO China and its affiliates and controlled entities in the most recent financing round. In particular, if NIO China fails to complete the listing application or to issue the material assets restructuring plan related to the qualified initial public offering before December 31, 2027, or fails to complete the qualified initial public offering before December 31, 2028, the NIO China Strategic Investors may request us to redeem the equity interest in NIO China then held by them.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Share transfer restriction. </w:t>
            </w:r>
            <w:r>
              <w:rPr>
                <w:rFonts w:ascii="Times New Roman;Times;serif" w:hAnsi="Times New Roman;Times;serif"/>
                <w:b w:val="false"/>
                <w:i w:val="false"/>
                <w:caps w:val="false"/>
                <w:smallCaps w:val="false"/>
                <w:sz w:val="20"/>
              </w:rPr>
              <w:t>Before NIO China completes its potential qualified initial public offering, without the prior written consent of the NIO China Strategic Investors, we may not directly or indirectly transfer, pledge or otherwise dispose of NIO China’s shares to a third party that may result in our shareholding in NIO China fall below 60%. A qualified initial public offering refers to NIO China’s shares being directly or indirectly listed on the Shanghai Stock Exchange, the Shenzhen Stock Exchange, or another overseas stock exchange approved by all shareholders of NIO China, through an initial public offering or a material assets restructuring with a listed company.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Liquidation preference. </w:t>
            </w:r>
            <w:r>
              <w:rPr>
                <w:rFonts w:ascii="Times New Roman;Times;serif" w:hAnsi="Times New Roman;Times;serif"/>
                <w:b w:val="false"/>
                <w:i w:val="false"/>
                <w:caps w:val="false"/>
                <w:smallCaps w:val="false"/>
                <w:sz w:val="20"/>
              </w:rPr>
              <w:t>In the event that NIO China is liquidated, the NIO China Strategic Investors are guaranteed a minimum investment return equal to their capital contribution in NIO China by the NIO China Strategic Investors plus an investment income calculated at a compound interest rate of 8.5% (with respect to NIO China Series A Investment) or 7.5% (with respect to NIO China Series B Investment) per annum based on the total amount of their capital contribution. If the total consideration received by the NIO China Strategic Investors in such liquidation events is not sufficient to meet the guaranteed minimum investment return, we undertake to compensate separately the shortfall to the NIO China Strategic Investors in cash. Therefore, we could potentially be liable for the full amount of the minimum investment return under the Hefei Investment Agreement and the NIO China Series B Investment Agreements.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maintain effective control over NIO China through our significant shareholdings and corresponding voting rights in NIO China. As of the date of this annual report, we hold 89.0% controlling equity interests and corresponding voting rights in NIO China, and upon completion of the NIO China Series B Investment, we will hold 88.25% of controlling equity interests and corresponding voting rights in NIO China. According to the NIO China Series B Shareholders Agreement and NIO China’s articles of association, certain significant corporate matters requiring shareholders’ approval by law that fall into the protective provisions at the board of directors level shall be approved by the board of directors of NIO China before being presented to the shareholders for approval. Resolutions of the shareholders involving such significant corporate matters may be passed by shareholders holding at least two thirds of all valid voting power, while resolutions involving other matters may be passed by shareholders holding at least half of all valid voting power. Considering our controlling equity interests and corresponding voting rights in NIO China, we have the power to approve all corporate matters that are required to be approved by NIO China’s shareholders.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have effective control over the board of directors of NIO China through the majority representation and corresponding voting rights on its board. According to the NIO China Series B Shareholders Agreement, the current board of directors of NIO China consists of seven members, five of whom are designated by us and serve as directors or executive officers of the Company. The remaining two directors are designated by Jianheng New Energy Fund and Advanced Manufacturing Industry Investment Fund. Each of these two directors independently exercises voting rights on board matters without any act-in-concert arrangements between them or among the NIO China Strategic Investors. These two directors do not participate in the daily operations and management of NIO China outside of their board meeting participation. Moreover, if the aggregate equity holding of the NIO China Strategic Investors in NIO China is lower than 5%, the NIO China Strategic Investors shall not be entitled to nominate any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 limited scope of significant corporate matters, such as changes in NIO China’s corporate structure, changes to its core business, and amendment to its articles of association, require the affirmative votes of three-fourths (3/4) of the directors for investor protection purposes, while the affirmative votes of two thirds of the directors are sufficient to approve certain corporate matters, such as the annual budget, the annual final accounts, and the appointment or removal of the CEO and CFO, in accordance with the NIO China Series B Shareholders Agreement.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Battery Asset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August 2020, we and the Battery Asset Company Investors jointly established the Battery Asset Company. We and the Initial BaaS Investors each invested RMB200 million and held 25% equity interests in the Battery Asset Company at its establishment. In December 2020, April 2021, August 2021 and July 2022, respectively, the Battery Asset Company entered into agreements with new and existing investors for additional financing. As of the date of this annual report, we beneficially own approximately 19.4% of the equity interests in the Battery Asset Company.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Business Collaboration with Forseven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26, 2024, we entered into a technology license agreement, or the Technology License Agreement, with Forseven, a subsidiary of CYVN Holdings L.L.C. Pursuant to the Technology License Agreement, we granted a non-exclusive and non-transferrable worldwide license to Forseven to use certain of our technical information, technical solutions, software and intellectual property rights related to or subsisting in our existing and future smart electric vehicle platforms within certain period, which we collectively refer to as the Licensed Technologies, for (i) the research and development, manufacturing, offering to sell, sales, import and export of vehicle models sold or marketed under Forseven brand(s) meeting pre-agreed manufacturer’s suggested retail price thresholds (excluding tax) under the Technology License Agreement, which we collectively refer to as the Licensed Products, and (ii) the provision or procurement of certain after-sales services for the Licensed Products to its users or technical services from us. We will also provide Forseven with information and reasonable assistance to the extent necessary for Forseven to utilize the Licensed Technologies in accordance with general industry practices. In addition to the Technology License Agreement, we also entered into various service agreements to assist Forseven to develop vehicles based on the Technology License Agreement for pre-agreed fees.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Technology License Agreement, we will receive technology license fees comprising a non-refundable, fixed upfront license fee plus royalties determined based on the future sales of Licensed Products by Forseven. In addition, Forseven agrees to indemnify us against any losses incurred in connection with breach of its confidentiality obligations under the Technology License Agreement up to a specified liability cap. Subject to certain exceptions, we agree to indemnify Forseven against losses incurred in connection with any third-party intellectual property rights infringement claims resulting from Forseven’s or its sublicensee’s use of the Licensed Technologies in accordance with the Technology License Agreement in an amount of up to twice the amount of the technology license fees paid or payable to us and up to a specified liability cap. Subject to certain limitations, each party’s aggregate liabilities under the Technology License Agreement are capped at a specified liability cap, provided that Forseven’s intentional breach of the confidentiality obligation is uncapped.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Unless terminated in accordance with provisions provided therein, the Technology License Agreement will remain valid until the end of production of the Licensed Products (if the license is used for researching, developing, manufacturing, selling, importing and exporting Licensed Products) or the expiration of Forseven’s obligation to provide after-sales services to its users (if the license is used for providing after-sales services). Either party may terminate the Technology License Agreement if the other party: (i) voluntarily applies for insolvency, liquidation, receivership, bankruptcy, or any other similar procedure for the purpose of debt settlement (other than solvent mergers or reorganizations); (ii) involuntarily applies for insolvency, liquidation, receivership, bankruptcy, or any other similar procedure, and such procedures are not revoked or reversed within 60 days; (iii) makes a general assignment for the benefit of its creditors; (iv) dissolves; (v) suspends or threatens to suspend payment of its debts, or is unable to pay debts as they fall due, or admits inability to pay its debts; (vi) commits a material breach of the Technology License Agreement and (a) such breach is irremediable or (b) fails to rectify the breach within 60 days after receiving a notice from the non-breaching party detailing the breach and requesting a remedy; and (vii) violates applicable laws relating to export control, sanctions, anti-corruption and anti-bribery.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also terminate the Technology License Agreement under certain conditions, including if a company that owns one or more automotive brands and sells vehicles under such brand(s) to the market obtains control of Forseven.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automotive market is highly competitive, and we compete with both NEV and ICE vehicles targeting the mid- to high-end segment. The electric vehicle industry continues to evolve, driven by shifting market demands, supportive policies for new energy vehicles, the expansion of charging infrastructure, and advancements in electric component technologies. As more traditional OEMs and other enterprises with strong financial, engineering, manufacturing, and marketing capabilities enter the market, competition is expected to further intensify. Key competitive factors in the industry include pricing, technological innovation, product design and performance, product quality and safety, service and charging solutions, user experience, and manufacturing efficiency. Our competitive advantages in this dynamic landscape lie in our continuously evolving products tailored to better meet customer needs, ongoing advancements in proprietary software and hardware technologies, comprehensive power solutions encompassing battery swapping, as well as an exceptional user experience.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developed a number of proprietary systems and technologies. Since our inception, we have remained committed to innovation and have dedicated ourselves to investing in research and development of core technologies. We have strategically focused on building in-house capabilities, including battery swapping, assisted and intelligent driving, digital technologies, electric powertrain and battery, vehicle engineering and design, among others. As a result, our success depends, at least in part, on our ability to protect our core technology and intellectual property, including our registered patents for electric powertrain, battery and assisted and intelligent driving technologies, among others. To accomplish this, we adopted a protection approach that combines patent filings, trade secret protections (mainly through employee and third-party nondisclosure agreements and internal policies), copyright registrations and trademark filings to establish and protect our proprietary rights in our technology and brands. We will actively monitor and pursue claims against unauthorized use or exploitation of our intellectual property.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2024, we had 5,693 issued patents and 4,122 pending patent applications, 6,296 registered trademarks and 1,371 pending trademark applications in the United States, China, Europe and other jurisdictions. As of December 31, 2024, we also held or otherwise had the legal right to use 312 registered copyrights for software or works of art and approximately 869 registered domain names, including www.nio.io. We intend to continue to file additional patent applications with respect to our technology.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Environmental, Social and Governance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our inception, we have embraced the vision of Blue Sky Coming. We deeply understand that the smart electric vehicle industry plays a crucial role in driving the green and low-carbon transformation of the economy and society. Recognizing the importance of environmental, social, and corporate governance, or ESG, and firmly believing in creating sustainable value, we are committed to leveraging our technologies, products, and services to be a force for good in these areas.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continually enhanced our ESG practice with an unwavering dedication to sustainable development. In 2024, MSCI upgraded our ESG rating from A to AA, positioning us in the top tier of the global automotive industry. In addition, we were included on 2024 Fortune China ESG Impact List, one of the three automotive companies on the list, reflecting our efforts in environmental stewardship, employee wellbeing, and community engagement. Moreover, we received the Climate Adaptation Innovation Pioneer Award and the Community Engagement Excellence Award from the Hong Kong ESG Reporting Awards (HERA), one of the most influential ESG awards in Hong Kong. In 2024, we conducted extensive research on ESG topics and actively solicited feedback from both internal and external stakeholders. In January 2025, we were recognized in the Corporate Knights Global 100, ranking 13th out of over 8,000 companies and securing the top position among global automotive companies. The achievements in our ESG initiatives reflect the high recognition of our long-term investment value and sustainable practices by international authorities.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dedicated to fostering sustainable development through responsible governance. We have established a robust and efficient corporate governance structure, and have established the Nominating and ESG Committee under our board of directors, as well as the ESG Steering Team, to streamline our ESG initiatives. We release ESG reports annually on our website, detailing our latest ESG policies and sustainability initiatives.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With the guidelines from the United Nations Global Compact, United Nations Sustainable Development Goals, and ESG Sustainability related regulations, we have identified the following three pillars in our ESG initiatives, which have been integrated into our business operations and corporate governance.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Environmental Sustainability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Focusing on low-carbon development, ecological protection and environmental management, we make efforts to put the concept of sustainability into practice through the whole lifecycle of the green industry chain and build a green eco-system with upstream and downstream partners.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the product design and development stage, based on the philosophy of design for sustainability, we conduct comprehensive research on the availability and application of low-carbon technologies and materials, and apply them on our products to reduce the carbon emission and energy consumption of our product portfolio. During the manufacturing process, we continue to improve and carry forward its green manufacturing system by carrying out intensive green space construction, empowering digital management and committing to renewable energy utilization. In addition, we implemented water, aluminum and other scrap material recycling in our plant and aim to further expand our recycling efforts throughout the product lifecycle. In 2024, our factory was designated as a Green Factory by Anhui Province, signifying a high recognition of our contribution to promoting green manufacturing and low-carbon economic development.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we have initiated a series of activities together with different stakeholders to protect the environment and support the broader community. We launched Clean Parks, an ecosystem co-conservation initiative co-initiated with the World Wide Fund for Nature and the United Nations Development Programme.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Social Sustainability</w:t>
      </w:r>
    </w:p>
    <w:p>
      <w:pPr>
        <w:pStyle w:val="TextBody"/>
        <w:bidi w:val="0"/>
        <w:spacing w:before="0" w:after="240"/>
        <w:ind w:left="0" w:right="0" w:firstLine="720"/>
        <w:jc w:val="both"/>
        <w:rPr>
          <w:rFonts w:ascii="Times New Roman;Times;serif" w:hAnsi="Times New Roman;Times;serif"/>
          <w:sz w:val="20"/>
        </w:rPr>
      </w:pPr>
      <w:bookmarkStart w:id="79" w:name="_Hlk162416291"/>
      <w:bookmarkEnd w:id="79"/>
      <w:r>
        <w:rPr>
          <w:rFonts w:ascii="Times New Roman;Times;serif" w:hAnsi="Times New Roman;Times;serif"/>
          <w:sz w:val="20"/>
        </w:rPr>
        <w:t>We are fully committed to being socially responsible and making a positive impact on the society. Driven by user experience, we integrate quality, safety, and innovation into the whole lifecycle management of products and services, which not only covers research and development, supply chain, manufacturing and user service, but also includes innovative business models based on core technologies, aligning user needs with full-lifecycle user experiences. In 2024, we introduced the All-Time Quality (ATQ) system, a comprehensive lifecycle quality framework centered on user interests, which applies quality management across the entire business chain, from product development, supply chain, manufacturing and logistics to user experience and service quality.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built a user community extending from personal growth to community development and user co-creation. To further understand the demands of users and improve our service quality, NIO has set up a multi-dimensional satisfaction survey mechanism.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member of the United Nations Global Compact, we are committed to fulfilling the standards and requirements of the Universal Declaration of Human Rights and the Declaration of the International Labor Organization on Fundamental Principles and Rights at Work, and have integrated them into internal systems and polices. We focus on identifying and attracting talent from diverse backgrounds across the globe and aim to facilitate the long-term development of employees through a value-driven mechanism based on NIO value system. We have established a unique career development system, NIO Career Path system, providing different development paths for employees in different positions. On top of our employee stock ownership plan and compulsory benefits and insurances covering all employees, we also offer our employees various supplementary benefits and organize various employee activities to enrich employees’ lives and improve their wellbeing.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established various corporate social responsibility initiatives to comprehensively give back to the communities and to create value for the society. We are the sponsor of the Formula Student Electric China, a competition event where college students design and race electric racing vehicles, allowing us to nurture the young talent for the future of the automotive industry. In addition, NIO Users Trust has been making continuous contributions to public welfare projects, including rural revitalization, emergency assistance, user care and charity donations, and collaborating with third-party organizations in various projects with the goal to achieve a balance between social benefits and economic development.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Corporate Governance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strictly abide by all laws and regulations and aim to protect the rights and interests of shareholders, enhance corporate value, guide the formulation of business strategies and policies, and increase corporate transparency. To promote our sustainable development and strengthen the effectiveness of governance, we appropriately balance the diversity among board members and management team. As a vital part of our company, our management and board members contribute their insights into the strategic decision-making process by drawing on their gender perspective and diversified industry and technical background. We also aim to develop a pipeline of potential female successors to the Board to increase the percentage of female Board representatives in the coming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responsible company, we serve the long-term value of our business and act with integrity and ethics. We established a comprehensive internal ethics and compliance system and polices to manage our business behavior and prohibit corruption, bribery, extortion, fraud, money laundering, monopoly and unfair competition, and insider trading. For enabling a comprehensive supervision of ethics, we set up the reporting mechanism with whistle-blower protection. In addition, we carry out integrity training for all employees every year, and implement standardized management of the performance of their duties.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provide solid support for business development, we have established a comprehensive information security management system, and has been improving the system constantly in line with applicable laws and regulations in the countries and regions where we conduct business, supporting smooth business operations of our company and protecting the security of user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support our mission and advance our ESG initiatives, Nominating and ESG Committee oversees and manages our ESG strategies, policies, and performance, and reports to our board of directors regarding the ESG progress to align the ESG related affairs with the overall strategy of our company. The ESG steering team under the Nominating and ESG Committee takes charges of the implementation of ESG initiatives and projects, and leads the ESG and Sustainability Department and relevant personnel to execute ESG-related specific measures.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past few years, demand for new vehicles in the automotive industry was generally higher in the fourth quarter. Such variation may or may not continue in the future. Our limited operating history makes it difficult for us to judge the exact nature or extent of the seasonality of our business. Also, any unusually severe weather conditions in some markets may impact demand for our vehicles.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Insurance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maintain various insurance policies required by PRC laws and regulations to safeguard against risks and unexpected events. We consider that the coverage from the insurance policies that we maintain is in line with the industry norm. We do not have any business liability or disruption insurance to cover our operations. For the years ended December 31, 2022, 2023 and 2024, we have not made, nor been the subject of, any material insurance claim.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section sets forth a summary of the most significant rules and regulations that affect our business activities in China.</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and Approvals Covering the Manufacturing of New Energy Vehicles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NDRC promulgated the </w:t>
      </w:r>
      <w:r>
        <w:rPr>
          <w:rFonts w:ascii="Times New Roman;Times;serif" w:hAnsi="Times New Roman;Times;serif"/>
          <w:i/>
          <w:sz w:val="20"/>
        </w:rPr>
        <w:t>Provisions on Administration of Investment in Automobile Industry</w:t>
      </w:r>
      <w:r>
        <w:rPr>
          <w:rFonts w:ascii="Times New Roman;Times;serif" w:hAnsi="Times New Roman;Times;serif"/>
          <w:sz w:val="20"/>
        </w:rPr>
        <w:t>, which took effect on January 10, 2019. According to these provisions, enterprises are encouraged to, through equity investment and cooperation in production capacity, enter into strategic cooperation relationship, carry out joint research and development of products, organize manufacturing activities jointly and increase industrial concentration. The advantageous resources in production, high learning, research, application and other areas shall be integrated and core enterprises in automobile industry shall be propelled to form industrial alliance and industrial consortium. The vehicle investment projects shall be filed with the provincial development and reform authorities.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According to the </w:t>
      </w:r>
      <w:r>
        <w:rPr>
          <w:rFonts w:ascii="Times New Roman;Times;serif" w:hAnsi="Times New Roman;Times;serif"/>
          <w:i/>
          <w:sz w:val="20"/>
        </w:rPr>
        <w:t>Regulations on the Administration of Newly Established Pure Electric Passenger Vehicle Enterprises</w:t>
      </w:r>
      <w:r>
        <w:rPr>
          <w:rFonts w:ascii="Times New Roman;Times;serif" w:hAnsi="Times New Roman;Times;serif"/>
          <w:sz w:val="20"/>
        </w:rPr>
        <w:t xml:space="preserve">, which took effect on July 10, 2015, the NDRC and the Ministry of Industry and Information Technology are responsible for supervising and administering investment projects of newly established enterprises, as well as overseeing the access of vehicle manufacturers and products within the scope of their respective duties. Before our vehicles can be added to the </w:t>
      </w:r>
      <w:r>
        <w:rPr>
          <w:rFonts w:ascii="Times New Roman;Times;serif" w:hAnsi="Times New Roman;Times;serif"/>
          <w:i/>
          <w:sz w:val="20"/>
        </w:rPr>
        <w:t>Announcement of Vehicle Manufacturers and Products</w:t>
      </w:r>
      <w:r>
        <w:rPr>
          <w:rFonts w:ascii="Times New Roman;Times;serif" w:hAnsi="Times New Roman;Times;serif"/>
          <w:sz w:val="20"/>
        </w:rPr>
        <w:t xml:space="preserve">, or the Manufacturers and Products Announcement, issued by the Ministry of Industry and Information Technology, a procedure that is required in order for our vehicles to be approved for manufacture and sale in China, our vehicles must meet the applicable requirements set forth in laws and regulations. Such laws and regulations include, among others, the </w:t>
      </w:r>
      <w:r>
        <w:rPr>
          <w:rFonts w:ascii="Times New Roman;Times;serif" w:hAnsi="Times New Roman;Times;serif"/>
          <w:i/>
          <w:sz w:val="20"/>
        </w:rPr>
        <w:t>Administrative Rules on the Admission of New Energy Vehicle Manufacturers and Products</w:t>
      </w:r>
      <w:r>
        <w:rPr>
          <w:rFonts w:ascii="Times New Roman;Times;serif" w:hAnsi="Times New Roman;Times;serif"/>
          <w:sz w:val="20"/>
        </w:rPr>
        <w:t xml:space="preserve">, which took effect on July 1, 2017 and was amended on July 24, 2020, and the </w:t>
      </w:r>
      <w:r>
        <w:rPr>
          <w:rFonts w:ascii="Times New Roman;Times;serif" w:hAnsi="Times New Roman;Times;serif"/>
          <w:i/>
          <w:sz w:val="20"/>
        </w:rPr>
        <w:t>Administrative Rules on the Admission of Passenger Vehicles Manufacturer and Products</w:t>
      </w:r>
      <w:r>
        <w:rPr>
          <w:rFonts w:ascii="Times New Roman;Times;serif" w:hAnsi="Times New Roman;Times;serif"/>
          <w:sz w:val="20"/>
        </w:rPr>
        <w:t>, which took effect on January 1, 2012, and pass the review by the Ministry of Industry and Information Technology. NEVs that have entered into the Manufacturers and Products Announcement are required to undergo regular inspection every three years by the Ministry of Industry and Information Technology so that it may determine whether the vehicles remain qualified to stay in the Manufacturers and Products Announcement.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According to the </w:t>
      </w:r>
      <w:r>
        <w:rPr>
          <w:rFonts w:ascii="Times New Roman;Times;serif" w:hAnsi="Times New Roman;Times;serif"/>
          <w:i/>
          <w:sz w:val="20"/>
        </w:rPr>
        <w:t>Administrative Rules on the Admission of New Energy Vehicle Manufacturers and Products</w:t>
      </w:r>
      <w:r>
        <w:rPr>
          <w:rFonts w:ascii="Times New Roman;Times;serif" w:hAnsi="Times New Roman;Times;serif"/>
          <w:sz w:val="20"/>
        </w:rPr>
        <w:t>, in order for our vehicles to enter into the Manufacturers and Products Announcement, our vehicles must satisfy certain conditions, including, among others, meeting certain standards set out therein, meeting other safety and technical requirements specified by the Ministry of Industry and Information Technology, and passing inspections conducted by a state-recognized testing institution. Once such conditions for vehicles are met and the application has been approved by the Ministry of Industry and Information Technology, the qualified vehicles are published in the Manufacturers and Products Announcement by the Ministry of Industry and Information Technology. Where any new energy vehicle manufacturer manufactures or sells any model of a new energy vehicle without the prior approval of the competent authorities, including being published in the Manufacturers and Products Announcement by the Ministry of Industry and Information Technology, it may be subject to penalties, including fines, forfeiture of any illegally manufactured and sold vehicles and spare parts and revocation of its business licenses.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Compulsory Product Certification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Under the </w:t>
      </w:r>
      <w:r>
        <w:rPr>
          <w:rFonts w:ascii="Times New Roman;Times;serif" w:hAnsi="Times New Roman;Times;serif"/>
          <w:i/>
          <w:sz w:val="20"/>
        </w:rPr>
        <w:t xml:space="preserve">Administrative Regulations on Compulsory Product Certification </w:t>
      </w:r>
      <w:r>
        <w:rPr>
          <w:rFonts w:ascii="Times New Roman;Times;serif" w:hAnsi="Times New Roman;Times;serif"/>
          <w:sz w:val="20"/>
        </w:rPr>
        <w:t xml:space="preserve">which was promulgated by the General Administration of Quality Supervision, Inspection and Quarantine, which has been merged into the State Administration for Market Regulation, on July 3, 2009 and was latest amended on September 29, 2022 and took effect on November 1, 2022, and the </w:t>
      </w:r>
      <w:r>
        <w:rPr>
          <w:rFonts w:ascii="Times New Roman;Times;serif" w:hAnsi="Times New Roman;Times;serif"/>
          <w:i/>
          <w:sz w:val="20"/>
        </w:rPr>
        <w:t xml:space="preserve">List of the First Batch of Products Subject to Compulsory Product Certification </w:t>
      </w:r>
      <w:r>
        <w:rPr>
          <w:rFonts w:ascii="Times New Roman;Times;serif" w:hAnsi="Times New Roman;Times;serif"/>
          <w:sz w:val="20"/>
        </w:rPr>
        <w:t xml:space="preserve">which was promulgated in association with the State Certification and Accreditation Administration Committee on December 3, 2001 and took effect on May 1, 2002, the State Administration for Market Regulation is responsible for the regulation and quality certification of automobiles. Automobiles and parts and components must not be sold, exported or used in operating activities until they are certified by designated certification authorities of the PRC as qualified products and granted certification marks.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Relating to Parallel Credits Policy on Vehicle Manufacturers and Importers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September 27, 2017, the Ministry of Industry and Information Technology, the Ministry of Finance, the Ministry of Commerce, the General Administration of Customs of PRC and the State Administration for Market Regulation jointly promulgated the </w:t>
      </w:r>
      <w:r>
        <w:rPr>
          <w:rFonts w:ascii="Times New Roman;Times;serif" w:hAnsi="Times New Roman;Times;serif"/>
          <w:i/>
          <w:sz w:val="20"/>
        </w:rPr>
        <w:t>Measures for the Parallel Administration of the Average Fuel Consumption and New Energy Vehicle Credits of Passenger Vehicle Enterprises</w:t>
      </w:r>
      <w:r>
        <w:rPr>
          <w:rFonts w:ascii="Times New Roman;Times;serif" w:hAnsi="Times New Roman;Times;serif"/>
          <w:sz w:val="20"/>
        </w:rPr>
        <w:t>, which were most recently amended on June 29, 2023 and took effect on August 1, 2023. Under these measures, each of the vehicle manufacturers and vehicle importers above a certain scale is required to, among other things, maintain its new energy vehicles credits, or the NEV credits, and corporate average fuel consumption credits, above zero, regardless of whether NEVs or ICE vehicles are manufactured or imported by it, and NEV credits can be earned only by manufacturing or importing NEVs. Therefore, NEV manufacturers will enjoy preferences in obtaining and calculating NEV credits.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NEV credits are equal to the aggregate actual scores of a vehicle manufacturer or a vehicle importer minus its aggregate targeted scores. According to these measures, the actual scores shall be calculated by multiplying the score of each new energy vehicle model, which depends on various metrics such as the driving range, battery energy efficiency and the rated power of fuel cell systems, and is calculated based on formula published by the Ministry of Industry and Information Technology (in the case of a battery electric vehicle, the NEV credit of each vehicle is calculated by multiplying 0.0034 by the vehicle’s mileage, adding 0.2 to the result, and then multiplying the total by the mileage adjustment coefficient, battery energy density adjustment coefficient, and electricity consumption coefficient), by the respective production or import volume, while the targeted scores shall be calculated by multiplying the annual production or import volume of traditional ICEs of a vehicle manufacturer or importer by the NEV credit ratio set by the Ministry of Industry and Information Technology. The NEV credit ratios are 28% and 38% for the years of 2024 and 2025, respectively, increasing from 16% and 18% for the years of 2022 and 2023,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the Ministry of Industry and Information Technology will establish a NEV credits pool for passenger vehicle enterprises to store or withdraw positive NEV credits, and decide whether to open such pool before July 30 each year based on the average fuel consumption of passenger vehicle enterprises across the country and the supply and demand of NEV credits. The positive NEV credits stored in the credit pool do not have a carryover ratio requirement and are valid for five years. Excess positive NEV credits, or the automotive regulatory credits, are tradable and may be sold to other enterprises through a credit trading scheme established by the Ministry of Industry and Information Technology while excess positive corporate average fuel consumption credits can only be carried forward or transferred among related parties. Negative NEV credits can be offset by purchasing automotive regulatory credits from other manufacturers or importers.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According to these measures, the requirements on the NEV credits shall be considered for the entry approval of passenger vehicle manufacturers and products by the regulators. If a passenger vehicle enterprise fails to offset its negative credits, its new products, if the fuel consumption of which does not reach the target fuel consumption value for a certain vehicle models as specified in the </w:t>
      </w:r>
      <w:r>
        <w:rPr>
          <w:rFonts w:ascii="Times New Roman;Times;serif" w:hAnsi="Times New Roman;Times;serif"/>
          <w:i/>
          <w:sz w:val="20"/>
        </w:rPr>
        <w:t>Evaluation Methods and Indicators for the Fuel Consumption of Passenger Vehicles</w:t>
      </w:r>
      <w:r>
        <w:rPr>
          <w:rFonts w:ascii="Times New Roman;Times;serif" w:hAnsi="Times New Roman;Times;serif"/>
          <w:sz w:val="20"/>
        </w:rPr>
        <w:t xml:space="preserve">, it will not be listed in the </w:t>
      </w:r>
      <w:r>
        <w:rPr>
          <w:rFonts w:ascii="Times New Roman;Times;serif" w:hAnsi="Times New Roman;Times;serif"/>
          <w:i/>
          <w:sz w:val="20"/>
        </w:rPr>
        <w:t>Announcement of the Vehicle Manufacturers and Products</w:t>
      </w:r>
      <w:r>
        <w:rPr>
          <w:rFonts w:ascii="Times New Roman;Times;serif" w:hAnsi="Times New Roman;Times;serif"/>
          <w:sz w:val="20"/>
        </w:rPr>
        <w:t xml:space="preserve"> issued by the Ministry of Industry and Information Technology, or will not be granted the compulsory product certification, and the vehicle enterprises may be subject to penalties according to the applicable rules and regulations.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Electric Vehicle Charging Infrastructure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Guidance Opinions of the General Office of the State Council on Accelerating the Promotion and Application of the New Energy Vehicles, which took effect on July 14, 2014, the Guidance on the Development of Electric Vehicle Charging Infrastructure (2015-2020), which took effect on October 9, 2015, and the Development Plan for the New-energy Vehicle Industry (2021-2035), which took effect on October 20, 2020, the PRC government encourages the construction and development of charging infrastructure for electric vehicles, such as charging stations and battery swap stations, and only centralized charging and battery replacement power stations are required to obtain approvals for construction permits from the authorities.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 xml:space="preserve">Circular on Accelerating the Development of Electrical Vehicle Charging Infrastructures in Residential Areas </w:t>
      </w:r>
      <w:r>
        <w:rPr>
          <w:rFonts w:ascii="Times New Roman;Times;serif" w:hAnsi="Times New Roman;Times;serif"/>
          <w:sz w:val="20"/>
        </w:rPr>
        <w:t>promulgated on July 25, 2016 provides that the operators of electrical vehicle charging and battery swap infrastructure are required to be covered under liability insurance policies to protect the purchasers of electric vehicles, covering the safety of electric vehicle charging.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Automobile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w:t>
      </w:r>
      <w:r>
        <w:rPr>
          <w:rFonts w:ascii="Times New Roman;Times;serif" w:hAnsi="Times New Roman;Times;serif"/>
          <w:i/>
          <w:sz w:val="20"/>
        </w:rPr>
        <w:t xml:space="preserve">Administrative Measures on Automobile Sales </w:t>
      </w:r>
      <w:r>
        <w:rPr>
          <w:rFonts w:ascii="Times New Roman;Times;serif" w:hAnsi="Times New Roman;Times;serif"/>
          <w:sz w:val="20"/>
        </w:rPr>
        <w:t>promulgated by the Ministry of Commerce, April 5, 2017, which took effect on July 1, 2017, automobile suppliers and dealers are required to file with authorities through the information system for the national automobile circulation operated by the competent commerce department within 90 days after the receipt of a business license. Where there is any change to the information concerned, automobile suppliers and dealers must update such information within 30 days after such change.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the Recall of Defective Automobiles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October 22, 2012, the State Council promulgated the </w:t>
      </w:r>
      <w:r>
        <w:rPr>
          <w:rFonts w:ascii="Times New Roman;Times;serif" w:hAnsi="Times New Roman;Times;serif"/>
          <w:i/>
          <w:sz w:val="20"/>
        </w:rPr>
        <w:t>Administrative Provisions on Defective Automotive Product Recalls</w:t>
      </w:r>
      <w:r>
        <w:rPr>
          <w:rFonts w:ascii="Times New Roman;Times;serif" w:hAnsi="Times New Roman;Times;serif"/>
          <w:sz w:val="20"/>
        </w:rPr>
        <w:t>, which took effect on January 1, 2013 and were amended on March 2, 2019. The product quality supervision department of the State Council is responsible for the supervision and administration of recalls of defective automotive products nationwide. Pursuant to the administrative provisions, manufacturers of automobile products are required to take measures to eliminate defects in products they sell. A manufacturer must recall all defective automobile products. Failure to recall such products may result in an order to recall the defective products from the quality supervisory authority of the State Council. If any operator conducting sales, leasing, or repair of vehicles discovers any defect in automobile products, it must cease to sell, lease or use the defective products and must assist manufacturers in the recall of those products. Manufacturers must recall their products through publicly available channels and publicly announce the defects. Manufacturers must take measures to eliminate or cure defects, including rectification, identification, modification, replacement or return of the products. Manufacturers that attempt to conceal defects or do not recall defective automobile products in accordance with regulations will be subject to penalties, including fines, forfeiture of any income earned in violation of law and revocation of licenses.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w:t>
      </w:r>
      <w:r>
        <w:rPr>
          <w:rFonts w:ascii="Times New Roman;Times;serif" w:hAnsi="Times New Roman;Times;serif"/>
          <w:i/>
          <w:sz w:val="20"/>
        </w:rPr>
        <w:t>Implementation Rules on the Administrative Provisions on Defective Automotive Product Recalls</w:t>
      </w:r>
      <w:r>
        <w:rPr>
          <w:rFonts w:ascii="Times New Roman;Times;serif" w:hAnsi="Times New Roman;Times;serif"/>
          <w:sz w:val="20"/>
        </w:rPr>
        <w:t>, which took effect on January 1, 2016 and was latest amended on October 23, 2020, if a manufacturer is aware of any potential defect in its automobiles, it must investigate in a timely manner and report the results of such investigation to the State Administration for Market Regulation. Where any defect is found during the investigations, the manufacturer must cease to manufacture, sell, or import the automobile products and recall such products in accordance with applicable laws and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November 23, 2020, the State Administration for Market Regulation issued the </w:t>
      </w:r>
      <w:r>
        <w:rPr>
          <w:rFonts w:ascii="Times New Roman;Times;serif" w:hAnsi="Times New Roman;Times;serif"/>
          <w:i/>
          <w:sz w:val="20"/>
        </w:rPr>
        <w:t>Circular on Further Improving the Regulation of Recall of Automobile with Over-the-Air (OTA) Technology</w:t>
      </w:r>
      <w:r>
        <w:rPr>
          <w:rFonts w:ascii="Times New Roman;Times;serif" w:hAnsi="Times New Roman;Times;serif"/>
          <w:sz w:val="20"/>
        </w:rPr>
        <w:t>, pursuant to which automobiles manufacturers that provide technical services through OTA are required to complete filing with the State Administration for Market Regulation and those who have provided such services through OTA must complete such filing before December 31, 2020. In addition, if an automaker uses OTA technology to eliminate defects and recalls its defective products, it must make a recall plan and complete a filing with the State Administration for Market Regulation.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Product Liability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w:t>
      </w:r>
      <w:r>
        <w:rPr>
          <w:rFonts w:ascii="Times New Roman;Times;serif" w:hAnsi="Times New Roman;Times;serif"/>
          <w:i/>
          <w:sz w:val="20"/>
        </w:rPr>
        <w:t>Product Quality Law of the PRC</w:t>
      </w:r>
      <w:r>
        <w:rPr>
          <w:rFonts w:ascii="Times New Roman;Times;serif" w:hAnsi="Times New Roman;Times;serif"/>
          <w:sz w:val="20"/>
        </w:rPr>
        <w:t>, promulgated on February 22, 1993 and latest amended on December 29, 2018, a manufacturer is prohibited from producing or selling products that do not meet applicable standards and requirements for safeguarding human health and ensuring human and property safety. Products must be free from unreasonable dangers threatening human and property safety. Where a defective product causes physical injury to a person or property damage, the aggrieved party may make a claim for compensation from the producer or the seller of the product. Producers and sellers of non-compliant products may be ordered to cease the production or sale of the products and could be subject to confiscation of the products and/or fines. Earnings from sales in contravention of such standards or requirements may also be confiscated, and in severe cases, an offender’s business license may be revoked.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Favorable Government Policies Relating to New Energy Vehicles in the 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November 2, 2020, the State Council issued the </w:t>
      </w:r>
      <w:r>
        <w:rPr>
          <w:rFonts w:ascii="Times New Roman;Times;serif" w:hAnsi="Times New Roman;Times;serif"/>
          <w:i/>
          <w:sz w:val="20"/>
        </w:rPr>
        <w:t>Development Plan for the New-energy Vehicle Industry (2021-2035)</w:t>
      </w:r>
      <w:r>
        <w:rPr>
          <w:rFonts w:ascii="Times New Roman;Times;serif" w:hAnsi="Times New Roman;Times;serif"/>
          <w:sz w:val="20"/>
        </w:rPr>
        <w:t xml:space="preserve">, in order to boost the high-quality development of NEVs from 2021 to 2035. The development plan is implemented with a view to achieve the following goals: (i) by 2025, the average power consumption of NEVs will drop to 12.0 kWh per 100 kilometers. The sales volume of NEVs will reach around 20% of the total sales volume of new vehicles, and highly autonomous vehicles will achieve commercial applications in limited areas and specific scenarios; (ii) by 2035, pure electric vehicles shall become the mainstream of new vehicles for sale. Vehicle use in public areas shall achieve full electrification, fuel cell vehicles shall achieve commercialized application, and highly autonomous vehicles shall achieve large-scale application, in order to effectively promote the improvement of energy saving and emission reduction level and social operation efficiency. On December 27, 2023, the NDRC issued the </w:t>
      </w:r>
      <w:r>
        <w:rPr>
          <w:rFonts w:ascii="Times New Roman;Times;serif" w:hAnsi="Times New Roman;Times;serif"/>
          <w:i/>
          <w:sz w:val="20"/>
        </w:rPr>
        <w:t>Guidance Catalog for Industrial Structural Adjustment (2024 Edition)</w:t>
      </w:r>
      <w:r>
        <w:rPr>
          <w:rFonts w:ascii="Times New Roman;Times;serif" w:hAnsi="Times New Roman;Times;serif"/>
          <w:sz w:val="20"/>
        </w:rPr>
        <w:t>, which took effect on February 1, 2024, and pursuant to which, electric vehicle charging facilities and key components of new energy vehicles are categorized as encouraged projects.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Government Subsidies for Purchases of New Energy Vehicles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April 22, 2015, the Ministry of Finance, the Ministry of Science and Technology, the Ministry of Industry and Information Technology and the NDRC jointly issued the </w:t>
      </w:r>
      <w:r>
        <w:rPr>
          <w:rFonts w:ascii="Times New Roman;Times;serif" w:hAnsi="Times New Roman;Times;serif"/>
          <w:i/>
          <w:sz w:val="20"/>
        </w:rPr>
        <w:t>Circular on the Financial Support Policies on the Promotion and Application of New Energy Vehicles in 2016-2020</w:t>
      </w:r>
      <w:r>
        <w:rPr>
          <w:rFonts w:ascii="Times New Roman;Times;serif" w:hAnsi="Times New Roman;Times;serif"/>
          <w:sz w:val="20"/>
        </w:rPr>
        <w:t xml:space="preserve">, which took effect on the same day. This circular provides that those who purchase new energy vehicles specified in the </w:t>
      </w:r>
      <w:r>
        <w:rPr>
          <w:rFonts w:ascii="Times New Roman;Times;serif" w:hAnsi="Times New Roman;Times;serif"/>
          <w:i/>
          <w:sz w:val="20"/>
        </w:rPr>
        <w:t xml:space="preserve">Catalogue of Recommended New Energy Vehicle Models for Promotion and Application </w:t>
      </w:r>
      <w:r>
        <w:rPr>
          <w:rFonts w:ascii="Times New Roman;Times;serif" w:hAnsi="Times New Roman;Times;serif"/>
          <w:sz w:val="20"/>
        </w:rPr>
        <w:t>by the Ministry of Industry and Information Technology, may obtain subsidies from the PRC national government. Pursuant to this circular, a purchaser may purchase a new energy vehicle from a seller by paying the original price minus the subsidy amount, and the seller may obtain the subsidy amount from the government after such new energy vehicle is sold to the purchaser. This circular also provided a preliminary phase-out schedule for the provision of subsidies.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December 29, 2016, the Ministry of Finance, the Ministry of Science and Technology, the Ministry of Industry and Information Technology and the NDRC jointly issued the </w:t>
      </w:r>
      <w:r>
        <w:rPr>
          <w:rFonts w:ascii="Times New Roman;Times;serif" w:hAnsi="Times New Roman;Times;serif"/>
          <w:i/>
          <w:sz w:val="20"/>
        </w:rPr>
        <w:t>Circular on Adjusting the Subsidy Policy for the Promotion and Application of New Energy Vehicles</w:t>
      </w:r>
      <w:r>
        <w:rPr>
          <w:rFonts w:ascii="Times New Roman;Times;serif" w:hAnsi="Times New Roman;Times;serif"/>
          <w:sz w:val="20"/>
        </w:rPr>
        <w:t>, or the Circular on Adjusting the Subsidy Policy, which took effect on January 1, 2017, to adjust the existing subsidy standard for purchases of new energy vehicles. The Circular on Adjusting the Subsidy Policy capped the local subsidies at 50% of the national subsidy amount, and further specified that national subsidies for purchasers purchasing certain new energy vehicles (except for fuel cell vehicles) from 2019 to 2020 would be reduced by 20% as compared to 2017 subsidy standards.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subsidy standard is reviewed and updated on an annual basis. The 2020 subsidy standard, effective from April 23, 2020, was provided in the </w:t>
      </w:r>
      <w:r>
        <w:rPr>
          <w:rFonts w:ascii="Times New Roman;Times;serif" w:hAnsi="Times New Roman;Times;serif"/>
          <w:i/>
          <w:sz w:val="20"/>
        </w:rPr>
        <w:t xml:space="preserve">Circular on Improving the Subsidy Policies for the Promotion and Application of New Energy Vehicles </w:t>
      </w:r>
      <w:r>
        <w:rPr>
          <w:rFonts w:ascii="Times New Roman;Times;serif" w:hAnsi="Times New Roman;Times;serif"/>
          <w:sz w:val="20"/>
        </w:rPr>
        <w:t xml:space="preserve">jointly promulgated by the Ministry of Finance, the Ministry of Science and Technology, the Ministry of Industry and Information Technology and the NDRC on the same day. The 2020 subsidy standard reduces the base subsidy amount by 10% for each NEV, sets subsidies for 2 million vehicles as the upper limit of annual subsidy scale; and provides that national subsidy shall only apply to an NEV that is either (i) with the sale price under RMB300,000 or (ii) equipped with battery swapping mechanism. Given all our vehicles are equipped with battery swapping mechanism, purchasers of all our vehicles, regardless of sales price, are eligible to enjoy the subsidies provided by the PRC government to purchases of new energy vehicles. The 2021 subsidy standard, effective from January 1, 2021, was provided in the </w:t>
      </w:r>
      <w:r>
        <w:rPr>
          <w:rFonts w:ascii="Times New Roman;Times;serif" w:hAnsi="Times New Roman;Times;serif"/>
          <w:i/>
          <w:sz w:val="20"/>
        </w:rPr>
        <w:t xml:space="preserve">Circular on Further Improving the Subsidy Policies for the Promotion and Application of New Energy Vehicles </w:t>
      </w:r>
      <w:r>
        <w:rPr>
          <w:rFonts w:ascii="Times New Roman;Times;serif" w:hAnsi="Times New Roman;Times;serif"/>
          <w:sz w:val="20"/>
        </w:rPr>
        <w:t xml:space="preserve">jointly promulgated by the Ministry of Finance, the Ministry of Science and Technology, the Ministry of Industry and Information Technology and the NDRC on December 31, 2020. The 2021 subsidy standard reduces the base subsidy amount by 20% for each NEV based on that for the previous year. Further, the 2022 subsidy standard, effective from January 1, 2022, was provided in the </w:t>
      </w:r>
      <w:r>
        <w:rPr>
          <w:rFonts w:ascii="Times New Roman;Times;serif" w:hAnsi="Times New Roman;Times;serif"/>
          <w:i/>
          <w:sz w:val="20"/>
        </w:rPr>
        <w:t xml:space="preserve">Circular on Financial Subsidy Policies for the Promotion and Application of New Energy Vehicles in Year 2022 </w:t>
      </w:r>
      <w:r>
        <w:rPr>
          <w:rFonts w:ascii="Times New Roman;Times;serif" w:hAnsi="Times New Roman;Times;serif"/>
          <w:sz w:val="20"/>
        </w:rPr>
        <w:t>jointly promulgated by the Ministry of Finance, the Ministry of Science and Technology, the Ministry of Industry and Information Technology and the NDRC on December 31, 2021. The 2022 subsidy standard reduces the base subsidy amount by 30% for each NEV from that for the previous year. The new energy vehicles subsidy policy was terminated on December 31,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Exemption of Vehicle Purchase Tax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December 26, 2017, the Ministry of Finance, the State Taxation Administration, the Ministry of Industry and Information Technology and the Ministry of Science and Technology jointly issued the </w:t>
      </w:r>
      <w:r>
        <w:rPr>
          <w:rFonts w:ascii="Times New Roman;Times;serif" w:hAnsi="Times New Roman;Times;serif"/>
          <w:i/>
          <w:sz w:val="20"/>
        </w:rPr>
        <w:t>Announcement on Exemption of Vehicle Purchase Tax for New Energy Vehicle</w:t>
      </w:r>
      <w:r>
        <w:rPr>
          <w:rFonts w:ascii="Times New Roman;Times;serif" w:hAnsi="Times New Roman;Times;serif"/>
          <w:sz w:val="20"/>
        </w:rPr>
        <w:t xml:space="preserve">. On June 28, 2019, the Ministry of Finance and the State Taxation Administration jointly issued the </w:t>
      </w:r>
      <w:r>
        <w:rPr>
          <w:rFonts w:ascii="Times New Roman;Times;serif" w:hAnsi="Times New Roman;Times;serif"/>
          <w:i/>
          <w:sz w:val="20"/>
        </w:rPr>
        <w:t>Announcement on Renewal of Preferential Policies on Vehicle Purchase Tax</w:t>
      </w:r>
      <w:r>
        <w:rPr>
          <w:rFonts w:ascii="Times New Roman;Times;serif" w:hAnsi="Times New Roman;Times;serif"/>
          <w:sz w:val="20"/>
        </w:rPr>
        <w:t xml:space="preserve">. Pursuant to the two announcements, from January 1, 2018 to December 31, 2020, the vehicle purchase tax which is applicable for ICE vehicles is not imposed on purchases of qualified new energy vehicles listed in the </w:t>
      </w:r>
      <w:r>
        <w:rPr>
          <w:rFonts w:ascii="Times New Roman;Times;serif" w:hAnsi="Times New Roman;Times;serif"/>
          <w:i/>
          <w:sz w:val="20"/>
        </w:rPr>
        <w:t>Catalogue of New Energy Vehicle Models Exempt from Vehicle Purchase Tax</w:t>
      </w:r>
      <w:r>
        <w:rPr>
          <w:rFonts w:ascii="Times New Roman;Times;serif" w:hAnsi="Times New Roman;Times;serif"/>
          <w:sz w:val="20"/>
        </w:rPr>
        <w:t xml:space="preserve">, issued by the Ministry of Industry and Information Technology. Such announcement provides that the policy on exemption of vehicle purchase tax is also applicable to new energy vehicles added to this catalogue prior to December 31, 2017. On April 16, 2020, the Ministry of Finance, the State Taxation Administration and the Ministry of Industry and Information Technology jointly issued the </w:t>
      </w:r>
      <w:r>
        <w:rPr>
          <w:rFonts w:ascii="Times New Roman;Times;serif" w:hAnsi="Times New Roman;Times;serif"/>
          <w:i/>
          <w:sz w:val="20"/>
        </w:rPr>
        <w:t>Announcement on Exemption of Vehicle Purchase Tax for New Energy Vehicle</w:t>
      </w:r>
      <w:r>
        <w:rPr>
          <w:rFonts w:ascii="Times New Roman;Times;serif" w:hAnsi="Times New Roman;Times;serif"/>
          <w:sz w:val="20"/>
        </w:rPr>
        <w:t xml:space="preserve">, with effect from January 1, 2021, which extends the vehicle purchase tax exemption period provided under the above two announcements till December 31, 2022. On September 18, 2022, the Ministry of Finance, the State Taxation Administration and the Ministry of Industry and Information Technology jointly issued the </w:t>
      </w:r>
      <w:r>
        <w:rPr>
          <w:rFonts w:ascii="Times New Roman;Times;serif" w:hAnsi="Times New Roman;Times;serif"/>
          <w:i/>
          <w:sz w:val="20"/>
        </w:rPr>
        <w:t>Announcement on Continuation of Policies for Exemption of Vehicle Purchase Tax for New Energy Vehicle</w:t>
      </w:r>
      <w:r>
        <w:rPr>
          <w:rFonts w:ascii="Times New Roman;Times;serif" w:hAnsi="Times New Roman;Times;serif"/>
          <w:sz w:val="20"/>
        </w:rPr>
        <w:t xml:space="preserve">, with effect from September 18, 2022, which provides that the new energy vehicles purchased during the period from January 1, 2023 to December 31, 2023 will be exempted from the vehicle purchase tax. On June 19, 2023, the Ministry of Industry and Information Technology, the Ministry of Finance and the State Taxation Administration, jointly promulgated the </w:t>
      </w:r>
      <w:r>
        <w:rPr>
          <w:rFonts w:ascii="Times New Roman;Times;serif" w:hAnsi="Times New Roman;Times;serif"/>
          <w:i/>
          <w:sz w:val="20"/>
        </w:rPr>
        <w:t>Announcement on Continuing and Optimizing the Vehicle Purchase Tax Reduction and Exemption Policies for New Energy Vehicles</w:t>
      </w:r>
      <w:r>
        <w:rPr>
          <w:rFonts w:ascii="Times New Roman;Times;serif" w:hAnsi="Times New Roman;Times;serif"/>
          <w:sz w:val="20"/>
        </w:rPr>
        <w:t>, pursuant to which, the NEVs purchased from January 1, 2024 to December 31, 2025 are eligible for exemption from vehicle purchase tax, with the amount of tax exemption for each new energy passenger vehicle not exceeding RMB30,000; and the vehicle purchase tax on the NEVs purchased from January 1, 2026 to December 31, 2027 shall be reduced by half, with the amount of tax reduction for each new energy passenger vehicle not exceeding RMB15,000.</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Non-imposition of Vehicle and Vessel Tax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Notice on Preferential Vehicle and Vessel Tax Policies for Energy-saving and New-energy Vehicles and Vessels</w:t>
      </w:r>
      <w:r>
        <w:rPr>
          <w:rFonts w:ascii="Times New Roman;Times;serif" w:hAnsi="Times New Roman;Times;serif"/>
          <w:sz w:val="20"/>
        </w:rPr>
        <w:t>, which was jointly promulgated by the Ministry of Finance, the Ministry of Transport, the State Taxation Administration and the Ministry of Industry and Information Technology on July 10, 2018, clarifies that NEVs are not subject to vehicle and vessel tax.</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New Energy Vehicle License Plate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recent years, in order to control the number of motor vehicles on the road, certain local governments have issued restrictions on the issuance of vehicle license plates. These restrictions generally do not apply to the issuance of license plates for new energy vehicles, which makes it easier for purchasers of new energy vehicles to obtain automobile license plates. For example, pursuant to the recently issued </w:t>
      </w:r>
      <w:r>
        <w:rPr>
          <w:rFonts w:ascii="Times New Roman;Times;serif" w:hAnsi="Times New Roman;Times;serif"/>
          <w:i/>
          <w:sz w:val="20"/>
        </w:rPr>
        <w:t>Implementation Measures on Encouraging Purchase and Use of New Energy Vehicles in Shanghai</w:t>
      </w:r>
      <w:r>
        <w:rPr>
          <w:rFonts w:ascii="Times New Roman;Times;serif" w:hAnsi="Times New Roman;Times;serif"/>
          <w:sz w:val="20"/>
        </w:rPr>
        <w:t>, which took effect on January 1, 2024 and remain valid until December 31, 2024, local authorities will issue new automobile license plates to qualified purchasers of new energy vehicles without requiring such qualified purchasers to go through certain license-plate bidding processes and to pay license-plate purchase fees as compared with purchasers of ICE vehicles.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Regulations on Value-added Telecommunications Services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 2000, the State Council promulgated the </w:t>
      </w:r>
      <w:r>
        <w:rPr>
          <w:rFonts w:ascii="Times New Roman;Times;serif" w:hAnsi="Times New Roman;Times;serif"/>
          <w:i/>
          <w:sz w:val="20"/>
        </w:rPr>
        <w:t>Telecommunications Regulations of the PRC</w:t>
      </w:r>
      <w:r>
        <w:rPr>
          <w:rFonts w:ascii="Times New Roman;Times;serif" w:hAnsi="Times New Roman;Times;serif"/>
          <w:sz w:val="20"/>
        </w:rPr>
        <w:t xml:space="preserve">, which was most recently amended in February 2016 and provides a regulatory framework for telecommunications services providers in the PRC. These regulations categorize all telecommunications businesses in China as either basic or value-added. Value-added telecommunications services are defined as telecommunications and information services provided through public network infrastructure. Pursuant to the </w:t>
      </w:r>
      <w:r>
        <w:rPr>
          <w:rFonts w:ascii="Times New Roman;Times;serif" w:hAnsi="Times New Roman;Times;serif"/>
          <w:i/>
          <w:sz w:val="20"/>
        </w:rPr>
        <w:t>Classified Catalogue of Telecommunications Services</w:t>
      </w:r>
      <w:r>
        <w:rPr>
          <w:rFonts w:ascii="Times New Roman;Times;serif" w:hAnsi="Times New Roman;Times;serif"/>
          <w:sz w:val="20"/>
        </w:rPr>
        <w:t>, an attachment to these regulations, which was most recently updated in June 2019 by the Ministry of Industry and Information Technology, internet information services, or ICP services, are classified as value-added telecommunications services. Under these regulations and administrative measures, commercial operators of value-added telecommunications services must first obtain a license for conducting internet content provision services, or an ICP license, from the Ministry of Industry and Information Technology or its provincial level counterparts. Otherwise, such operator might be subject to sanctions, including corrective orders and warnings, imposition of fines and confiscation of illegal gains and, in the case of significant infringement, orders to close the website.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Pursuant to the </w:t>
      </w:r>
      <w:r>
        <w:rPr>
          <w:rFonts w:ascii="Times New Roman;Times;serif" w:hAnsi="Times New Roman;Times;serif"/>
          <w:i/>
          <w:sz w:val="20"/>
        </w:rPr>
        <w:t>Administrative Measures on Internet Information Services</w:t>
      </w:r>
      <w:r>
        <w:rPr>
          <w:rFonts w:ascii="Times New Roman;Times;serif" w:hAnsi="Times New Roman;Times;serif"/>
          <w:sz w:val="20"/>
        </w:rPr>
        <w:t>, promulgated by the State Council in 2000 and amended in 2011, “internet information services” refer to the provision of information through the internet to online users, and are divided into “commercial internet information services” and “non-commercial internet information services.” A commercial ICP service operator must obtain an ICP license before engaging in any commercial ICP service within China, while the ICP license is not required if the operator will only provide internet information on a non-commercial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 addition to the regulations and measures above, the provision of commercial internet information services on mobile internet applications are regulated by the </w:t>
      </w:r>
      <w:r>
        <w:rPr>
          <w:rFonts w:ascii="Times New Roman;Times;serif" w:hAnsi="Times New Roman;Times;serif"/>
          <w:i/>
          <w:sz w:val="20"/>
        </w:rPr>
        <w:t>Administrative Provisions on Information Services of Mobile Internet Applications</w:t>
      </w:r>
      <w:r>
        <w:rPr>
          <w:rFonts w:ascii="Times New Roman;Times;serif" w:hAnsi="Times New Roman;Times;serif"/>
          <w:sz w:val="20"/>
        </w:rPr>
        <w:t>, promulgated by the CAC in June 2022, which took effect on August 1, 2022. Pursuant to these provisions, the mobile internet applications providers shall acquire qualifications required by laws and regulations and implement the information security management responsibilities strictly and fulfill their obligations, including real-name system, protection of users’ information, examination and management of information content, and shall comply with provisions on the scope of necessary personal information when engaging in personal information processing activities. In addition, such providers shall not compel the user to agree to the processing of personal information for any reason and refuse the user to use its basic functions and services as the user does not agree to provide non-essential personal information.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Regulations for the Administration of Foreign-Invested Telecommunications Enterprises</w:t>
      </w:r>
      <w:r>
        <w:rPr>
          <w:rFonts w:ascii="Times New Roman;Times;serif" w:hAnsi="Times New Roman;Times;serif"/>
          <w:sz w:val="20"/>
        </w:rPr>
        <w:t>, promulgated by the State Council on December 11, 2001 and latest amended on March 29, 2022, which took effect on May 1, 2022, requires that the ultimate foreign equity ownership in a value-added telecommunications services provider may not exceed 50%, except as otherwise stipulated by the state. In addition, the telecommunications enterprises must obtain approval from the Ministry of Industry and Information Technology, or its authorized local counterparts, before launching the value-added telecommunications business in China.</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Regulations on Autonomous Driving</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On July 27, 2021, the Ministry of Industry and Information Technology, the Ministry of Public Security and the Ministry of Transport issued </w:t>
      </w:r>
      <w:r>
        <w:rPr>
          <w:rFonts w:ascii="Times New Roman;Times;serif" w:hAnsi="Times New Roman;Times;serif"/>
          <w:i/>
          <w:sz w:val="20"/>
        </w:rPr>
        <w:t>Administration of Road Testing and Demonstration Application of Intelligent Connected Vehicles (Trial Implementation)</w:t>
      </w:r>
      <w:r>
        <w:rPr>
          <w:rFonts w:ascii="Times New Roman;Times;serif" w:hAnsi="Times New Roman;Times;serif"/>
          <w:sz w:val="20"/>
        </w:rPr>
        <w:t>, or the Circular No. 97, which took effect on September 1, 2021, and is the primary regulation governing protocol of road testing and demonstration application of intelligent connected vehicles in the PRC. Pursuant to the Circular No. 97, any entity intending to conduct the road testing and demonstration application of intelligent connected vehicles must apply for and obtain a temporary license plate for each tested vehicle. To qualify for such temporary license plate, an applicant entity must satisfy, among others, the following requirements: (i) it must be an independent legal person registered under PRC law with the capacity to conduct manufacturing, technological research or testing of automobiles and automobile parts, which has established protocols to test and assess the performance of autonomous driving functionalities of intelligent connected vehicles and is capable of conducting real-time remote monitor of the tested vehicles, and has the ability to ensure the network security of tested vehicles and remote monitoring platform; (ii) the tested vehicle must be equipped with a driving system that can switch between autonomous driving mode and human driving mode in a safe, quick and simple manner and ensures human driver to take control of the tested vehicle any time immediately when necessary; (iii) the tested vehicle must be equipped with the function of recording, storing and real-time monitoring the condition of the tested vehicle and is able to transmit real-time data of the tested vehicle, such as the control mode, location and speed; (iv) it must sign an employment contract or a labor service contract with the driver of the tested vehicle, who must be a licensed driver of corresponding vehicle types with more than three years’ driving experience and a track record of safe driving and is familiar with the testing protocol or application scheme for autonomous driving system and proficient in operating the system; and (v) it must provide the safety self-declaration, the result of risk assessment on network security, the proof of corresponding measures taken against such risk and other materials to the competent department, and insure each tested vehicle for at least RMB5 million against vehicle accidents or provide a letter of guarantee covering the same. In addition, as to the demonstration application, the applicant entity could also be a consortium of several independent legal persons and has the operational capability of demonstration application and relevant scheme.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road testing and demonstration application, the tested vehicle shall be marked with the words such as “autonomous driving road test” or “for autonomous driving demonstration purposes” in a noticeable manner and the autonomous driving mode shall not be used unless in the permitted areas specified in the safety self-declaration, and the entity shall not make any changes of software and hardware that may affect the function and performance of the tested vehicle without providing the safety description materials to the competent department in advance. In addition, the entity is required to submit to the competent department a periodical report every six months and a final report within one month after the completion of road testing and demonstration application. In the case of a vehicle accident which causes severe injury or death of personnel or vehicle damage, the entity must report such accident to the competent department within 24 hours and submit a comprehensive analysis report in writing covering cause analysis, final liability allocation results, etc. within five working days after the traffic enforcement agency determines the liability for the accident.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Notice on Promoting the Development of Intelligent Connected Vehicles and Maintaining the Security of Surveying and Mapping Geographic Information issued by the Ministry of Natural Resources of the PRC on August 25, 2022, if an intelligent connected vehicle is equipped with or integrated with certain sensors, the collection, storage, transmission and processing of surveying and mapping geographic information and data, including spatial coordinates, images, point clouds and their attribute information, of vehicles and surrounding road facilities in the process of road test, will be considered surveying and mapping activities. Persons who collect, store, transmit and process such surveying and mapping geographic information and data, will be the main actors of surveying and mapping activities. Additionally, if any vehicle manufacturer, service provider or smart driving software provider that is a domestic enterprise needs to engage in the collection, storage, transmission and processing of surveying and mapping geographic information and data, it shall obtain the corresponding surveying and mapping qualification or entrust an agency with the corresponding surveying and mapping qualification to carry out the intended activities; if any vehicle manufacturer, service provider or smart driving software provider that is a foreign-invested enterprise needs to engage in the collection, storage, transmission and processing of surveying and mapping geographic information and data, it shall entrust an agency with corresponding surveying and mapping qualification to carry out the intended activities, and the entrusted agency shall undertake the collection, storage, transmission and processing of the relevant spatial coordinates, images, point clouds and their attribute information and other businesses, and provide geographic information service and support.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November 17, 2023, the Ministry of Industry and Information Technology, the Ministry of Public Security, the Ministry of Housing and Urban-Rural Development and the Ministry of Transport promulgated the </w:t>
      </w:r>
      <w:r>
        <w:rPr>
          <w:rFonts w:ascii="Times New Roman;Times;serif" w:hAnsi="Times New Roman;Times;serif"/>
          <w:i/>
          <w:sz w:val="20"/>
        </w:rPr>
        <w:t>Notice on Carrying out the Pilot Program of Market Access and Road Passage for Intelligent Connected Vehicles.</w:t>
      </w:r>
      <w:r>
        <w:rPr>
          <w:rFonts w:ascii="Times New Roman;Times;serif" w:hAnsi="Times New Roman;Times;serif"/>
          <w:sz w:val="20"/>
        </w:rPr>
        <w:t xml:space="preserve"> Such notice applies to (1) the product access pilot for intelligent connected vehicle products equipped with autonomous driving functions and (2) the intelligent connected vehicles that have gained access to carry out road access pilots in restricted areas. To carry out the product access pilot, the applicant must first obtain confirmation from the Ministry of Industry and Information Technology and the Ministry of Public Security. They must also pass tests and safety assessments supervised by provincial authorities and city government departments where the vehicles operate. Only then can they submit the application for product access to the Ministry of Industry and Information Technology. Additionally, the applicant must purchase insurance for the vehicle and complete the registration process. On November 21, 2023, the Ministry of Transport issued the </w:t>
      </w:r>
      <w:r>
        <w:rPr>
          <w:rFonts w:ascii="Times New Roman;Times;serif" w:hAnsi="Times New Roman;Times;serif"/>
          <w:i/>
          <w:sz w:val="20"/>
        </w:rPr>
        <w:t>Guideline on Transport Safety and Service for Autonomous Vehicles (Trial Implementation)</w:t>
      </w:r>
      <w:r>
        <w:rPr>
          <w:rFonts w:ascii="Times New Roman;Times;serif" w:hAnsi="Times New Roman;Times;serif"/>
          <w:sz w:val="20"/>
        </w:rPr>
        <w:t xml:space="preserve">, which specifically provides the requirements for commercial operation of autonomous vehicles in respect of the scope of application, basic principles, application scenarios, operators of autopilot transport, transport vehicles, staffing, safety assurance, supervision and administration. On July 26, 2024, the Ministry of Natural Resources promulgated the </w:t>
      </w:r>
      <w:r>
        <w:rPr>
          <w:rFonts w:ascii="Times New Roman;Times;serif" w:hAnsi="Times New Roman;Times;serif"/>
          <w:i/>
          <w:sz w:val="20"/>
        </w:rPr>
        <w:t>Notice of the Ministry of Natural Resources on Strengthening the Administration of Surveying, Mapping and Geoinformation Security Relating to Intelligent Connected Vehicles</w:t>
      </w:r>
      <w:r>
        <w:rPr>
          <w:rFonts w:ascii="Times New Roman;Times;serif" w:hAnsi="Times New Roman;Times;serif"/>
          <w:sz w:val="20"/>
        </w:rPr>
        <w:t>, and emphasized various related matters, including the requirement of conducting surveying and mapping activities related to intelligent connected vehicles in accordance with the law, strengthening the management of surveying and mapping activities involving intelligent connected vehicles, strictly managing confidential and sensitive geographic information data, strictly reviewing electronic navigation maps, implementing the requirements for the storage of geoinformation data and cross-border transfer of such data, strengthening the regulation of geoinformation security, encouraging the exploration of geographic information security application, etc.</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Consumer Rights Protection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is subject to a variety of consumer protection laws, including the PRC Consumer Rights and Interests Protection Law, as amended in 2013 and took effect on March 15, 2014, which imposes stringent requirements and obligations on business operators. Failure to comply with these consumer protection laws could subject us to administrative sanctions, such as the issuance of a warning, confiscation of illegal income, imposition of fines, an order to cease business operations, revocation of business licenses, as well as potential civil or criminal liabilities.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March 15, 2024, the State Council promulgated the </w:t>
      </w:r>
      <w:r>
        <w:rPr>
          <w:rFonts w:ascii="Times New Roman;Times;serif" w:hAnsi="Times New Roman;Times;serif"/>
          <w:i/>
          <w:sz w:val="20"/>
        </w:rPr>
        <w:t>Implementation Regulations on the PRC Consumer Rights and Interests Protection Law</w:t>
      </w:r>
      <w:r>
        <w:rPr>
          <w:rFonts w:ascii="Times New Roman;Times;serif" w:hAnsi="Times New Roman;Times;serif"/>
          <w:sz w:val="20"/>
        </w:rPr>
        <w:t>, which took effect on July 1, 2024. These implementation regulations refine and supplement the provisions on operator obligations, improve the provisions related to the online consumption, and strengthen the obligations of prepaid consumption operators. For example, (i) operators shall not use standard clauses to unreasonably exempt or reduce their liabilities, aggravate consumers’ liabilities, or restrict consumers’ rights to change or terminate contracts in accordance with the law, choose litigation or arbitration to resolve disputes, or choose goods or services from other operators; (ii) operators shall not excessively collect consumers’ personal information, and shall not force or covertly force consumers to consent to the collection and use of personal information that is not directly related to business activities by means of a general authorization, default authorization, or other methods; (iii) without the consent of consumers, operators shall not send commercial information or make commercial phone calls to consumers; if consumers agree to receive such information or calls, operators shall provide clear and convenient cancellation methods; if consumers choose to cancel, operators shall immediately stop sending such information or making such calls; (iv) operators shall use an easy-to-understand method to provide consumers with information related to goods or services truly and comprehensively, and shall not set different prices or charging standards for the same goods or services under the same conditions without the knowledge of consumers; and (v) if operators provide services through automatic extension or automatic renewal, they shall bring it to the attention of consumers in a conspicuous manner before consumers accept the services and before the date of automatic extension or automatic renewal.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Internet Information Security and Privacy Protection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December 2012, the Standing Committee of the National People’s Congress of China promulgated the </w:t>
      </w:r>
      <w:r>
        <w:rPr>
          <w:rFonts w:ascii="Times New Roman;Times;serif" w:hAnsi="Times New Roman;Times;serif"/>
          <w:i/>
          <w:sz w:val="20"/>
        </w:rPr>
        <w:t>Decision on Strengthening Network Information Protection</w:t>
      </w:r>
      <w:r>
        <w:rPr>
          <w:rFonts w:ascii="Times New Roman;Times;serif" w:hAnsi="Times New Roman;Times;serif"/>
          <w:sz w:val="20"/>
        </w:rPr>
        <w:t xml:space="preserve"> to enhance the legal protection of information security and privacy on the internet. This decision also requires internet operators to take measures to ensure confidentiality of information of users.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July 2013, the Ministry of Industry and Information Technology promulgated the </w:t>
      </w:r>
      <w:r>
        <w:rPr>
          <w:rFonts w:ascii="Times New Roman;Times;serif" w:hAnsi="Times New Roman;Times;serif"/>
          <w:i/>
          <w:sz w:val="20"/>
        </w:rPr>
        <w:t xml:space="preserve">Provisions on Protection of Personal Information of Telecommunication and Internet Users </w:t>
      </w:r>
      <w:r>
        <w:rPr>
          <w:rFonts w:ascii="Times New Roman;Times;serif" w:hAnsi="Times New Roman;Times;serif"/>
          <w:sz w:val="20"/>
        </w:rPr>
        <w:t>to regulate the collection and use of users’ personal information in the provision of telecommunication service and internet information service 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July 1, 2015, the Standing Committee of the National People’s Congress of China promulgated the </w:t>
      </w:r>
      <w:r>
        <w:rPr>
          <w:rFonts w:ascii="Times New Roman;Times;serif" w:hAnsi="Times New Roman;Times;serif"/>
          <w:i/>
          <w:sz w:val="20"/>
        </w:rPr>
        <w:t>PRC National Security Law</w:t>
      </w:r>
      <w:r>
        <w:rPr>
          <w:rFonts w:ascii="Times New Roman;Times;serif" w:hAnsi="Times New Roman;Times;serif"/>
          <w:sz w:val="20"/>
        </w:rPr>
        <w:t xml:space="preserve">, which took effect on the same day. The </w:t>
      </w:r>
      <w:r>
        <w:rPr>
          <w:rFonts w:ascii="Times New Roman;Times;serif" w:hAnsi="Times New Roman;Times;serif"/>
          <w:i/>
          <w:sz w:val="20"/>
        </w:rPr>
        <w:t xml:space="preserve">PRC National Security Law </w:t>
      </w:r>
      <w:r>
        <w:rPr>
          <w:rFonts w:ascii="Times New Roman;Times;serif" w:hAnsi="Times New Roman;Times;serif"/>
          <w:sz w:val="20"/>
        </w:rPr>
        <w:t>provides that the state shall safeguard the sovereignty, security and cyber security development interests of the state, and that the state shall establish a national security review and supervision system to review, among other things, foreign investment, key technologies, internet and information technology products and services, and other important activities that are likely to impact the national security of the 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August 2015, the Standing Committee of the National People’s Congress of China promulgated the </w:t>
      </w:r>
      <w:r>
        <w:rPr>
          <w:rFonts w:ascii="Times New Roman;Times;serif" w:hAnsi="Times New Roman;Times;serif"/>
          <w:i/>
          <w:sz w:val="20"/>
        </w:rPr>
        <w:t>Ninth Amendment to the Criminal Law</w:t>
      </w:r>
      <w:r>
        <w:rPr>
          <w:rFonts w:ascii="Times New Roman;Times;serif" w:hAnsi="Times New Roman;Times;serif"/>
          <w:sz w:val="20"/>
        </w:rPr>
        <w:t>, which took effect in November 2015 and amended the standards of crime of infringing citizens’ personal information and reinforced the criminal culpability of unlawful collection, transaction, and provision of personal information. It further provides that any ICP provider that fails to fulfill the obligations related to internet information security administration as required by applicable laws and refuses to rectify upon orders will be subject to criminal liability.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November 2016, the Standing Committee of the National People’s Congress of China promulgated the </w:t>
      </w:r>
      <w:r>
        <w:rPr>
          <w:rFonts w:ascii="Times New Roman;Times;serif" w:hAnsi="Times New Roman;Times;serif"/>
          <w:i/>
          <w:sz w:val="20"/>
        </w:rPr>
        <w:t>Cyber Security Law of the PRC</w:t>
      </w:r>
      <w:r>
        <w:rPr>
          <w:rFonts w:ascii="Times New Roman;Times;serif" w:hAnsi="Times New Roman;Times;serif"/>
          <w:sz w:val="20"/>
        </w:rPr>
        <w:t>, which took effect on June 1, 2017. The Cyber Security Law requires that a network operator take technical measures and other necessary measures in accordance with applicable laws and regulations and the compulsory requirements of the national and industrial standards to safeguard the safe and stable operation of its networks. We are subject to such requirements as we are operating internet of vehicles, a website and mobile application and providing certain internet services mainly through our mobile application. The Cyber Security Law further requires network operators to formulate contingency plans for network security incidents, report to the competent departments immediately upon the occurrence of any incident endangering cyber security and take corresponding remedial measures.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Network operators are also required to maintain the integrity, confidentiality and availability of network data. The Cyber Security Law reaffirms the basic principles and requirements specified in other existing laws and regulations on personal data protection, such as the requirements on the collection, use, processing, storage and disclosure of personal data, and network operators being required to take technical and other necessary measures to ensure the security of the personal information they have collected and prevent the personal information from being divulged, damaged or lost. Any violation of the Cyber Security Law may subject the internet information services provider to warnings, fines, confiscation of illegal gains, revocation of licenses, cancellation of filings, shutdown of websites or criminal liabilities.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The General Administration of Quality Supervision, Inspection and Quarantine and Standardization Administration issued the </w:t>
      </w:r>
      <w:r>
        <w:rPr>
          <w:rFonts w:ascii="Times New Roman;Times;serif" w:hAnsi="Times New Roman;Times;serif"/>
          <w:i/>
          <w:sz w:val="20"/>
        </w:rPr>
        <w:t>Standard of Information Security Technology—Personal Information Security Specification (2017 edition)</w:t>
      </w:r>
      <w:r>
        <w:rPr>
          <w:rFonts w:ascii="Times New Roman;Times;serif" w:hAnsi="Times New Roman;Times;serif"/>
          <w:sz w:val="20"/>
        </w:rPr>
        <w:t xml:space="preserve">, which took effect in May 2018, and the </w:t>
      </w:r>
      <w:r>
        <w:rPr>
          <w:rFonts w:ascii="Times New Roman;Times;serif" w:hAnsi="Times New Roman;Times;serif"/>
          <w:i/>
          <w:sz w:val="20"/>
        </w:rPr>
        <w:t>Standard of Information Security Technology—Personal Information Security Specification (2020 edition)</w:t>
      </w:r>
      <w:r>
        <w:rPr>
          <w:rFonts w:ascii="Times New Roman;Times;serif" w:hAnsi="Times New Roman;Times;serif"/>
          <w:sz w:val="20"/>
        </w:rPr>
        <w:t>, which took effect in October 2020. Pursuant to these standards, any entity or person who has the authority or right to determine the purposes for and methods of using or processing personal information are seen as a personal data controller. Such personal data controller is required to collect information in accordance with applicable laws, and prior to collecting such data, the information provider’s consent is required.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On November 28, 2019, the Secretary Bureau of the CAC, the General Office of the Ministry of Industry and Information Technology, the General Office of the Ministry of Public Security and the General Office of the State Administration for Market Regulation jointly issued the </w:t>
      </w:r>
      <w:r>
        <w:rPr>
          <w:rFonts w:ascii="Times New Roman;Times;serif" w:hAnsi="Times New Roman;Times;serif"/>
          <w:i/>
          <w:sz w:val="20"/>
        </w:rPr>
        <w:t>Notice on the Measures for Determining the Illegal Collection and Use of Personal Information through Mobile Applications</w:t>
      </w:r>
      <w:r>
        <w:rPr>
          <w:rFonts w:ascii="Times New Roman;Times;serif" w:hAnsi="Times New Roman;Times;serif"/>
          <w:sz w:val="20"/>
        </w:rPr>
        <w:t>, which aims to provide reference for supervision and administration departments and provide guidance for mobile applications operators’ internal examination and internal correction and social supervision by netizens, and further elaborates the forms of behavior constituting illegal collection and use of the personal information through mobile applications including: (i) failing to publish the rules on the collection and use of personal information; (ii) failing to explicitly explain the purposes, methods and scope of the collection and use of personal information; (iii) collecting and using personal information without the users’ consent; (iv) collecting personal information unrelated to the services they provide and beyond the necessary principle; (v) providing personal information to others without the users’ consent; (vi) failing to provide the function of deleting or correcting the personal information according to the laws or failing to publish information such as ways of filing complaints and reports.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 addition, on May 28, 2020, the National People’s Congress of China approved the </w:t>
      </w:r>
      <w:r>
        <w:rPr>
          <w:rFonts w:ascii="Times New Roman;Times;serif" w:hAnsi="Times New Roman;Times;serif"/>
          <w:i/>
          <w:sz w:val="20"/>
        </w:rPr>
        <w:t>PRC Civil Code</w:t>
      </w:r>
      <w:r>
        <w:rPr>
          <w:rFonts w:ascii="Times New Roman;Times;serif" w:hAnsi="Times New Roman;Times;serif"/>
          <w:sz w:val="20"/>
        </w:rPr>
        <w:t xml:space="preserve">, which took effect on January 1, 2021. Pursuant to the </w:t>
      </w:r>
      <w:r>
        <w:rPr>
          <w:rFonts w:ascii="Times New Roman;Times;serif" w:hAnsi="Times New Roman;Times;serif"/>
          <w:i/>
          <w:sz w:val="20"/>
        </w:rPr>
        <w:t>PRC Civil Code</w:t>
      </w:r>
      <w:r>
        <w:rPr>
          <w:rFonts w:ascii="Times New Roman;Times;serif" w:hAnsi="Times New Roman;Times;serif"/>
          <w:sz w:val="20"/>
        </w:rPr>
        <w:t>, the collection, storage, use, process, transmission, provision and disclosure of personal information should follow the principles of legitimacy, properness and necessity.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On May 12, 2021, the CAC issued the </w:t>
      </w:r>
      <w:r>
        <w:rPr>
          <w:rFonts w:ascii="Times New Roman;Times;serif" w:hAnsi="Times New Roman;Times;serif"/>
          <w:i/>
          <w:sz w:val="20"/>
        </w:rPr>
        <w:t>Several Provisions on Automobile Data Security Management (Draft for Comment)</w:t>
      </w:r>
      <w:r>
        <w:rPr>
          <w:rFonts w:ascii="Times New Roman;Times;serif" w:hAnsi="Times New Roman;Times;serif"/>
          <w:sz w:val="20"/>
        </w:rPr>
        <w:t xml:space="preserve">, which further elaborates the principles and requirements for the protection of personal information and important data in the automobile industry scenarios, and defines enterprise or institution engaged in the automobile design, manufacture, and service as an operator. Such operator is required to process personal information or important data in accordance with applicable laws and regulations during the process of design, production, sales, operation, maintenance, and management of automobile. On August 16, 2021, the CAC, the NDRC, the Ministry of Public Security, the Ministry of Industry and Information Technology and the Ministry of Transport jointly promulgated the </w:t>
      </w:r>
      <w:r>
        <w:rPr>
          <w:rFonts w:ascii="Times New Roman;Times;serif" w:hAnsi="Times New Roman;Times;serif"/>
          <w:i/>
          <w:sz w:val="20"/>
        </w:rPr>
        <w:t>Several Provisions on Automobile Data Security Management (Trial Implementation)</w:t>
      </w:r>
      <w:r>
        <w:rPr>
          <w:rFonts w:ascii="Times New Roman;Times;serif" w:hAnsi="Times New Roman;Times;serif"/>
          <w:sz w:val="20"/>
        </w:rPr>
        <w:t>, or the Provisions on Automobile Data Security, which took effect from October 1, 2021 and clearly defines the definition of automobile data, automobile data processing, automobile data processor, personal information, sensitive personal information and important data, and aims to regulate the collection, analysis, storage, utilization, provision, publication, and cross-border transmission of personal information and important data generated throughout the lifecycle of automobiles by automobile designers, producers and service providers. Automobile data processors, including automobile manufacturers, compartment and software providers, dealers, maintenance providers are required to process personal information and important data in accordance with applicable laws during the automobile design, manufacture, sales, operation, maintenance and management. To process personal information, automobile data processors shall obtain the consent of the individual or conform to other circumstances stipulated by laws and regulations. Pursuant to the Provisions on Automobile Data Security, important data shall be stored within the PRC and a cross-border data security assessment shall be conducted by the national cyberspace administration authority in concert with departments under the State Council if there is a need to provide such data overseas. The security management for the cross-border transfer of personal information which is not included in important data shall be governed by the PRC laws and regulations. To process important data, automobile data processors shall conduct risk assessment in accordance with regulations and submit risk assessment reports to related departments at provincial levels.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On June 10, 2021, the Standing Committee of the National People’s Congress of China promulgated the </w:t>
      </w:r>
      <w:r>
        <w:rPr>
          <w:rFonts w:ascii="Times New Roman;Times;serif" w:hAnsi="Times New Roman;Times;serif"/>
          <w:i/>
          <w:sz w:val="20"/>
        </w:rPr>
        <w:t>Data Security Law of the PRC</w:t>
      </w:r>
      <w:r>
        <w:rPr>
          <w:rFonts w:ascii="Times New Roman;Times;serif" w:hAnsi="Times New Roman;Times;serif"/>
          <w:sz w:val="20"/>
        </w:rPr>
        <w:t xml:space="preserve">, which took effect in September 2021. The Data Security Law sets forth data security and privacy related compliance obligations on entities and individuals carrying out data related activities. The Data Security Law also introduces a data classification and layered protection system based on the importance of data and the degree of impact on national security, public interests or legitimate rights and interests of individuals or organizations when such data is tampered with, destroyed, leaked or illegally acquired or used. In addition, the Data Security Law provides a national security review procedure for those data activities that may affect national security, and imposes export restrictions on certain data and information. According to the </w:t>
      </w:r>
      <w:r>
        <w:rPr>
          <w:rFonts w:ascii="Times New Roman;Times;serif" w:hAnsi="Times New Roman;Times;serif"/>
          <w:i/>
          <w:sz w:val="20"/>
        </w:rPr>
        <w:t>PRC National Security Law</w:t>
      </w:r>
      <w:r>
        <w:rPr>
          <w:rFonts w:ascii="Times New Roman;Times;serif" w:hAnsi="Times New Roman;Times;serif"/>
          <w:sz w:val="20"/>
        </w:rPr>
        <w:t>, the State shall establish institutions and mechanisms for national security review and regulation, and conduct national security review on certain matters that affect or may affect PRC national security, such as key technologies and IT products and services. Furthermore, the Data Security Law also provides that any organization or individual within the territory of the PRC shall not provide any foreign judicial body and law enforcement body with any data without the approval of the competent PRC governmental authorities. In early July 2021, regulatory authorities in China launched cybersecurity investigations with regard to several China-based companies that are listed in the United States.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July 2021, General Office of the Central Committee of the Communist Party of China and the General Office of the State Council jointly issued the </w:t>
      </w:r>
      <w:r>
        <w:rPr>
          <w:rFonts w:ascii="Times New Roman;Times;serif" w:hAnsi="Times New Roman;Times;serif"/>
          <w:i/>
          <w:sz w:val="20"/>
        </w:rPr>
        <w:t>Opinions on Severely Cracking Down on Illegal Securities Activities According to Law</w:t>
      </w:r>
      <w:r>
        <w:rPr>
          <w:rFonts w:ascii="Times New Roman;Times;serif" w:hAnsi="Times New Roman;Times;serif"/>
          <w:sz w:val="20"/>
        </w:rPr>
        <w:t>, which were made available to the public on July 6, 2021. The opinions emphasized the need to strengthen the administration over illegal securities activities, and the need to strengthen the supervision over overseas listings by Chinese companies. Effective measures, such as promoting the construction of regulatory systems, will be taken to deal with the risks and incidents of China-concept overseas listed companies. As of the date of this annual report, we have not received any inquiry, notice, warning, or sanctions from PRC governmental authorities in connection with the above contents of the opinions.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December 28, 2021, the CAC, the NDRC, the Ministry of Industry and Information Technology, the Ministry of Public Security, the Ministry of National Security, the Ministry of Finance, the Ministry of Commerce, the People’s Bank of China, the State Administration for Market Regulation, the National Radio and Television Administration, the CSRC, the National Administration of State Secrets Protection and the State Cryptography Administration jointly released the </w:t>
      </w:r>
      <w:r>
        <w:rPr>
          <w:rFonts w:ascii="Times New Roman;Times;serif" w:hAnsi="Times New Roman;Times;serif"/>
          <w:i/>
          <w:sz w:val="20"/>
        </w:rPr>
        <w:t>Cybersecurity Review Measures</w:t>
      </w:r>
      <w:r>
        <w:rPr>
          <w:rFonts w:ascii="Times New Roman;Times;serif" w:hAnsi="Times New Roman;Times;serif"/>
          <w:sz w:val="20"/>
        </w:rPr>
        <w:t>, which took effect on February 15, 2022. Pursuant to the Cybersecurity Review Measures, network platform operators with information of over one million users shall be subject to cybersecurity review before listing abroad. The cybersecurity review will evaluate, among other things, the risk of critical information infrastructure, core data, important data, or the risk of a large amount of personal information being influenced, controlled or maliciously used by foreign governments after going public, and cyber information security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30, 2021, the Ministry of Industry and Information Technology issued the Opinion on Strengthening the Access Administration of Intelligent Connected Vehicles Manufacturing Enterprises and Their Products, which provided responsibilities of intelligent connected vehicles manufacturing enterprises, and required such enterprises to strengthen the management of vehicle data security, cyber security, software updates, function safety and intended function safety. Furthermore, this opinion stated that vehicles manufacturing enterprises shall conduct cybersecurity reviews prior to transmitting data abroad.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July 30, 2021, the State Council promulgated the </w:t>
      </w:r>
      <w:r>
        <w:rPr>
          <w:rFonts w:ascii="Times New Roman;Times;serif" w:hAnsi="Times New Roman;Times;serif"/>
          <w:i/>
          <w:sz w:val="20"/>
        </w:rPr>
        <w:t>Regulations on the Protection of the Security of Critical Information Infrastructure</w:t>
      </w:r>
      <w:r>
        <w:rPr>
          <w:rFonts w:ascii="Times New Roman;Times;serif" w:hAnsi="Times New Roman;Times;serif"/>
          <w:sz w:val="20"/>
        </w:rPr>
        <w:t>, which took effect in September 2021. These regulations supplement and specify the provisions on the security of critical information infrastructure as stated in the Cyber Security Law. These regulations provide, among other things, that protection department of certain industry or sector shall notify the operator of the critical information infrastructure in time after the identification of certain critical information infrastructure. According to these regulations, operators of certain industries or sectors that may endanger national security, people’s livelihood and public interest in case of damage, function loss or data leakage may be identified as critical information infrastructure operators by the CAC or the respective industrial regulatory authorities once they meet the identification standards promulgated by the authorities.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August 20, 2021, the Standing Committee of the National People’s Congress of China promulgated the </w:t>
      </w:r>
      <w:r>
        <w:rPr>
          <w:rFonts w:ascii="Times New Roman;Times;serif" w:hAnsi="Times New Roman;Times;serif"/>
          <w:i/>
          <w:sz w:val="20"/>
        </w:rPr>
        <w:t>Personal Information Protection Law of the PRC</w:t>
      </w:r>
      <w:r>
        <w:rPr>
          <w:rFonts w:ascii="Times New Roman;Times;serif" w:hAnsi="Times New Roman;Times;serif"/>
          <w:sz w:val="20"/>
        </w:rPr>
        <w:t>, which took effect in November 2021. As the first systematic and comprehensive law specifically for the protection of personal information in the PRC, the Personal Information Protection Law provides, among other things, that (i) an individual’s separate consent shall be obtained before operation of such individual’s sensitive personal information, e.g., biometric characteristics and individual location tracking, (ii) personal information operators operating sensitive personal information shall notify individuals of the necessity of such operations and the influence on the individuals’ rights, (iii) if personal information operators reject individuals’ requests to exercise their rights, individuals may file a lawsuit with a People’s Court.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October 29, 2021, the CAC issued the </w:t>
      </w:r>
      <w:r>
        <w:rPr>
          <w:rFonts w:ascii="Times New Roman;Times;serif" w:hAnsi="Times New Roman;Times;serif"/>
          <w:i/>
          <w:sz w:val="20"/>
        </w:rPr>
        <w:t>Measures for the Security Assessment of Data Exit (Draft for Comment)</w:t>
      </w:r>
      <w:r>
        <w:rPr>
          <w:rFonts w:ascii="Times New Roman;Times;serif" w:hAnsi="Times New Roman;Times;serif"/>
          <w:sz w:val="20"/>
        </w:rPr>
        <w:t xml:space="preserve">, and on July 7, 2022, the CAC finally adopted the </w:t>
      </w:r>
      <w:r>
        <w:rPr>
          <w:rFonts w:ascii="Times New Roman;Times;serif" w:hAnsi="Times New Roman;Times;serif"/>
          <w:i/>
          <w:sz w:val="20"/>
        </w:rPr>
        <w:t>Measures for the Security Assessment of Data Exit</w:t>
      </w:r>
      <w:r>
        <w:rPr>
          <w:rFonts w:ascii="Times New Roman;Times;serif" w:hAnsi="Times New Roman;Times;serif"/>
          <w:sz w:val="20"/>
        </w:rPr>
        <w:t>, which took into effect on September 1, 2022 and stipulates that data processors who provide overseas the personal information and important data collected and generated during operations within the PRC shall be subject to security assessment by the CAC. Specifically, if the data processor provides data overseas and meets one of the following circumstances, it shall declare the security assessment: (i) personal information by operators of critical information infrastructure; (ii) the data contains important data; (iii) personal information processors who have processed personal information of one million people provide personal information abroad; (iv) accumulatively provided personal information of more than one hundred thousand people or sensitive personal information of more than ten thousand people abroad since January 1 of the previous year; and (v) other circumstances as specified by the CAC. The assessment results of the data exit are valid for two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December 8, 2022, the Ministry of Industry and Information Technology published the </w:t>
      </w:r>
      <w:r>
        <w:rPr>
          <w:rFonts w:ascii="Times New Roman;Times;serif" w:hAnsi="Times New Roman;Times;serif"/>
          <w:i/>
          <w:sz w:val="20"/>
        </w:rPr>
        <w:t>Administration Measures on Data Security in the Field of Industry and Information Technology (Trial Implementation)</w:t>
      </w:r>
      <w:r>
        <w:rPr>
          <w:rFonts w:ascii="Times New Roman;Times;serif" w:hAnsi="Times New Roman;Times;serif"/>
          <w:sz w:val="20"/>
        </w:rPr>
        <w:t>, which took effect on January 1, 2023. Such measures require the industrial and telecom data processors to further implement data classification and hierarchical management, take necessary measures to ensure that data remains effectively protected and being lawfully applied and conduct data security risk monitoring. Such measures also provide the definitions of “core data” and “important data” in the field of industry and information technology.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February 22, 2023, the CAC promulgated the </w:t>
      </w:r>
      <w:r>
        <w:rPr>
          <w:rFonts w:ascii="Times New Roman;Times;serif" w:hAnsi="Times New Roman;Times;serif"/>
          <w:i/>
          <w:sz w:val="20"/>
        </w:rPr>
        <w:t>Measures for the Standard Contract for Cross-border Transfer of Personal Information</w:t>
      </w:r>
      <w:r>
        <w:rPr>
          <w:rFonts w:ascii="Times New Roman;Times;serif" w:hAnsi="Times New Roman;Times;serif"/>
          <w:sz w:val="20"/>
        </w:rPr>
        <w:t xml:space="preserve"> (the “Measures for Standard Contract”), which became effective on June 1, 2023. The Measures for Standard Contract requires that any personal information processor transferring personal information abroad by entering into the standard contract shall meet all of the following conditions: (i) it is not a critical information infrastructure operator; (ii) it processes the personal information of less than 1 million individuals; (iii) it has cumulatively transferred abroad the personal information of less than 100,000 individuals since January 1 of the previous year; and (iv) it has cumulatively transferred abroad the sensitive personal information of less than 10,000 individuals since January 1 of the previous year. Where there are other relevant provisions in any laws, administrative regulations or rules of the CAC, such provisions shall apply. It also emphasizes that any personal information processor shall not use methods such as quantity splitting of the personal information that is required by law to undergo the security assessment for data cross-border transfer under the Measures for Data Cross-border Transfer. The standard contract shall be concluded in strict accordance with the annex of the Measures for Standard Contract, and the personal information processors shall, within 10 working days after the standard contract enters into effect, apply for filing with the local cyberspace administration at the provincial level.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March 22, 2024, the </w:t>
      </w:r>
      <w:r>
        <w:rPr>
          <w:rFonts w:ascii="Times New Roman;Times;serif" w:hAnsi="Times New Roman;Times;serif"/>
          <w:i/>
          <w:sz w:val="20"/>
        </w:rPr>
        <w:t>Provisions on Promoting and Regulating Cross-border Data Flows</w:t>
      </w:r>
      <w:r>
        <w:rPr>
          <w:rFonts w:ascii="Times New Roman;Times;serif" w:hAnsi="Times New Roman;Times;serif"/>
          <w:sz w:val="20"/>
        </w:rPr>
        <w:t xml:space="preserve"> (the “New Provisions on Cross-border Data Flows”), which were promulgated by the CAC, became effective. Under the New Provisions on Cross-border Data Flows, to provide the data collected and generated in such activities as international trade, cross-border transport, academic cooperation, transnational manufacturing and marketing, which do not contain personal information or important data, to overseas parties, it is exempted from declaring security assessment for data to be provided abroad, concluding a standard contract for personal information to be provided abroad or passing authentication for protection of personal information. It also emphasizes that, where a data processor other than a critical information infrastructure operator provides abroad the personal information (excluding sensitive personal information) of not more than 100,000 persons accumulatively as of January 1 of the current year, it may be exempted from declaring security assessment for data to be provided abroad, concluding a standard contract for personal information to be provided abroad or passing authentication for protection of personal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May 24, 2024, the Ministry of Industry and Information Technology issued the </w:t>
      </w:r>
      <w:r>
        <w:rPr>
          <w:rFonts w:ascii="Times New Roman;Times;serif" w:hAnsi="Times New Roman;Times;serif"/>
          <w:i/>
          <w:sz w:val="20"/>
        </w:rPr>
        <w:t>Implementing Rules for the Risk Assessment of Data Security in the Field of Industry and Information Technology (Trial Implementation)</w:t>
      </w:r>
      <w:r>
        <w:rPr>
          <w:rFonts w:ascii="Times New Roman;Times;serif" w:hAnsi="Times New Roman;Times;serif"/>
          <w:sz w:val="20"/>
        </w:rPr>
        <w:t>, which took effect on June 1, 2024. Such implementing rules apply to data security risk assessment activities conducted by important data or core data processors in the field of industry and information technology in China. General data processors may also refer to these rules to conduct data security risk assessment. The implementing rules establish data security risk assessment mechanisms at both ministerial and provincial levels, refine assessment obligations of processors of important data and core data, and clarify the mechanism and procedures for competent industrial authorities to supervise and administer such assessment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September 24, 2024, the </w:t>
      </w:r>
      <w:r>
        <w:rPr>
          <w:rFonts w:ascii="Times New Roman;Times;serif" w:hAnsi="Times New Roman;Times;serif"/>
          <w:i/>
          <w:sz w:val="20"/>
        </w:rPr>
        <w:t>Regulation on Network Data Security Management</w:t>
      </w:r>
      <w:r>
        <w:rPr>
          <w:rFonts w:ascii="Times New Roman;Times;serif" w:hAnsi="Times New Roman;Times;serif"/>
          <w:sz w:val="20"/>
        </w:rPr>
        <w:t xml:space="preserve"> was promulgated by the State Council, and became effective as of January 1, 2025. This regulation restates and further specifies the legal requirements for personal information, important data, cross-border data transfer, network platform services, and data security. Among others, if the network data processing activities have or may have impacts on national security, such activities shall be subject to national security review in accordance with relevant laws and regulations.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E-Commerce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August 31, 2018, the Standing Committee of the National People’s Congress of China promulgated the </w:t>
      </w:r>
      <w:r>
        <w:rPr>
          <w:rFonts w:ascii="Times New Roman;Times;serif" w:hAnsi="Times New Roman;Times;serif"/>
          <w:i/>
          <w:sz w:val="20"/>
        </w:rPr>
        <w:t>E-Commerce Law of the PRC</w:t>
      </w:r>
      <w:r>
        <w:rPr>
          <w:rFonts w:ascii="Times New Roman;Times;serif" w:hAnsi="Times New Roman;Times;serif"/>
          <w:sz w:val="20"/>
        </w:rPr>
        <w:t>, which took effect as of January 1, 2019. The E-Commerce Law establishes the regulatory framework for the e-commerce sector in the PRC for the first time by laying out certain requirements on e-commerce platform operators. According to the E-Commerce Law, the e-commerce platform operators shall prepare a contingency plan for cybersecurity events and take technological measures and other measures to prevent online illegal and criminal activities. The E-Commerce Law also expressly requires e-commerce platform operators to take necessary actions to ensure fair dealing on their platforms to safeguard the legitimate rights and interests of consumers, including to prepare platform service agreements and transaction information record-keeping and transaction rules, to prominently display such documents on the platform’s website, and to keep such information for no less than three years following the completion of a transaction. Where the e-commerce platform operators conduct its own business on their platforms, they shall distinguish and mark their business from the businesses of the business operators using the platform in a prominent manner, and shall not mislead consumers. The e-commerce platform operators shall bear civil liability of a commodity seller or service provider for its own business, pursuant to the law.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Regulations on Insurance Brokerage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According to </w:t>
      </w:r>
      <w:r>
        <w:rPr>
          <w:rFonts w:ascii="Times New Roman;Times;serif" w:hAnsi="Times New Roman;Times;serif"/>
          <w:i/>
          <w:sz w:val="20"/>
        </w:rPr>
        <w:t xml:space="preserve">Insurance Law of the PRC </w:t>
      </w:r>
      <w:r>
        <w:rPr>
          <w:rFonts w:ascii="Times New Roman;Times;serif" w:hAnsi="Times New Roman;Times;serif"/>
          <w:sz w:val="20"/>
        </w:rPr>
        <w:t xml:space="preserve">promulgated by the Standing Committee of the National People’s Congress of China on June 30, 1995 and latest amended on April 24, 2015, which took effect on April 24, 2015, insurance brokers shall meet the conditions prescribed by the insurance regulatory agency of the State Council and obtain the license for operating insurance brokerage business. On February 1, 2018, China Insurance Regulatory Commission which has been merged into the China Banking and Insurance Regulatory Commission, promulgated the </w:t>
      </w:r>
      <w:r>
        <w:rPr>
          <w:rFonts w:ascii="Times New Roman;Times;serif" w:hAnsi="Times New Roman;Times;serif"/>
          <w:i/>
          <w:sz w:val="20"/>
        </w:rPr>
        <w:t xml:space="preserve">Regulatory Provisions </w:t>
      </w:r>
      <w:r>
        <w:rPr>
          <w:rFonts w:ascii="Times New Roman;Times;serif" w:hAnsi="Times New Roman;Times;serif"/>
          <w:sz w:val="20"/>
        </w:rPr>
        <w:t xml:space="preserve">on </w:t>
      </w:r>
      <w:r>
        <w:rPr>
          <w:rFonts w:ascii="Times New Roman;Times;serif" w:hAnsi="Times New Roman;Times;serif"/>
          <w:i/>
          <w:sz w:val="20"/>
        </w:rPr>
        <w:t>Insurance Brokerages</w:t>
      </w:r>
      <w:r>
        <w:rPr>
          <w:rFonts w:ascii="Times New Roman;Times;serif" w:hAnsi="Times New Roman;Times;serif"/>
          <w:sz w:val="20"/>
        </w:rPr>
        <w:t>, which took effect on May 1, 2018. Pursuant to these provisions, insurance brokers shall mean institutions which provide intermediary services for execution of insurance contracts between policyholders and insurance companies based on interests of policyholders and collect commissions, including insurance brokerage companies and their branches. Any insurance brokerage company operating insurance brokerage businesses in the PRC shall satisfy the stipulated criteria and obtain a license for operating insurance brokerage businesses. Whoever illegally engages in insurance brokerage business without a license shall be banned, and its illegal gains shall be confiscated and it shall be fined not less than one time and not more than five times the illegal gains; if there is no illegal gains or the illegal gains are less than RMB50,000, a fine of not less than RMB50,000 and not more than RMB300,000 shall be imposed.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According to the </w:t>
      </w:r>
      <w:r>
        <w:rPr>
          <w:rFonts w:ascii="Times New Roman;Times;serif" w:hAnsi="Times New Roman;Times;serif"/>
          <w:i/>
          <w:sz w:val="20"/>
        </w:rPr>
        <w:t xml:space="preserve">Service Guidelines for Approval of the Establishment of Insurance Brokerage Institutions </w:t>
      </w:r>
      <w:r>
        <w:rPr>
          <w:rFonts w:ascii="Times New Roman;Times;serif" w:hAnsi="Times New Roman;Times;serif"/>
          <w:sz w:val="20"/>
        </w:rPr>
        <w:t xml:space="preserve">issued by the China Banking and Insurance Regulatory Commission on September 30, 2021, insurance brokers whose foreign investment ratio is higher than or equal to 25% after penetrating cumulative calculation are regarded as foreign-invested insurance brokers. Pursuant to the </w:t>
      </w:r>
      <w:r>
        <w:rPr>
          <w:rFonts w:ascii="Times New Roman;Times;serif" w:hAnsi="Times New Roman;Times;serif"/>
          <w:i/>
          <w:sz w:val="20"/>
        </w:rPr>
        <w:t xml:space="preserve">Notice of the CBIRC General Office on Clarifying Relevant Measures for the Opening-up of the Insurance broker Market </w:t>
      </w:r>
      <w:r>
        <w:rPr>
          <w:rFonts w:ascii="Times New Roman;Times;serif" w:hAnsi="Times New Roman;Times;serif"/>
          <w:sz w:val="20"/>
        </w:rPr>
        <w:t>issued by the China Banking and Insurance Regulatory Commission on December 3, 2021, overseas insurance brokerage companies with actual business experience and complying with the provisions of the China Banking and Insurance Regulatory Commission are permitted to invest in and establish insurance brokerage companies in China to engage in insurance brokerage business. However, in practice, subject to the qualifications set by the China Banking and Insurance Regulatory Commission for foreign shareholders of the insurance brokerage companies, the China Banking and Insurance Regulatory Commission typically would not approve the establishment of foreign-invested insurance brokerage companies.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Land and the Development of Construction Projects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Regulations on Land Grants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Under the </w:t>
      </w:r>
      <w:r>
        <w:rPr>
          <w:rFonts w:ascii="Times New Roman;Times;serif" w:hAnsi="Times New Roman;Times;serif"/>
          <w:i/>
          <w:sz w:val="20"/>
        </w:rPr>
        <w:t>Interim Regulations on Assignment and Transfer of the Rights to the Use of the State-owned Urban Land of the PRC</w:t>
      </w:r>
      <w:r>
        <w:rPr>
          <w:rFonts w:ascii="Times New Roman;Times;serif" w:hAnsi="Times New Roman;Times;serif"/>
          <w:sz w:val="20"/>
        </w:rPr>
        <w:t xml:space="preserve">, promulgated by the State Council on May 19, 1990 and latest amended on November 29, 2020, a system of assignment and transfer of the right to use state-owned land was adopted. A land user must pay land premiums to the state as consideration for the assignment of the right to use a land site within a certain term, and the land user who obtained the right to use the land may transfer, lease out, mortgage or otherwise commercially exploit the land within the term of use. Under the </w:t>
      </w:r>
      <w:r>
        <w:rPr>
          <w:rFonts w:ascii="Times New Roman;Times;serif" w:hAnsi="Times New Roman;Times;serif"/>
          <w:i/>
          <w:sz w:val="20"/>
        </w:rPr>
        <w:t xml:space="preserve">Interim Regulations on Assignment and Transfer of the Rights to the Use of the State-owned Urban Land of the PRC </w:t>
      </w:r>
      <w:r>
        <w:rPr>
          <w:rFonts w:ascii="Times New Roman;Times;serif" w:hAnsi="Times New Roman;Times;serif"/>
          <w:sz w:val="20"/>
        </w:rPr>
        <w:t xml:space="preserve">and </w:t>
      </w:r>
      <w:r>
        <w:rPr>
          <w:rFonts w:ascii="Times New Roman;Times;serif" w:hAnsi="Times New Roman;Times;serif"/>
          <w:i/>
          <w:sz w:val="20"/>
        </w:rPr>
        <w:t>the Law of the PRC on Urban Real Estate Administration</w:t>
      </w:r>
      <w:r>
        <w:rPr>
          <w:rFonts w:ascii="Times New Roman;Times;serif" w:hAnsi="Times New Roman;Times;serif"/>
          <w:sz w:val="20"/>
        </w:rPr>
        <w:t>, the local land administration authority may enter into an assignment contract with the land user for the assignment of land use rights. The land user is required to pay the land premium as provided in the assignment contract. After the full payment of the land premium, the land user must register with the land administration authority and obtain a land use rights certificate which evidences the acquisition of land use rights.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Regulations on Planning of a Construction Project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w:t>
      </w:r>
      <w:r>
        <w:rPr>
          <w:rFonts w:ascii="Times New Roman;Times;serif" w:hAnsi="Times New Roman;Times;serif"/>
          <w:i/>
          <w:sz w:val="20"/>
        </w:rPr>
        <w:t>Regulations on Planning Administration regarding Assignment and Transfer of the Rights to Use of the State-Owned Land in Urban Area</w:t>
      </w:r>
      <w:r>
        <w:rPr>
          <w:rFonts w:ascii="Times New Roman;Times;serif" w:hAnsi="Times New Roman;Times;serif"/>
          <w:sz w:val="20"/>
        </w:rPr>
        <w:t xml:space="preserve"> promulgated by the Ministry of Construction in December 1992 and amended in January 2011, a construction land planning permit shall be obtained from the municipal planning authority with respect to the planning and use of land. According to the </w:t>
      </w:r>
      <w:r>
        <w:rPr>
          <w:rFonts w:ascii="Times New Roman;Times;serif" w:hAnsi="Times New Roman;Times;serif"/>
          <w:i/>
          <w:sz w:val="20"/>
        </w:rPr>
        <w:t>Urban and Rural Planning Law of the PRC</w:t>
      </w:r>
      <w:r>
        <w:rPr>
          <w:rFonts w:ascii="Times New Roman;Times;serif" w:hAnsi="Times New Roman;Times;serif"/>
          <w:sz w:val="20"/>
        </w:rPr>
        <w:t xml:space="preserve"> promulgated by the Standing Committee of the National People’s Congress of China on October 28, 2007 and latest amended on April 23, 2019, a construction work planning permit must be obtained from the competent urban and rural planning government authority for the construction of any structure, fixture, road, pipeline or other engineering project within an urban or rural planning area.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After obtaining a construction work planning permit, subject to certain exceptions, a construction enterprise must apply for a construction work commencement permit from the construction authority under the local people’s government at the county level or above in accordance with the </w:t>
      </w:r>
      <w:r>
        <w:rPr>
          <w:rFonts w:ascii="Times New Roman;Times;serif" w:hAnsi="Times New Roman;Times;serif"/>
          <w:i/>
          <w:sz w:val="20"/>
        </w:rPr>
        <w:t>Administrative Provisions on Construction Permit of Construction Projects</w:t>
      </w:r>
      <w:r>
        <w:rPr>
          <w:rFonts w:ascii="Times New Roman;Times;serif" w:hAnsi="Times New Roman;Times;serif"/>
          <w:sz w:val="20"/>
        </w:rPr>
        <w:t xml:space="preserve"> promulgated by the Ministry of Housing and Urban-Rural Development on June 25, 2014 and implemented on October 25, 2014 and latest amended on March 30, 2021.</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w:t>
      </w:r>
      <w:r>
        <w:rPr>
          <w:rFonts w:ascii="Times New Roman;Times;serif" w:hAnsi="Times New Roman;Times;serif"/>
          <w:i/>
          <w:sz w:val="20"/>
        </w:rPr>
        <w:t>Administrative Measures for Reporting Details Regarding Acceptance Examination upon Completion of Buildings and Municipal Infrastructure</w:t>
      </w:r>
      <w:r>
        <w:rPr>
          <w:rFonts w:ascii="Times New Roman;Times;serif" w:hAnsi="Times New Roman;Times;serif"/>
          <w:sz w:val="20"/>
        </w:rPr>
        <w:t xml:space="preserve"> promulgated by the Ministry of Construction on April 4, 2000 and amended on October 19, 2009 and the </w:t>
      </w:r>
      <w:r>
        <w:rPr>
          <w:rFonts w:ascii="Times New Roman;Times;serif" w:hAnsi="Times New Roman;Times;serif"/>
          <w:i/>
          <w:sz w:val="20"/>
        </w:rPr>
        <w:t>Provisions on Acceptance Examination upon Completion of Buildings and Municipal Infrastructure</w:t>
      </w:r>
      <w:r>
        <w:rPr>
          <w:rFonts w:ascii="Times New Roman;Times;serif" w:hAnsi="Times New Roman;Times;serif"/>
          <w:sz w:val="20"/>
        </w:rPr>
        <w:t xml:space="preserve"> promulgated and implemented by the Ministry of Housing and Urban - Rural Development on December 2, 2013, upon the completion of a construction project, the construction enterprise must submit an application to the competent department in the people’s government at or above county level where the project is located, for examination upon completion of building and for filing purpose; and to obtain the filing form for acceptance and examination upon completion of construction project.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Regulations on Environmental Protection and Work Safety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Regulations on Environmental Protection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w:t>
      </w:r>
      <w:r>
        <w:rPr>
          <w:rFonts w:ascii="Times New Roman;Times;serif" w:hAnsi="Times New Roman;Times;serif"/>
          <w:i/>
          <w:sz w:val="20"/>
        </w:rPr>
        <w:t>Environmental Protection Law of the PRC</w:t>
      </w:r>
      <w:r>
        <w:rPr>
          <w:rFonts w:ascii="Times New Roman;Times;serif" w:hAnsi="Times New Roman;Times;serif"/>
          <w:sz w:val="20"/>
        </w:rPr>
        <w:t xml:space="preserve"> promulgated by the Standing Committee of the National People’s Congress of China, on December 26, 1989, latest amended on April 24, 2014 and effective on January 1, 2015, any entity which discharges or will discharge pollutants during the course of operations or other activities must implement effective environmental protection safeguards and procedures to control and properly treat waste gas, waste water, waste residue, dust, malodorous gases, radioactive substances, noise, vibrations, electromagnetic radiation and other hazards produced during such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Environmental protection authorities impose various administrative penalties on persons or enterprises in violation of the Environmental Protection Law. Such penalties include warnings, fines, orders to rectify within the prescribed period, orders to cease construction, orders to restrict or suspend production, orders to make recovery, orders to disclose information or make an announcement, imposition of administrative action against responsible persons, and orders to shut down enterprises. Any person or entity that pollutes the environment resulting in damage could also be held liable under the </w:t>
      </w:r>
      <w:r>
        <w:rPr>
          <w:rFonts w:ascii="Times New Roman;Times;serif" w:hAnsi="Times New Roman;Times;serif"/>
          <w:i/>
          <w:sz w:val="20"/>
        </w:rPr>
        <w:t>PRC Civil Code</w:t>
      </w:r>
      <w:r>
        <w:rPr>
          <w:rFonts w:ascii="Times New Roman;Times;serif" w:hAnsi="Times New Roman;Times;serif"/>
          <w:sz w:val="20"/>
        </w:rPr>
        <w:t>. In addition, environmental organizations may also bring lawsuits against any entity that discharges pollutants detrimental to the public welfare.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Regulations on Work Safety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Under construction safety laws and regulations, including the </w:t>
      </w:r>
      <w:r>
        <w:rPr>
          <w:rFonts w:ascii="Times New Roman;Times;serif" w:hAnsi="Times New Roman;Times;serif"/>
          <w:i/>
          <w:sz w:val="20"/>
        </w:rPr>
        <w:t xml:space="preserve">Work Safety Law of the PRC, </w:t>
      </w:r>
      <w:r>
        <w:rPr>
          <w:rFonts w:ascii="Times New Roman;Times;serif" w:hAnsi="Times New Roman;Times;serif"/>
          <w:sz w:val="20"/>
        </w:rPr>
        <w:t>which was promulgated by the Standing Committee of the National People’s Congress of China on June 29, 2002, latest amended on June 10, 2021 and took effect on September 1, 2021, production and operating business entities must establish objectives and measures for work safety and improve the working environment and conditions for workers in a planned and systematic way. A work safety protection scheme must also be set up to implement the work safety job responsibility system. In addition, production and operating business entities must arrange work safety training and provide the employees with protective equipment that meets the national standards or industrial standards. Furthermore, production and operating business entities shall report their major hazard sources and related safety and emergency measures to the emergency management department and other departments for the record, and establish a safety risk grading control system and take corresponding control measures. Automobile and components manufacturers are subject to the above-mentioned environment protection and work safety requirements.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Fire Control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w:t>
      </w:r>
      <w:r>
        <w:rPr>
          <w:rFonts w:ascii="Times New Roman;Times;serif" w:hAnsi="Times New Roman;Times;serif"/>
          <w:i/>
          <w:sz w:val="20"/>
        </w:rPr>
        <w:t xml:space="preserve">Fire Control Law of the PRC </w:t>
      </w:r>
      <w:r>
        <w:rPr>
          <w:rFonts w:ascii="Times New Roman;Times;serif" w:hAnsi="Times New Roman;Times;serif"/>
          <w:sz w:val="20"/>
        </w:rPr>
        <w:t xml:space="preserve">promulgated by the Standing Committee of the National People’s Congress of China on April 29, 1998 and latest amended on April 29, 2021, for special construction projects stipulated by the housing and urban-rural development authority of the State Council, the developer shall submit the fire safety design documents to the housing and urban-rural development authority for examination, while for construction projects other than those stipulated as special development projects, the developer shall, at the time of applying for the construction permit or approval for work commencement report, provide the fire safety design drawings and technical materials which satisfy the construction needs. According to the </w:t>
      </w:r>
      <w:r>
        <w:rPr>
          <w:rFonts w:ascii="Times New Roman;Times;serif" w:hAnsi="Times New Roman;Times;serif"/>
          <w:i/>
          <w:sz w:val="20"/>
        </w:rPr>
        <w:t xml:space="preserve">Interim Regulations on Administration of Examination and Acceptance of Fire Control Design of Construction Projects </w:t>
      </w:r>
      <w:r>
        <w:rPr>
          <w:rFonts w:ascii="Times New Roman;Times;serif" w:hAnsi="Times New Roman;Times;serif"/>
          <w:sz w:val="20"/>
        </w:rPr>
        <w:t>promulgated on April 1, 2020 and effective on June 1, 2020, which was latest amended on August 21, 2023, an examination system for fire prevention design and acceptance only applies to special construction projects, and for other projects, a record-filing and spot check system would be applied.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Intellectual Property Rights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Patent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According to the </w:t>
      </w:r>
      <w:r>
        <w:rPr>
          <w:rFonts w:ascii="Times New Roman;Times;serif" w:hAnsi="Times New Roman;Times;serif"/>
          <w:i/>
          <w:sz w:val="20"/>
        </w:rPr>
        <w:t xml:space="preserve">Patent Law of the PRC </w:t>
      </w:r>
      <w:r>
        <w:rPr>
          <w:rFonts w:ascii="Times New Roman;Times;serif" w:hAnsi="Times New Roman;Times;serif"/>
          <w:sz w:val="20"/>
        </w:rPr>
        <w:t>promulgated by the Standing Committee of the National People’s Congress of China on March 12, 1984 and was latest amended in October 2020 and took effect on June 1, 2021, the State Intellectual Property Office is responsible for administering patent law in the PRC. The patent administration departments of provincial, autonomous region or municipal governments are responsible for administering patent law within their respective jurisdictions. The Chinese patent system adopts a first-to-file principle, which means that when more than one person files different patent applications for the same invention, only the person who files the application first is entitled to obtain a patent of the invention. To be patentable, an invention or a utility model must meet three criteria: novelty, inventiveness and practicability. The protection period is twenty years for an invention patent and ten years for a utility model patent and fifteen years for a design patent, commencing from their respective application 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Regulations on Copyright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 xml:space="preserve">Copyright Law of the PRC </w:t>
      </w:r>
      <w:r>
        <w:rPr>
          <w:rFonts w:ascii="Times New Roman;Times;serif" w:hAnsi="Times New Roman;Times;serif"/>
          <w:sz w:val="20"/>
        </w:rPr>
        <w:t>which took effect on June 1, 1991 and was latest amended in 2020 and took effect on June 1, 2021, provides that Chinese citizens, legal persons, or other organizations shall, whether published or not, own copyright in their copyrightable works, which include, among others, works of literature, art, natural science, social science, engineering technology and computer software. Copyright owners enjoy certain legal rights, including right of publication, right of authorship and right of reproduction. The Copyright Law extends copyright protection to internet activities, products disseminated over the internet and software products. In addition, the Copyright Law provides for a voluntary registration system administered by the China Copyright Protection Center. According to the Copyright Law, an infringer of the copyrights shall be subject to various civil liabilities, which include ceasing infringement activities, apologizing to the copyright owners and compensating the loss of the copyright owner. Infringers of a copyright may also be subject to fines and/or administrative or criminal liabilities in severe situations.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w:t>
      </w:r>
      <w:r>
        <w:rPr>
          <w:rFonts w:ascii="Times New Roman;Times;serif" w:hAnsi="Times New Roman;Times;serif"/>
          <w:i/>
          <w:sz w:val="20"/>
        </w:rPr>
        <w:t xml:space="preserve">Computer Software Copyright Protection Regulations </w:t>
      </w:r>
      <w:r>
        <w:rPr>
          <w:rFonts w:ascii="Times New Roman;Times;serif" w:hAnsi="Times New Roman;Times;serif"/>
          <w:sz w:val="20"/>
        </w:rPr>
        <w:t>promulgated by the State Council on December 20, 2001, latest amended on January 30, 2013 and took effect on March 1, 2013, the software copyright owner may go through the registration formalities with a software registration authority recognized by the State Council’s copyright administrative department. The software copyright owner may authorize others to exercise that copyright, and is entitled to receive remuneration.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Trademark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Trademarks are protected by the </w:t>
      </w:r>
      <w:r>
        <w:rPr>
          <w:rFonts w:ascii="Times New Roman;Times;serif" w:hAnsi="Times New Roman;Times;serif"/>
          <w:i/>
          <w:sz w:val="20"/>
        </w:rPr>
        <w:t xml:space="preserve">Trademark Law of the PRC </w:t>
      </w:r>
      <w:r>
        <w:rPr>
          <w:rFonts w:ascii="Times New Roman;Times;serif" w:hAnsi="Times New Roman;Times;serif"/>
          <w:sz w:val="20"/>
        </w:rPr>
        <w:t xml:space="preserve">which was adopted on August 23, 1982 and latest amended in 2019, as well as by the </w:t>
      </w:r>
      <w:r>
        <w:rPr>
          <w:rFonts w:ascii="Times New Roman;Times;serif" w:hAnsi="Times New Roman;Times;serif"/>
          <w:i/>
          <w:sz w:val="20"/>
        </w:rPr>
        <w:t xml:space="preserve">Implementation Regulations of the PRC Trademark Law </w:t>
      </w:r>
      <w:r>
        <w:rPr>
          <w:rFonts w:ascii="Times New Roman;Times;serif" w:hAnsi="Times New Roman;Times;serif"/>
          <w:sz w:val="20"/>
        </w:rPr>
        <w:t>adopted by the State Council in 2002 and latest amended on April 29, 2014. The Trademark Office under the State Administration for Market Regulation handles trademark registrations. The Trademark Office grants a ten-year term to registered trademarks and the term may be renewed for another ten-year period upon request by the trademark owner. A trademark registrant may license its registered trademarks to another party by entering into trademark license agreements, which must be filed with the Trademark Office for its record. As with patents, the Trademark Law of the PRC has adopted a first-to-file principle with respect to trademark registration. If a trademark applied for is identical or similar to another trademark which has already been registered or subject to a preliminary examination and approval for use on the same or similar kinds of products or services, such trademark application may be rejected. Any person applying for the registration of a trademark may not injure existing trademark rights first obtained by others, nor may any person register in advance a trademark that has already been used by another party and has already gained a “sufficient degree of reputation” through such party’s use.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Regulations on Domain Names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Ministry of Industry and Information Technology promulgated the </w:t>
      </w:r>
      <w:r>
        <w:rPr>
          <w:rFonts w:ascii="Times New Roman;Times;serif" w:hAnsi="Times New Roman;Times;serif"/>
          <w:i/>
          <w:sz w:val="20"/>
        </w:rPr>
        <w:t xml:space="preserve">Measures on Administration of Internet Domain Names </w:t>
      </w:r>
      <w:r>
        <w:rPr>
          <w:rFonts w:ascii="Times New Roman;Times;serif" w:hAnsi="Times New Roman;Times;serif"/>
          <w:sz w:val="20"/>
        </w:rPr>
        <w:t>on August 24, 2017, which took effect on November 1, 2017. According to these measures, the Ministry of Industry and Information Technology is in charge of the administration of PRC internet domain names. The domain name registration follows a first-to-file principle. Applicants for registration of domain names must provide the true, accurate and complete information of their identities to domain name registration service institutions. The applicants will become the holder of such domain names upon the completion of the registration procedure.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Foreign Investment in China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Catalogue for the Guidance of Foreign Investment Industries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Investments in the PRC by foreign investors and foreign-invested enterprises were regulated by the </w:t>
      </w:r>
      <w:r>
        <w:rPr>
          <w:rFonts w:ascii="Times New Roman;Times;serif" w:hAnsi="Times New Roman;Times;serif"/>
          <w:i/>
          <w:sz w:val="20"/>
        </w:rPr>
        <w:t>Catalogue for the Guidance of Foreign Investment Industries</w:t>
      </w:r>
      <w:r>
        <w:rPr>
          <w:rFonts w:ascii="Times New Roman;Times;serif" w:hAnsi="Times New Roman;Times;serif"/>
          <w:sz w:val="20"/>
        </w:rPr>
        <w:t xml:space="preserve">, jointly promulgated by the Ministry of Commerce and NDRC on June 28, 1995 and amended from time to time. This catalogue was last repealed by the </w:t>
      </w:r>
      <w:r>
        <w:rPr>
          <w:rFonts w:ascii="Times New Roman;Times;serif" w:hAnsi="Times New Roman;Times;serif"/>
          <w:i/>
          <w:sz w:val="20"/>
        </w:rPr>
        <w:t>Special Administrative Measures (Negative List) for Foreign Investment Access (2024 Version)</w:t>
      </w:r>
      <w:r>
        <w:rPr>
          <w:rFonts w:ascii="Times New Roman;Times;serif" w:hAnsi="Times New Roman;Times;serif"/>
          <w:sz w:val="20"/>
        </w:rPr>
        <w:t xml:space="preserve">, or the 2024 Negative List, which was jointly promulgated by the Ministry of Commerce and the NDRC on September 6, 2024 and took effect on November 1, 2024, and </w:t>
      </w:r>
      <w:r>
        <w:rPr>
          <w:rFonts w:ascii="Times New Roman;Times;serif" w:hAnsi="Times New Roman;Times;serif"/>
          <w:i/>
          <w:sz w:val="20"/>
        </w:rPr>
        <w:t>the Catalogue of Industries for Encouraging Foreign Investment (2022 Version)</w:t>
      </w:r>
      <w:r>
        <w:rPr>
          <w:rFonts w:ascii="Times New Roman;Times;serif" w:hAnsi="Times New Roman;Times;serif"/>
          <w:sz w:val="20"/>
        </w:rPr>
        <w:t>, or the 2022 Encouraging Catalogue, which was jointly promulgated by the Ministry of Commerce and the NDRC on October 26, 2022 and took effect on January 1, 2023. The 2022 Encouraging Catalogue and the 2024 Negative List set out the industries and economic activities in which foreign investment in the PRC is encouraged, restricted or prohibited. Pursuant to the 2022 Encouraging Catalogue, the research and development and manufacture of key parts and components of NEVs fall within the encouraged catalogue, and the 2024 Negative List lifts the limit on foreign ownership of automakers for ICE passenger vehicles. However, the 2024 Negative List provides that foreign investors shall hold no more than 50% of the equity interest in a service provider operating certain value-added telecommunications services (other than for e-commerce, domestic multi-parties communications, storage and forwarding categories, call centers), and foreign investors are prohibited to invest in certain services related to autonomous driving.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establishment, operation and management of corporate entities in the PRC is governed by the </w:t>
      </w:r>
      <w:r>
        <w:rPr>
          <w:rFonts w:ascii="Times New Roman;Times;serif" w:hAnsi="Times New Roman;Times;serif"/>
          <w:i/>
          <w:sz w:val="20"/>
        </w:rPr>
        <w:t>PRC Company Law</w:t>
      </w:r>
      <w:r>
        <w:rPr>
          <w:rFonts w:ascii="Times New Roman;Times;serif" w:hAnsi="Times New Roman;Times;serif"/>
          <w:sz w:val="20"/>
        </w:rPr>
        <w:t xml:space="preserve">, which was latest amended on December 29, 2023 and took effect on July 1, 2024. The </w:t>
      </w:r>
      <w:r>
        <w:rPr>
          <w:rFonts w:ascii="Times New Roman;Times;serif" w:hAnsi="Times New Roman;Times;serif"/>
          <w:i/>
          <w:sz w:val="20"/>
        </w:rPr>
        <w:t>PRC Company Law</w:t>
      </w:r>
      <w:r>
        <w:rPr>
          <w:rFonts w:ascii="Times New Roman;Times;serif" w:hAnsi="Times New Roman;Times;serif"/>
          <w:sz w:val="20"/>
        </w:rPr>
        <w:t xml:space="preserve"> governs two types of companies—limited liability companies and joint stock limited companies. The </w:t>
      </w:r>
      <w:r>
        <w:rPr>
          <w:rFonts w:ascii="Times New Roman;Times;serif" w:hAnsi="Times New Roman;Times;serif"/>
          <w:i/>
          <w:sz w:val="20"/>
        </w:rPr>
        <w:t>PRC Company Law</w:t>
      </w:r>
      <w:r>
        <w:rPr>
          <w:rFonts w:ascii="Times New Roman;Times;serif" w:hAnsi="Times New Roman;Times;serif"/>
          <w:sz w:val="20"/>
        </w:rPr>
        <w:t xml:space="preserve"> shall also apply to foreign-invested companies. Where laws on foreign investment have other stipulations, such stipulations shall prevail. The primary amendments in the latest amended </w:t>
      </w:r>
      <w:r>
        <w:rPr>
          <w:rFonts w:ascii="Times New Roman;Times;serif" w:hAnsi="Times New Roman;Times;serif"/>
          <w:i/>
          <w:sz w:val="20"/>
        </w:rPr>
        <w:t>PRC Company Law</w:t>
      </w:r>
      <w:r>
        <w:rPr>
          <w:rFonts w:ascii="Times New Roman;Times;serif" w:hAnsi="Times New Roman;Times;serif"/>
          <w:sz w:val="20"/>
        </w:rPr>
        <w:t xml:space="preserve"> include revisions aimed at improving the company’s establishment and exit system, optimizing the company’s organizational structure, detailing exercise of shareholder rights, perfecting the company’s capital system and strengthening the responsibilities of controlling shareholders and management personnel, etc. The establishment procedures, approval or record-filing procedures, registered capital requirements, foreign exchange matters, accounting practices, taxation and labor matters of a wholly foreign-owned enterprise are regulated by the </w:t>
      </w:r>
      <w:r>
        <w:rPr>
          <w:rFonts w:ascii="Times New Roman;Times;serif" w:hAnsi="Times New Roman;Times;serif"/>
          <w:i/>
          <w:sz w:val="20"/>
        </w:rPr>
        <w:t>Foreign Investment Law of the PRC</w:t>
      </w:r>
      <w:r>
        <w:rPr>
          <w:rFonts w:ascii="Times New Roman;Times;serif" w:hAnsi="Times New Roman;Times;serif"/>
          <w:sz w:val="20"/>
        </w:rPr>
        <w:t>, which took effect on January 1, 2020.</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Foreign Investment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15, 2019, the National People’s Congress of China promulgated the Foreign Investment Law, which took effect on January 1, 2020. The Foreign Investment Law embodies an expected PRC regulatory trend to rationalize its foreign investment regulatory regime in line with prevailing international practice and the legislative efforts to unify the corporate legal requirements for both foreign and domestic invested enterprises in China. The Foreign Investment Law establishes the basic framework for the access to, and the promotion, protection and administration of foreign investments in view of investment protection and fair 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Foreign Investment Law, “foreign investment” refers to investment activities directly or indirectly conducted by one or more natural persons, business entities, or otherwise organizations of a foreign country, or collectively the foreign investor, within China, and the investment activities include the following situations: (i) a foreign investor, individually or collectively with other investors, establishes a foreign-invested enterprise within China; (ii) a foreign investor acquires stock shares, equity shares, shares in assets, or other similar rights and interests of an enterprise within China; (iii) a foreign investor, individually or collectively with other investors, invests in a new project within China; and (iv) investments in other means as provided by laws, administrative regulations or the State Council.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Foreign Investment Law, the State Council will publish or approve to publish a catalogue for special administrative measures, or the “negative list.” The Foreign Investment Law grants national treatment to foreign invested entities, except for those foreign invested entities that operate in industries deemed to be either “restricted” or “prohibited” in the “negative list.” Because the “negative list” has yet been published, it is unclear whether it will differ from the current 2024 Negative List. The Foreign Investment Law provides that foreign invested entities operating in foreign restricted or prohibited industries will require market entry clearance and other approvals from PRC governmental authorities.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the Foreign Investment Law provides that foreign invested enterprises established before the implementation of the Foreign Investment Law may maintain their structure and corporate governance within five years after the implementation of the Foreign Investment Law.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Foreign Investment Law also provides several protective rules and principles for foreign investors and their investments in the PRC, including, among others, that local governments shall abide by their commitments to the foreign investors; foreign-invested enterprises are allowed to issue stocks and corporate bonds; except for special circumstances, in which case statutory procedures shall be followed and fair and reasonable compensation shall be made in a timely manner, expropriation or requisition of the investment of foreign investors is prohibited; mandatory technology transfer is prohibited; and the capital contributions, profits, capital gains, proceeds out of asset disposal, licensing fees of intellectual property rights, indemnity or compensation legally obtained, or proceeds received upon settlement by foreign investors within China, may be freely remitted inward and outward in RMB or a foreign currency. Also, foreign investors or the foreign investment enterprise should be imposed legal liabilities for failing to report investment information in accordance with the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December 26, 2019, the State Council promulgated the </w:t>
      </w:r>
      <w:r>
        <w:rPr>
          <w:rFonts w:ascii="Times New Roman;Times;serif" w:hAnsi="Times New Roman;Times;serif"/>
          <w:i/>
          <w:sz w:val="20"/>
        </w:rPr>
        <w:t>Implementation Regulations on the Foreign Investment Law of the PRC</w:t>
      </w:r>
      <w:r>
        <w:rPr>
          <w:rFonts w:ascii="Times New Roman;Times;serif" w:hAnsi="Times New Roman;Times;serif"/>
          <w:sz w:val="20"/>
        </w:rPr>
        <w:t>, effective on January 1, 2020, which further requires that foreign-invested enterprises and domestic enterprises shall be treated equally with respect to policy making and implementation. Pursuant to the Implementation Regulations on the Foreign Investment Law, if the existing foreign-invested enterprises fail to change their original forms as of January 1, 2025, the market regulation departments will not process other registration matters for the enterprises, and may disclose their information to the public.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December 30, 2019, the Ministry of Commerce and the State Administration for Market Regulation jointly issued the </w:t>
      </w:r>
      <w:r>
        <w:rPr>
          <w:rFonts w:ascii="Times New Roman;Times;serif" w:hAnsi="Times New Roman;Times;serif"/>
          <w:i/>
          <w:sz w:val="20"/>
        </w:rPr>
        <w:t>Measures for Reporting of Foreign Investment Information</w:t>
      </w:r>
      <w:r>
        <w:rPr>
          <w:rFonts w:ascii="Times New Roman;Times;serif" w:hAnsi="Times New Roman;Times;serif"/>
          <w:sz w:val="20"/>
        </w:rPr>
        <w:t>, which took effect on January 1, 2020. Since January 1, 2020, for foreign investors carrying out investment activities directly or indirectly in the PRC, foreign investors or foreign-invested enterprises shall submit investment information through the enterprise registration system and the national enterprise credit information publicity system operated by the State Administration for Market Regulation. Foreign investors or foreign-invested enterprises shall disclose their investment information by submitting reports for their establishments, modifications and cancellations and their annual reports in accordance with these measures. If a foreign-invested enterprise investing in the PRC has finished submitting its reports for its establishment, modifications and cancellation and its annual reports, the information will be shared by the competent market regulation department to the competent commercial department, and such foreign-invested enterprise is not required to submit the reports to the two departments separately.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Foreign Exchange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General Principles of Foreign Exchange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Under the </w:t>
      </w:r>
      <w:r>
        <w:rPr>
          <w:rFonts w:ascii="Times New Roman;Times;serif" w:hAnsi="Times New Roman;Times;serif"/>
          <w:i/>
          <w:sz w:val="20"/>
        </w:rPr>
        <w:t xml:space="preserve">Regulations on the Foreign Exchange System of the PRC </w:t>
      </w:r>
      <w:r>
        <w:rPr>
          <w:rFonts w:ascii="Times New Roman;Times;serif" w:hAnsi="Times New Roman;Times;serif"/>
          <w:sz w:val="20"/>
        </w:rPr>
        <w:t>promulgated on January 29, 1996 and most recently amended on August 5, 2008 and various regulations issued by the State Administration of Foreign Exchange of the PRC, or the SAFE, and other PRC government authorities, Renminbi is convertible into other currencies for current account items, such as trade-related receipts and payments and payment of interest and dividends. The conversion of Renminbi into other currencies and remittance of the converted foreign currency outside the PRC of capital account items, such as direct equity investments, loans and repatriation of investment, requires the prior approval from the SAFE or its local office.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Payments for transactions that take place within the PRC must be made in Renminbi. Unless otherwise approved, PRC companies may not repatriate foreign currency payments received from abroad or retain the same abroad. Foreign-invested enterprises may retain foreign exchange in accounts with designated foreign exchange banks under the current account items subject to a cap set by the SAFE or its local branch. Foreign exchange proceeds under the current accounts may be either retained or sold to a financial institution engaged in settlement and sale of foreign exchange pursuant to SAFE rules and regulations. For foreign exchange proceeds under the capital accounts, approval from the SAFE is required for the retention or sale of such proceeds to a financial institution engaged in settlement and sale of foreign exchange.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w:t>
      </w:r>
      <w:r>
        <w:rPr>
          <w:rFonts w:ascii="Times New Roman;Times;serif" w:hAnsi="Times New Roman;Times;serif"/>
          <w:i/>
          <w:sz w:val="20"/>
        </w:rPr>
        <w:t>Circular of the SAFE on Further Improving and Adjusting Foreign Exchange Administration Policies for Direct Investment</w:t>
      </w:r>
      <w:r>
        <w:rPr>
          <w:rFonts w:ascii="Times New Roman;Times;serif" w:hAnsi="Times New Roman;Times;serif"/>
          <w:sz w:val="20"/>
        </w:rPr>
        <w:t>, or the SAFE Circular No. 59, promulgated by SAFE on November 19, 2012, which took effect on December 17, 2012 and latest amended on December 30, 2019, approval of SAFE is not required for opening a foreign exchange account and depositing foreign exchange into the accounts relating to the direct investments. The SAFE Circular No. 59 also simplified foreign exchange-related registration required for the foreign investors to acquire the equity interests of Chinese companies and further improve the administration on foreign exchange settlement for foreign-invested enterprises.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Circular on Further Simplifying and Improving the Foreign Currency Management Policy on Direct Investment</w:t>
      </w:r>
      <w:r>
        <w:rPr>
          <w:rFonts w:ascii="Times New Roman;Times;serif" w:hAnsi="Times New Roman;Times;serif"/>
          <w:sz w:val="20"/>
        </w:rPr>
        <w:t>, or the SAFE Circular No. 13, effective from June 1, 2015 and latest amended on December 30, 2019, cancels the administrative approvals of foreign exchange registration of direct domestic investment and direct overseas investment and simplifies the procedure of foreign exchange-related registration. Pursuant to SAFE Circular No. 13, the investors shall register with banks for direct domestic investment and direct overseas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Circular on Reforming the Management Approach regarding the Settlement of Foreign Capital of Foreign-invested Enterprise</w:t>
      </w:r>
      <w:r>
        <w:rPr>
          <w:rFonts w:ascii="Times New Roman;Times;serif" w:hAnsi="Times New Roman;Times;serif"/>
          <w:sz w:val="20"/>
        </w:rPr>
        <w:t>, or the SAFE Circular No. 19, which was promulgated by the SAFE on March 30, 2015 and latest amended on March 23, 2023, provides that a foreign-invested enterprise may, according to its actual business needs, settle with a bank the portion of the foreign exchange capital in its capital account for which the foreign exchange administration has confirmed monetary capital contribution rights and interests (or for which the bank has registered the injection of the monetary capital contribution into the account). Pursuant to SAFE Circular No. 19, for the time being, foreign-invested enterprises are allowed to settle 100% of their foreign exchange capital on a discretionary basis; a foreign-invested enterprise shall truthfully use its capital for its own operational purposes within the scope of business; where an ordinary foreign-invested enterprise makes domestic equity investment with the amount of foreign exchanges settled, the foreign-invested enterprise must first go through domestic re</w:t>
        <w:softHyphen/>
        <w:t>investment registration and open a corresponding account for foreign exchange settlement pending payment with the foreign exchange administration or the bank at the place where it is registered.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Circular on Reforming and Regulating Policies on the Control over Foreign Exchange Settlement of Capital Accounts</w:t>
      </w:r>
      <w:r>
        <w:rPr>
          <w:rFonts w:ascii="Times New Roman;Times;serif" w:hAnsi="Times New Roman;Times;serif"/>
          <w:sz w:val="20"/>
        </w:rPr>
        <w:t>, or the SAFE Circular No. 16, which was promulgated by the SAFE and took effect on June 9, 2016, and latest amended on December 4, 2023, provides that enterprises registered in the PRC may also convert their foreign debts from foreign currency into Renminbi at their own discretion. SAFE Circular No. 16 also provides an integrated standard for conversion of foreign exchange under capital account items (including, but not limited to, foreign currency capital and foreign debts) on a basis of self-discretion, which applies to all enterprises registered in the 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According to the </w:t>
      </w:r>
      <w:r>
        <w:rPr>
          <w:rFonts w:ascii="Times New Roman;Times;serif" w:hAnsi="Times New Roman;Times;serif"/>
          <w:i/>
          <w:sz w:val="20"/>
        </w:rPr>
        <w:t xml:space="preserve">PRC Market Entities Registration Administrative Regulations </w:t>
      </w:r>
      <w:r>
        <w:rPr>
          <w:rFonts w:ascii="Times New Roman;Times;serif" w:hAnsi="Times New Roman;Times;serif"/>
          <w:sz w:val="20"/>
        </w:rPr>
        <w:t>promulgated by the State Council on July 27, 2021 and effective on March 1, 2022, and other laws and regulations governing the foreign-invested enterprises and company registrations, the establishment of a foreign-invested enterprise and any capital increase and other major changes in a foreign-invested enterprise shall be registered with the State Administration for Market Regulation or its local counterparts, and shall be filed via the foreign investment comprehensive administrative system, if such foreign-invested enterprise does not involve special access administrative measures prescribed by the PRC government.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October 23, 2019, the SAFE issued the </w:t>
      </w:r>
      <w:r>
        <w:rPr>
          <w:rFonts w:ascii="Times New Roman;Times;serif" w:hAnsi="Times New Roman;Times;serif"/>
          <w:i/>
          <w:sz w:val="20"/>
        </w:rPr>
        <w:t>Circular on Further Promoting Cross-border Trade and Investment Facilitation</w:t>
      </w:r>
      <w:r>
        <w:rPr>
          <w:rFonts w:ascii="Times New Roman;Times;serif" w:hAnsi="Times New Roman;Times;serif"/>
          <w:sz w:val="20"/>
        </w:rPr>
        <w:t>. This circular allows the foreign-invested enterprises without equity investment as in their approved business scope to use their capital obtained from foreign exchange settlement to make domestic equity investment if the investments are real and in compliance with the foreign investment-related laws and regulations. In addition, this circular stipulates that qualified enterprises in certain pilot areas may use their capital income from registered capital, foreign debt and overseas listing, for the purpose of domestic payments without providing authenticity certifications to the banks in advance for those domestic payments. Payments for transactions that take place within the PRC must be made in RMB. Foreign currency revenues received by PRC companies may be repatriated into the PRC or retained outside of the PRC in accordance with requirements and terms specified by SAFE.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SAFE Circular No. 13 and other laws and regulations relating to foreign exchange, when setting up a new foreign-invested enterprise, the foreign-invested enterprise shall register with the bank located at its registered place after obtaining the business license, and if there is any change in capital or other changes relating to the basic information of the foreign-invested enterprise, including, without limitation, any increase in its registered capital or total investment, the foreign-invested enterprise must register such changes with the bank located at its registered place after obtaining approval from or completing the filing with competent authorities. Pursuant to the foreign exchange laws and regulations, the above-mentioned foreign exchange registration with the banks will typically take less than four weeks upon the acceptance of the registration application.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December 4, 2023, the SAFE issued the </w:t>
      </w:r>
      <w:r>
        <w:rPr>
          <w:rFonts w:ascii="Times New Roman;Times;serif" w:hAnsi="Times New Roman;Times;serif"/>
          <w:i/>
          <w:sz w:val="20"/>
        </w:rPr>
        <w:t>Circular on Further Deepening the Reform to Facilitate Cross-border Trade and Investment</w:t>
      </w:r>
      <w:r>
        <w:rPr>
          <w:rFonts w:ascii="Times New Roman;Times;serif" w:hAnsi="Times New Roman;Times;serif"/>
          <w:sz w:val="20"/>
        </w:rPr>
        <w:t>. This circular relaxes restrictions on the scale of preliminary expenses for overseas direct investment, facilitates the payment and use of funds from equity transfer under domestic reinvestment and funds raised from overseas listing of foreign direct investment, improves the administration of the negative list for the use of revenue under the capital account, and cancels the approval for the opening of foreign debt accounts at different locations.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on the foregoing, if we intend to provide funding to our wholly foreign-owned subsidiaries through capital injection at or after their establishment, we must register the establishment of and any follow-on capital increase in our wholly foreign-owned subsidiaries with the State Administration for Market Regulation or its local counterparts, file such via the foreign investment comprehensive administrative system and register such with the local banks for the foreign exchange related matters.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Loans by the Foreign Companies to their PRC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 loan made by foreign investors as shareholders in a foreign-invested enterprise is considered to be foreign debt in China and is regulated by various laws and regulations, including the </w:t>
      </w:r>
      <w:r>
        <w:rPr>
          <w:rFonts w:ascii="Times New Roman;Times;serif" w:hAnsi="Times New Roman;Times;serif"/>
          <w:i/>
          <w:sz w:val="20"/>
        </w:rPr>
        <w:t>Regulation of the PRC on Foreign Exchange Administration</w:t>
      </w:r>
      <w:r>
        <w:rPr>
          <w:rFonts w:ascii="Times New Roman;Times;serif" w:hAnsi="Times New Roman;Times;serif"/>
          <w:sz w:val="20"/>
        </w:rPr>
        <w:t xml:space="preserve">, the </w:t>
      </w:r>
      <w:r>
        <w:rPr>
          <w:rFonts w:ascii="Times New Roman;Times;serif" w:hAnsi="Times New Roman;Times;serif"/>
          <w:i/>
          <w:sz w:val="20"/>
        </w:rPr>
        <w:t>Interim Provisions on the Management of Foreign Debts</w:t>
      </w:r>
      <w:r>
        <w:rPr>
          <w:rFonts w:ascii="Times New Roman;Times;serif" w:hAnsi="Times New Roman;Times;serif"/>
          <w:sz w:val="20"/>
        </w:rPr>
        <w:t xml:space="preserve">, the </w:t>
      </w:r>
      <w:r>
        <w:rPr>
          <w:rFonts w:ascii="Times New Roman;Times;serif" w:hAnsi="Times New Roman;Times;serif"/>
          <w:i/>
          <w:sz w:val="20"/>
        </w:rPr>
        <w:t>Statistical Monitoring of Foreign Debts Tentative Provisions (Revised in 2020)</w:t>
      </w:r>
      <w:r>
        <w:rPr>
          <w:rFonts w:ascii="Times New Roman;Times;serif" w:hAnsi="Times New Roman;Times;serif"/>
          <w:sz w:val="20"/>
        </w:rPr>
        <w:t xml:space="preserve">, the </w:t>
      </w:r>
      <w:r>
        <w:rPr>
          <w:rFonts w:ascii="Times New Roman;Times;serif" w:hAnsi="Times New Roman;Times;serif"/>
          <w:i/>
          <w:sz w:val="20"/>
        </w:rPr>
        <w:t>Administrative Measures for Registration of Foreign Debts</w:t>
      </w:r>
      <w:r>
        <w:rPr>
          <w:rFonts w:ascii="Times New Roman;Times;serif" w:hAnsi="Times New Roman;Times;serif"/>
          <w:sz w:val="20"/>
        </w:rPr>
        <w:t xml:space="preserve">, and the </w:t>
      </w:r>
      <w:r>
        <w:rPr>
          <w:rFonts w:ascii="Times New Roman;Times;serif" w:hAnsi="Times New Roman;Times;serif"/>
          <w:i/>
          <w:sz w:val="20"/>
        </w:rPr>
        <w:t>Administrative Measures for Examination and Registration of Medium and Long-term Foreign Debts of Enterprises</w:t>
      </w:r>
      <w:r>
        <w:rPr>
          <w:rFonts w:ascii="Times New Roman;Times;serif" w:hAnsi="Times New Roman;Times;serif"/>
          <w:sz w:val="20"/>
        </w:rPr>
        <w:t>. Under these rules and regulations, a shareholder loan in the form of foreign debt made to a PRC entity does not require the prior approval of the SAFE. However, such foreign debt must be registered with and recorded by the SAFE or its local branches within fifteen (15) business days after entering into the foreign debt contract. Pursuant to these rules and regulations, the balance of the foreign debts of a foreign-invested enterprise shall not exceed the difference between the total investment and the registered capital of the foreign-invested enterprise, or the Total Investment and Registered Capital Balance.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January 12, 2017, the People’s Bank of China promulgated the Notice of the People’s Bank of China on Matters concerning the Macro-Prudential Management of Full-Covered Cross-Border Financing, or the PBOC Notice No. 9. Pursuant to PBOC Notice No. 9, within a transition period of one year from January 12, 2017, the foreign-invested enterprises may adopt the currently valid foreign debt management mechanism, or the mechanism as provided in PBOC Notice No. 9, at their own discretions. PBOC Notice No. 9 provides that enterprises may conduct independent cross-border financing in RMB or foreign currencies as required. Pursuant to PBOC Notice No. 9, the outstanding cross-border financing of an enterprise (the outstanding balance drawn, here and below) shall be calculated using a risk-weighted approach, and shall not exceed certain specified upper limits. PBOC Notice No. 9 further provides that the upper limit of risk-weighted outstanding cross-border financing for enterprises shall be equal to 200% of its net assets multiplied by macro-prudential regulation parameter, or the Net Asset Limits. The macro-prudential regulation parameter shall be 1. Enterprises shall file with the SAFE in its capital item information system after entering into the cross-border financing contracts and prior to three business days before drawing any money from the foreign debts. On July 20, 2023, the People’s Bank of China and the SAFE raised the macro-prudential regulation parameter for cross-border financing of enterprises and financial institutions from 1.25 to 1.5.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on the foregoing, if we provide funding to our wholly foreign-owned subsidiaries through shareholder loans, the balance of such loans shall not exceed the Total Investment and Registered Capital Balance and we will need to register such loans with the SAFE or its local branches in the event that the currently valid foreign debt management mechanism applies, or the balance of such loans shall be subject to the risk-weighted approach and the Net Asset Limits and we will need to file the loans with the SAFE in its information system in the event that the mechanism as provided in PBOC Notice No. 9 applies. According to PBOC Notice No. 9, after a transition period of one year from January 12, 2017, the People’s Bank of China and the SAFE will determine the cross-border financing administration mechanism for the foreign-invested enterprises after evaluating the overall implementation of PBOC Notice No. 9. As of the date of this annual report, neither the People’s Bank of China nor the SAFE has promulgated and made public any further rules, regulations, notices or circulars in this regard. It is uncertain which mechanism will be adopted by the People’s Bank of China and the SAFE in the future and what statutory limits will be imposed on us when providing loans to our PRC subsidiaries.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Offshore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Circular of the State Administration of Foreign Exchange on Issues Concerning the Foreign Exchange Administration over the Overseas Investment and Financing and Round-trip Investment by Domestic Residents via Special Purpose Vehicles, or the SAFE Circular 37, issued by the SAFE and effective on July 4, 2014, PRC residents are required to register with the local SAFE branch prior to the establishment or control of an offshore special purpose vehicle, which is defined as an offshore enterprise directly established or indirectly controlled by PRC residents for investment and financing purposes, with the enterprise assets or interests PRC residents hold in China or overseas. The term “control” means to obtain the operation rights, right to proceeds or decision-making power of an SPY through acquisition, trust, holding shares on behalf of others, voting rights, repurchase, convertible bonds or other means. An amendment to registration or subsequent filing with the local SAFE branch by such PRC resident is also required if there is any change in basic information of the offshore company or any material change with respect to the capital of the offshore company. At the same time, the SAFE has issued the Operation Guidance for the Issues Concerning Foreign Exchange Administration over Round-trip Investment regarding the procedures for SAFE registration under SAFE Circular 37, which took effect on July 4, 2014 as an attachment of SAFE Circular 37.</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these rules, failure to comply with the registration procedures set forth in the SAFE Circular 37 may result in bans on the foreign exchange activities of the onshore company, including the payment of dividends and other distributions to its offshore parent or affiliates, and may also subject PRC residents to penalties under PRC foreign exchange administration regulations.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Dividend Distribution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Wholly foreign-owned enterprises and Sino-foreign equity joint ventures in the PRC may pay dividends only out of their accumulated profits, if any, as determined in accordance with PRC accounting standards and regulations. Additionally, these foreign-invested enterprises may not pay dividends unless they set aside at least 10% of their respective accumulated profits after tax each year, if any, to fund certain reserve funds, until such time as the accumulative amount of such fund reaches 50% of the enterprise’s registered capital. In addition, these companies also may allocate a portion of their after-tax profits based on PRC accounting standards to employee welfare and bonus funds at their discretion. These reserves are not distributable as cash dividends.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Regulations governing abovementioned dividend distribution arrangements have been replaced by the Foreign Investment Law and its implementation rules, which do not provide specific dividend distribution rules for foreign invested enterprises. The Foreign Investment Law and its implementation rules also provide that after the conversion from a wholly foreign-owned enterprise or sino-foreign equity joint venture to a foreign invested enterprise under the Foreign Investment Law, distribution method of gains agreed in the joint venture agreements may continue to apply.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Taxation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Enterprise Income Tax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March 16, 2007, the Standing Committee of the National People’s Congress of China promulgated the </w:t>
      </w:r>
      <w:r>
        <w:rPr>
          <w:rFonts w:ascii="Times New Roman;Times;serif" w:hAnsi="Times New Roman;Times;serif"/>
          <w:i/>
          <w:sz w:val="20"/>
        </w:rPr>
        <w:t xml:space="preserve">PRC Enterprise Income Tax Law </w:t>
      </w:r>
      <w:r>
        <w:rPr>
          <w:rFonts w:ascii="Times New Roman;Times;serif" w:hAnsi="Times New Roman;Times;serif"/>
          <w:sz w:val="20"/>
        </w:rPr>
        <w:t xml:space="preserve">which was amended on February 24, 2017 and December 29, 2018 and on December 6, 2007, the State Council enacted the </w:t>
      </w:r>
      <w:r>
        <w:rPr>
          <w:rFonts w:ascii="Times New Roman;Times;serif" w:hAnsi="Times New Roman;Times;serif"/>
          <w:i/>
          <w:sz w:val="20"/>
        </w:rPr>
        <w:t xml:space="preserve">Regulations for the Implementation of the Enterprise Income Tax Law </w:t>
      </w:r>
      <w:r>
        <w:rPr>
          <w:rFonts w:ascii="Times New Roman;Times;serif" w:hAnsi="Times New Roman;Times;serif"/>
          <w:sz w:val="20"/>
        </w:rPr>
        <w:t>which took effect on January 1, 2008 and was amended on April 23, 2019. Under the Enterprise Income Tax Law, both resident enterprises and non-resident enterprises are subject to tax in the PRC. Resident enterprises are defined as enterprises that are established in China in accordance with PRC laws, or that are established in accordance with the laws of foreign countries but are actually or in effect controlled from within the PRC. Non-resident enterprises are defined as enterprises that are organized under the laws of foreign countries and whose actual management is conducted outside the PRC, but have established institutions or premises in the PRC, or have no such established institutions or premises but have income generated from inside the PRC. Under the Enterprise Income Tax Law and implementation regulations, a uniform corporate income tax rate of 25% is applied. However, if non-resident enterprises have not formed permanent establishments or premises in the PRC, or if they have formed permanent establishment or premises in the PRC but there is no actual relationship between the income derived in the PRC and the established institutions or premises set up by them, enterprise income tax is set at the rate of 10% with respect to their income sourced from inside the 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an enterprise certified as a high and new technology enterprise enjoys a reduced enterprise income tax rate of 15%. According to the </w:t>
      </w:r>
      <w:r>
        <w:rPr>
          <w:rFonts w:ascii="Times New Roman;Times;serif" w:hAnsi="Times New Roman;Times;serif"/>
          <w:i/>
          <w:sz w:val="20"/>
        </w:rPr>
        <w:t xml:space="preserve">Administrative Measures for the Certification of High-Tech Enterprises </w:t>
      </w:r>
      <w:r>
        <w:rPr>
          <w:rFonts w:ascii="Times New Roman;Times;serif" w:hAnsi="Times New Roman;Times;serif"/>
          <w:sz w:val="20"/>
        </w:rPr>
        <w:t>amended in January 2016, the provincial counterparts of the Ministry of Science and Technology, the Ministry of Finance and the State Taxation Administration jointly determine whether an enterprise is a High-Tech Enterprise considering the ownership of core technology, whether the main technologies underlying the key products or services fall within the officially supported high-tech fields, the proportion of research and development personnel of the total staff, the proportion of research and development expenditure of total revenue, the proportion of high-tech products or services of total revenue, and other factors prescribed.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Value-added Tax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 xml:space="preserve">Provisional Regulations of the PRC on Value-added Tax </w:t>
      </w:r>
      <w:r>
        <w:rPr>
          <w:rFonts w:ascii="Times New Roman;Times;serif" w:hAnsi="Times New Roman;Times;serif"/>
          <w:sz w:val="20"/>
        </w:rPr>
        <w:t xml:space="preserve">were promulgated by the State Council on December 13, 1993, took effect on January 1, 1994 and were subsequently amended from time to time; and the </w:t>
      </w:r>
      <w:r>
        <w:rPr>
          <w:rFonts w:ascii="Times New Roman;Times;serif" w:hAnsi="Times New Roman;Times;serif"/>
          <w:i/>
          <w:sz w:val="20"/>
        </w:rPr>
        <w:t xml:space="preserve">Detailed Rules for the Implementation of the Provisional Regulations of the PRC on Value-added Tax (Revised in 2011) </w:t>
      </w:r>
      <w:r>
        <w:rPr>
          <w:rFonts w:ascii="Times New Roman;Times;serif" w:hAnsi="Times New Roman;Times;serif"/>
          <w:sz w:val="20"/>
        </w:rPr>
        <w:t xml:space="preserve">were promulgated by the Ministry of Finance on December 25, 1993 and subsequently amended on December 15, 2008 and October 28, 2011, or collectively the VAT Law. On November 19, 2017, the State Council promulgated the </w:t>
      </w:r>
      <w:r>
        <w:rPr>
          <w:rFonts w:ascii="Times New Roman;Times;serif" w:hAnsi="Times New Roman;Times;serif"/>
          <w:i/>
          <w:sz w:val="20"/>
        </w:rPr>
        <w:t>Decisions on Abolishing the Provisional Regulations of the PRC on Business Tax and Amending the Provisional Regulations of the PRC on Value-added Tax</w:t>
      </w:r>
      <w:r>
        <w:rPr>
          <w:rFonts w:ascii="Times New Roman;Times;serif" w:hAnsi="Times New Roman;Times;serif"/>
          <w:sz w:val="20"/>
        </w:rPr>
        <w:t xml:space="preserve">. On March 20, 2019, the Ministry of Finance, the State Taxation Administration and the General Administration of Customs jointly issued the </w:t>
      </w:r>
      <w:r>
        <w:rPr>
          <w:rFonts w:ascii="Times New Roman;Times;serif" w:hAnsi="Times New Roman;Times;serif"/>
          <w:i/>
          <w:sz w:val="20"/>
        </w:rPr>
        <w:t>Announcement on Relevant Policies on Deepen the Reform of Value-added Tax</w:t>
      </w:r>
      <w:r>
        <w:rPr>
          <w:rFonts w:ascii="Times New Roman;Times;serif" w:hAnsi="Times New Roman;Times;serif"/>
          <w:sz w:val="20"/>
        </w:rPr>
        <w:t xml:space="preserve">. According to the VAT Law and the </w:t>
      </w:r>
      <w:r>
        <w:rPr>
          <w:rFonts w:ascii="Times New Roman;Times;serif" w:hAnsi="Times New Roman;Times;serif"/>
          <w:i/>
          <w:sz w:val="20"/>
        </w:rPr>
        <w:t>Decisions on Abolishing the Provisional Regulations of the PRC on Business Tax and Amending the Provisional Regulations of the PRC on Value-added Tax</w:t>
      </w:r>
      <w:r>
        <w:rPr>
          <w:rFonts w:ascii="Times New Roman;Times;serif" w:hAnsi="Times New Roman;Times;serif"/>
          <w:sz w:val="20"/>
        </w:rPr>
        <w:t xml:space="preserve">, all enterprises and individuals engaged in the sale of goods, the provision of processing, repair and replacement services, sales of services, intangible assets, real property and the importation of goods within the territory of the PRC are the taxpayers of value-added tax. According to the </w:t>
      </w:r>
      <w:r>
        <w:rPr>
          <w:rFonts w:ascii="Times New Roman;Times;serif" w:hAnsi="Times New Roman;Times;serif"/>
          <w:i/>
          <w:sz w:val="20"/>
        </w:rPr>
        <w:t>Announcement on Relevant Policies on Deepen the Reform of Value-added Tax</w:t>
      </w:r>
      <w:r>
        <w:rPr>
          <w:rFonts w:ascii="Times New Roman;Times;serif" w:hAnsi="Times New Roman;Times;serif"/>
          <w:sz w:val="20"/>
        </w:rPr>
        <w:t>, the value-added tax rates generally applicable are simplified as 13%, 9%, 6% and 0%, which took effect on April 1, 2019, and the value-added tax rate applicable to the small-scale taxpayers is 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Dividend Withholding Tax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Enterprise Income Tax Law provides that since January 1, 2008, an income tax rate of 10% will normally be applicable to dividends declared to non-PRC resident investors that do not have an establishment or place of business in the PRC, or that have such establishment or place of business but the income is not effectively connected with the establishment or place of business, to the extent such dividends are derived from sources within the 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Arrangement Between the Mainland of China and the Hong Kong Special Administrative Region for the Avoidance of Double Taxation and the Prevention of Fiscal Evasion with Respect to Taxes on Income and Capital, and other applicable PRC laws, if a Hong Kong resident enterprise is determined by the competent PRC tax authority to have satisfied the conditions and requirements under such arrangement and other applicable laws, the 10% withholding tax on the dividends the Hong Kong resident enterprise receives from a PRC resident enterprise may be reduced to 5%. However, based on the Circular on Certain Issues with Respect to the Enforcement of Dividend Provisions in Tax Treaties, or Circular 81, issued on February 20, 2009 by the State Taxation Administration, if the PRC tax authorities determine, in their discretions, that a company benefits from such reduced income tax rate due to a structure or arrangement that is primarily tax-driven, such PRC tax authorities may adjust the preferential tax treatment. According to the Circular on Several Questions regarding the “Beneficial Owner” in Tax Treaties, which was issued on February 3, 2018 by the State Taxation Administration and took effect on April 1, 2018, when determining the applicant’s status as the “beneficial owner” regarding tax treatments in connection with dividends, interests or royalties in the tax treaties, several factors, including, without limitation, whether the applicant is obligated to pay more than 50% of his or her income in twelve months to residents in third country or region, whether the business operated by the applicant constitutes the actual business activities, and whether the counterparty country or region to the tax treaties does not levy any tax or grant any tax exemption on incomes or levy tax at an extremely low rate, will be taken into account, and such factors will be analyzed according to the actual circumstances of the specific cases. This circular further provides that an applicant who intends to prove his or her status as the “beneficial owner” shall submit the documents to the tax bureau according to the Announcement on Issuing the Measures for the Administration of Non-Resident Taxpayers’ Enjoyment of the Treatment under Agreements.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Tax on Indirect Transfer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February 3, 2015, the State Taxation Administration issued the </w:t>
      </w:r>
      <w:r>
        <w:rPr>
          <w:rFonts w:ascii="Times New Roman;Times;serif" w:hAnsi="Times New Roman;Times;serif"/>
          <w:i/>
          <w:sz w:val="20"/>
        </w:rPr>
        <w:t>Circular on Issues of Enterprise Income Tax on Indirect Transfers of Assets by Non-PRC Resident Enterprises</w:t>
      </w:r>
      <w:r>
        <w:rPr>
          <w:rFonts w:ascii="Times New Roman;Times;serif" w:hAnsi="Times New Roman;Times;serif"/>
          <w:sz w:val="20"/>
        </w:rPr>
        <w:t xml:space="preserve">, or the Circular 7, which was latest amended on December 29, 2017. Pursuant to Circular 7, an “indirect 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When determining whether there is a “reasonable commercial purpose” of the transaction arrangement, features to be taken into consideration include, inter alia, whether the main value of the equity interest of the offshore enterprise derives directly or indirectly from PRC taxable assets; whether the assets of the offshore enterprise mainly consists of direct or indirect investment in China or if its income is mainly derived from China; and whether the offshore enterprise and its subsidiaries directly or indirectly holding PRC taxable assets have a real commercial nature which is evidenced by their actual function and risk exposure. According to Circular 7, where the payer fails to withhold any or sufficient tax, the transferor shall declare and pay such tax to the tax authority by itself within the statutory time limit. Circular 7 does not apply to transactions of sale of shares by investors through a public stock exchange where such shares were acquired on a public stock exchange. On October 17, 2017, the State Taxation Administration issued the </w:t>
      </w:r>
      <w:r>
        <w:rPr>
          <w:rFonts w:ascii="Times New Roman;Times;serif" w:hAnsi="Times New Roman;Times;serif"/>
          <w:i/>
          <w:sz w:val="20"/>
        </w:rPr>
        <w:t>Circular on Issues of Tax Withholding regarding Non-PRC Resident Enterprise Income Tax</w:t>
      </w:r>
      <w:r>
        <w:rPr>
          <w:rFonts w:ascii="Times New Roman;Times;serif" w:hAnsi="Times New Roman;Times;serif"/>
          <w:sz w:val="20"/>
        </w:rPr>
        <w:t xml:space="preserve">, or the Circular 37, which was amended by the </w:t>
      </w:r>
      <w:r>
        <w:rPr>
          <w:rFonts w:ascii="Times New Roman;Times;serif" w:hAnsi="Times New Roman;Times;serif"/>
          <w:i/>
          <w:sz w:val="20"/>
        </w:rPr>
        <w:t xml:space="preserve">Announcement of the State Taxation Administration on Revising Certain Taxation Normative Documents </w:t>
      </w:r>
      <w:r>
        <w:rPr>
          <w:rFonts w:ascii="Times New Roman;Times;serif" w:hAnsi="Times New Roman;Times;serif"/>
          <w:sz w:val="20"/>
        </w:rPr>
        <w:t>issued on June 15, 2018 by the State Taxation Administration. The Circular 37 further elaborates the implemental rules regarding the calculation, reporting and payment obligations of the withholding tax by the non-resident enterprises. Nonetheless, there remain uncertainties as to the interpretation and application of Circular 7. Circular 7 may be determined by the tax authorities to be applicable to our offshore transactions or sale of our shares or those of our offshore subsidiaries where non</w:t>
        <w:softHyphen/>
        <w:t>resident enterprises, being the transferors, were involved.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Employment and Social Welfare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Labor Contract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Labor Contract</w:t>
      </w:r>
      <w:r>
        <w:rPr>
          <w:rFonts w:ascii="Times New Roman;Times;serif" w:hAnsi="Times New Roman;Times;serif"/>
          <w:sz w:val="20"/>
        </w:rPr>
        <w:t xml:space="preserve"> </w:t>
      </w:r>
      <w:r>
        <w:rPr>
          <w:rFonts w:ascii="Times New Roman;Times;serif" w:hAnsi="Times New Roman;Times;serif"/>
          <w:i/>
          <w:sz w:val="20"/>
        </w:rPr>
        <w:t>Law of the PRC</w:t>
      </w:r>
      <w:r>
        <w:rPr>
          <w:rFonts w:ascii="Times New Roman;Times;serif" w:hAnsi="Times New Roman;Times;serif"/>
          <w:sz w:val="20"/>
        </w:rPr>
        <w:t xml:space="preserve"> which was promulgated on June 29, 2007 and amended on December 28, 2012, is primarily aimed at regulating rights and obligations of employer and employee relationships, including the establishment, performance and termination of labor contracts. Pursuant to the Labor Contract Law, labor contracts shall be concluded in writing if labor relationships are to be or have been established between employers and employees. Employers are prohibited from forcing employees to work above certain time limits and employers shall pay employees for overtime work in accordance with national regulations. In addition, employee wages shall be no lower than local standards on minimum wages and must be paid to employees in a timely manner.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Interim Provisions on Labor Dispatch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w:t>
      </w:r>
      <w:r>
        <w:rPr>
          <w:rFonts w:ascii="Times New Roman;Times;serif" w:hAnsi="Times New Roman;Times;serif"/>
          <w:i/>
          <w:sz w:val="20"/>
        </w:rPr>
        <w:t>Interim Provisions on Labor Dispatch</w:t>
      </w:r>
      <w:r>
        <w:rPr>
          <w:rFonts w:ascii="Times New Roman;Times;serif" w:hAnsi="Times New Roman;Times;serif"/>
          <w:sz w:val="20"/>
        </w:rPr>
        <w:t xml:space="preserve"> promulgated by the Ministry of Human Resources and Social Security on January 24, 2014, which took effect on March 1, 2014, dispatched workers are entitled to equal pay with full-time employees for equal work. Employers are allowed to use dispatched workers for temporary, auxiliary or substitutive positions, and the number of dispatched workers may not exceed 10% of the total number of employees. Pursuant to the Labor Contract Law, if the employer violates the labor dispatch regulations, the labor administrative department shall order it to make corrections within a prescribed time limit; if it fails to make corrections within the time limit, a fine of more than RMB5,000 but less than RMB10,000 per person will be imposed on the employer.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Social Insurance and Housing Fund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required under the Regulation of Insurance for Labor Injury implemented on January 1, 2004 and amended in 2010, the Provisional Measures for Maternity Insurance of Employees of Corporations implemented on January 1, 1995, the Decisions on the Establishment of a Unified Program for Old-Aged Pension Insurance of the State Council issued on July 16, 1997, the Decisions on the Establishment of the Medical Insurance Program for Urban Workers of the State Council promulgated on December 14, 1998, the Unemployment Insurance Measures promulgated on January 22, 1999 and the Social Insurance Law of the PRC implemented on July 1, 2011 and amended on December 29, 2018, employers are required to provide their employees in the PRC with welfare benefits covering pension insurance, unemployment insurance, maternity insurance, work-related injury insurance and medical insurance. These payments are made to local administrative authorities. Any employer that fails to make social insurance contributions may be ordered to rectify the non-compliance and pay the required contributions within a prescribed time limit and be subject to a late fee. If the employer still fails to rectify the failure to make the contributions within the prescribed time, it may be subject to a fine ranging from one to three times the amount overdue.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accordance with the </w:t>
      </w:r>
      <w:r>
        <w:rPr>
          <w:rFonts w:ascii="Times New Roman;Times;serif" w:hAnsi="Times New Roman;Times;serif"/>
          <w:i/>
          <w:sz w:val="20"/>
        </w:rPr>
        <w:t>Regulations on the Administration of Housing Funds</w:t>
      </w:r>
      <w:r>
        <w:rPr>
          <w:rFonts w:ascii="Times New Roman;Times;serif" w:hAnsi="Times New Roman;Times;serif"/>
          <w:sz w:val="20"/>
        </w:rPr>
        <w:t xml:space="preserve"> which were promulgated by the State Council in 1999 and latest amended in March 2019, employers must register at the designated administrative centers and open bank accounts for depositing employees’ housing funds. Employer and employee are also required to pay and deposit housing funds, with an amount no less than 5% of the monthly average salary of the employee in the preceding year in full and on time. See “Item 3. Key Information—D. Risk Factors—Risks Related to Doing Business in China—Increases in labor costs and enforcement of stricter labor laws and regulations in the PRC may adversely affect our business and our profitability.”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Employee Stock Incentive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Notice of Issues Related to the Foreign Exchange Administration for Domestic Individuals Participating in Stock Incentive Plan of Overseas Listed Company, which was issued by the SAFE on February 15, 2012, employees, directors, supervisors, and other senior management who participate in any stock incentive plan of a publicly-listed overseas company and who are PRC citizens or non-PRC citizens residing in China for a continuous period of no less than one year, subject to a few exceptions, are required to register with the SAFE through a qualified domestic agent, which may be a PRC subsidiary of such overseas listed company, and complete certain other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State Taxation Administration has issued certain circulars concerning employee stock options and restricted shares. Under these circulars, employees working in the PRC who exercise stock options or are granted restricted shares will be subject to PRC individual income tax. The PRC subsidiaries of an overseas listed company are required to file documents related to employee stock options and restricted shares with tax authorities and to withhold individual income taxes of employees who exercise their stock options or purchase restricted shares. If the employees fail to pay or the PRC subsidiaries fail to withhold income tax in accordance with laws and regulations, the PRC subsidiaries may face sanctions imposed by the tax authorities or other PRC governmental authorities.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M&amp;A Rules and Overseas Listing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August 8, 2006, six PRC governmental and regulatory agencies, including the Ministry of Commerce and the CSRC, promulgated the </w:t>
      </w:r>
      <w:r>
        <w:rPr>
          <w:rFonts w:ascii="Times New Roman;Times;serif" w:hAnsi="Times New Roman;Times;serif"/>
          <w:i/>
          <w:sz w:val="20"/>
        </w:rPr>
        <w:t>Regulations on Mergers and Acquisitions of Domestic Enterprises by Foreign Investors</w:t>
      </w:r>
      <w:r>
        <w:rPr>
          <w:rFonts w:ascii="Times New Roman;Times;serif" w:hAnsi="Times New Roman;Times;serif"/>
          <w:sz w:val="20"/>
        </w:rPr>
        <w:t>, governing the mergers and acquisitions of domestic enterprises by foreign investors that took effect on September 8, 2006 and was revised on June 22, 2009. These rules, among other things, require that if an overseas company established or controlled by PRC companies or individuals, intends to acquire equity interests or assets of any other PRC domestic company affiliated with the PRC companies or individuals, such acquisition must be submitted to the Ministry of Commerce for approval. These rules also require that an offshore special vehicle, or a special purpose vehicle formed for overseas listing purposes and controlled directly or indirectly by the PRC companies or individuals, shall obtain the approval of the CSRC prior to overseas listing and trading of such special purpose vehicle’s securities on an overseas stock exchange.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February 17, 2023, the CSRC released the Trial Administrative Measures of Overseas Securities Offering and Listing by Domestic Companies and five supporting guidelines, which took effect on March 31, 2023. Further, on May 16, 2023 and May 6, 2024, the CSRC released the sixth and the seventh supporting guideline. According to these rules, the issuer or a major domestic operating company designated by the issuer, as the case may be, shall file with the CSRC, among other things, (i) with respect to its follow-on offering in the same foreign market within three business days after completion of the follow-on offering, and (ii) with respect to its follow-on offering and listing in other foreign markets within three business days, after its initial filing of the listing application to the regulator in the place of such intended listing. Non-compliance with these rules or an overseas listing completed in breach of these rules may result in a warning on the domestic companies and a fine of RMB1 million to RMB10 million on them. Furthermore, the supervisors directly responsible and other directly responsible persons of the domestic enterprises may be warned, and fined between RMB500,000 to RMB5,000,000. The controlling shareholders or actual controllers of the domestic company organize or instigate the illegal acts, or conceal matters resulting in the illegal acts, may be fined between RMB1 million to RMB10 million. On February 17, 2023, the CSRC issued the </w:t>
      </w:r>
      <w:r>
        <w:rPr>
          <w:rFonts w:ascii="Times New Roman;Times;serif" w:hAnsi="Times New Roman;Times;serif"/>
          <w:i/>
          <w:sz w:val="20"/>
        </w:rPr>
        <w:t>Notice on Administrative Arrangements for the Filing of Domestic Enterprise’s Overseas Offering and Listing</w:t>
      </w:r>
      <w:r>
        <w:rPr>
          <w:rFonts w:ascii="Times New Roman;Times;serif" w:hAnsi="Times New Roman;Times;serif"/>
          <w:sz w:val="20"/>
        </w:rPr>
        <w:t>, which stipulates the domestic enterprises have completed overseas listings are not required to file with CSRC in accordance with these rules immediately, but shall carry out filing procedures as required if they conduct refinancing or fall within other circumstances that require filing with the CSRC.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24, 2023, the CSRC and several other administrations jointly released the Provisions on Strengthening Confidentiality and Archives Administration of Overseas Securities Offering and Listing by Domestic Companies, which took effect on March 31, 2023. These rules apply to both overseas direct offerings and overseas indirect offerings. These rules provide that, among other things, (i) in relation to the overseas listing activities of domestic enterprises, the domestic enterprises are required to strictly comply with the requirements on confidentiality and archives management, establish a sound confidentiality and archives system, and take necessary measures to implement their confidentiality and archives management responsibilities; (ii) during the course of an overseas offering and listing, if a domestic enterprise needs to publicly disclose or provide to securities companies, accounting firms or other securities service providers and overseas regulators, any materials that contain state secrets or that have a sensitive impact (i.e., be detrimental to national security or the public interest if divulged), the domestic enterprise should complete the approval/filing and other regulatory procedures; and (iii) working papers produced in the PRC by securities companies and securities service institutions, which provide domestic enterprises with securities services during their overseas issuance and listing, should be stored in the PRC, and the transmission of all such working papers to recipients outside of the PRC is required to be approved by competent authorities of the PRC.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Organizational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diagram illustrates our corporate structure, including our principal subsidiaries and the VIEs, as of the date of this annual report:</w:t>
      </w:r>
    </w:p>
    <w:p>
      <w:pPr>
        <w:pStyle w:val="TextBody"/>
        <w:bidi w:val="0"/>
        <w:spacing w:before="0" w:after="240"/>
        <w:ind w:left="0" w:right="0" w:hanging="0"/>
        <w:jc w:val="center"/>
        <w:rPr/>
      </w:pPr>
      <w:r>
        <w:rPr/>
        <w:drawing>
          <wp:inline distT="0" distB="0" distL="0" distR="0">
            <wp:extent cx="6534785" cy="612013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6534785" cy="6120130"/>
                    </a:xfrm>
                    <a:prstGeom prst="rect">
                      <a:avLst/>
                    </a:prstGeom>
                  </pic:spPr>
                </pic:pic>
              </a:graphicData>
            </a:graphic>
          </wp:inline>
        </w:drawing>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Contractual Agreements with the VIEs and Their Shareholders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April 2018, we entered into a series of contractual arrangements through one of our PRC subsidiaries with Beijing NIO and its shareholders, which was then replaced by a new set of contractual arrangements we entered into with the same parties in April 2021. Further, on November 30, 2022 and December 12, 2022, we entered into a series of contractual agreements through our respective PRC subsidiaries with each of Anhui NIO AT and Anhui NIO DT, respectively, and their respective shareholders.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summary of the contractual agreements by and among Shanghai NIO, Beijing NIO and the shareholders of Beijing NIO. The terms of the contractual agreements with the same title between (i) Anhui NIO AD, Anhui NIO AT and the shareholders of Anhui NIO AT, and (ii) NIO China, Anhui NIO DT and the shareholders of Anhui NIO DT are substantially the same as those described below, except for, among other things, the amount of the loans to the shareholders of each VIE and the amount of service fees to be paid. We believe that the shareholders of all the VIEs will not receive any personal benefits from these agreements except as shareholders of our company.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Exclusive Business Cooperation Agreement between Shanghai NIO and Beijing NIO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exclusive business cooperation agreement dated April 12, 2021, between Shanghai NIO and Beijing NIO, in exchange for a monthly service fee, Beijing NIO agreed to engage the Shanghai NIO as its exclusive provider of technical support, consultation and other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agreement, the service fee shall consist of 100% of the total consolidated profit of Beijing NIO, after the deduction of any accumulated deficit of Beijing NIO in respect of the preceding financial year(s), operating costs, expenses, taxes and other statutory contributions. Notwithstanding the foregoing, Shanghai NIO may adjust the scope and amount of services fees according to mainland China tax law and tax practices, and Beijing NIO will accept such adjustments. Shanghai NIO shall calculate the service fee on a monthly basis and issue a corresponding invoice to Beijing NIO. Notwithstanding the payment arrangements in the agreement, Shanghai NIO may adjust the payment time and payment method, and Beijing NIO will accept any such adjustment.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absent the prior written consent of Shanghai NIO, during the term of the agreement, with respect to the services subject to the agreement and other matters, Beijing NIO shall not directly or indirectly accept the same or any similar services provided by any third party and shall not establish cooperation relationships similar to that formed by the agreement with any third party. Shanghai NIO may appoint other parties, who may enter into certain agreements with Beijing NIO, to provide Beijing NIO with the services under the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agreement also provides that Shanghai NIO has the exclusive proprietary rights to and interests in any and all intellectual property rights developed or created by Beijing NIO during the performance of the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agreement shall remain effective unless terminated (a) in accordance with the provisions of the agreement; (b) in writing by the Shanghai NIO; or (c) renewal of the expired business period of either Shanghai NIO or Beijing NIO is denied by government authorities, at which time the agreement will terminate upon termination of that business period.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Exclusive Option Agreements between Shanghai NIO, Registered Shareholders and Beijing NIO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exclusive option agreement, dated April 12, 2021, was executed among Shanghai NIO, Beijing NIO and the shareholders of Beijing NIO, namely Mr. Bin Li and Mr. Lihong Qin. We refer to Mr. Li and Mr. Qin as the Registered Shareholders. Under the exclusive option agreement, Shanghai NIO has the rights to require the Registered Shareholders to transfer any or all their equity interests in Beijing NIO to Shanghai NIO and/or a third party designated by it, in whole or in part at any time and from time to time, for considerations equivalent to the respectively outstanding loans owed to the Registered Shareholders (or part of the loan amounts in proportion to the equity interests being transferred) or, if applicable, for a nominal price, unless the government authorities or the mainland China laws request that another amount be used as the purchase price, in which case the purchase price shall be the lowest amount under such request.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Beijing NIO and the Registered Shareholders, and Registered Shareholders, separately, have made a series of covenants and undertakings to ensure that Shanghai NIO retains control over all material respects of the operation and governance of Beijing NIO.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Registered Shareholders have also undertaken that, subject to the laws and regulations, they will return to Shanghai NIO any consideration they receive in the event that Shanghai NIO exercises the options under the exclusive option agreement to acquire the equity interests in Beijing NIO.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exclusive option agreement shall remain effective unless terminated in the event that the entire equity interests held by the Registered Shareholders in Beijing NIO have been transferred to Shanghai NIO or its appointee(s).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Equity Pledge Agreements between Shanghai NIO, Registered Shareholders and Beijing NIO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equity pledge agreement dated April 12, 2021, entered into between Shanghai NIO, the Registered Shareholders and Beijing NIO, the Registered Shareholders agreed to pledge all their respective equity interests in Beijing NIO that they own, including any interest or dividend paid for the shares, to Shanghai NIO as a security interest to guarantee the performance of contractual obligations and the payment of outstanding debts.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pledge in respect of Beijing NIO takes effect upon the completion of registration with the administration for industry and commerce and shall remain valid until after all the contractual obligations of the Registered Shareholders and Beijing NIO under the contractual arrangements have been fully performed and all the outstanding debts of the Registered Shareholders and Beijing NIO under the contractual arrangements have been fully paid.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Upon the occurrence and during the continuance of an event of default (as defined in the equity pledge agreements), Shanghai NIO shall have the right to require Beijing NIO’s shareholders (i.e., the Registered Shareholders) to immediately pay any amount payable by Beijing NIO under the Exclusive Business Cooperation Agreement, repay any loans and pay any other due payments, and Shanghai NIO shall have the right to exercise all such rights as a secured party under any applicable mainland China law and the equity pledge agreements, including without limitations, being paid in priority with the equity interests based on the monetary valuation that such equity interests are converted into or from the proceeds from auction or sale of the equity interest upon written notice to the Registered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registration of the equity pledge agreement as required by the laws and regulations has been completed in accordance with the terms of the equity pledge agreements and the PRC laws and regulations.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Power of Attorney by Registered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Registered Shareholders have executed powers of attorney dated April 12, 2021. Under the powers of attorney, the Registered Shareholders irrevocably appointed Shanghai NIO and their designated persons (including but not limited to directors and their successors and liquidators replacing the directors but excluding those non-independent or who may give rise to conflict of interests) as their attorneys-in-fact to exercise on their behalf, and agreed and undertook not to exercise without such attorneys-in-fact’s prior written consent, any and all right that they have in respect of their equity interests in Beijing NIO, including without limitation: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to convene and attend shareholders’ meetings of Beijing NIO;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to file documents with the companies registry;</w:t>
      </w:r>
    </w:p>
    <w:tbl>
      <w:tblPr>
        <w:tblW w:w="10205" w:type="dxa"/>
        <w:jc w:val="left"/>
        <w:tblInd w:w="0" w:type="dxa"/>
        <w:tblLayout w:type="fixed"/>
        <w:tblCellMar>
          <w:top w:w="0" w:type="dxa"/>
          <w:left w:w="0" w:type="dxa"/>
          <w:bottom w:w="0" w:type="dxa"/>
          <w:right w:w="0" w:type="dxa"/>
        </w:tblCellMar>
      </w:tblPr>
      <w:tblGrid>
        <w:gridCol w:w="124"/>
        <w:gridCol w:w="371"/>
        <w:gridCol w:w="9710"/>
      </w:tblGrid>
      <w:tr>
        <w:trPr/>
        <w:tc>
          <w:tcPr>
            <w:tcW w:w="12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(iii)</w:t>
            </w:r>
          </w:p>
        </w:tc>
        <w:tc>
          <w:tcPr>
            <w:tcW w:w="971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exercise all shareholder’s rights and shareholder’s voting rights in accordance with law and the constitutional documents of Beijing NIO, including but not limited to the sale, transfer, pledge or disposal of any or all of the equity interests in Beijing NIO;</w:t>
            </w:r>
          </w:p>
        </w:tc>
      </w:tr>
    </w:tbl>
    <w:tbl>
      <w:tblPr>
        <w:tblW w:w="10205" w:type="dxa"/>
        <w:jc w:val="left"/>
        <w:tblInd w:w="0" w:type="dxa"/>
        <w:tblLayout w:type="fixed"/>
        <w:tblCellMar>
          <w:top w:w="0" w:type="dxa"/>
          <w:left w:w="0" w:type="dxa"/>
          <w:bottom w:w="0" w:type="dxa"/>
          <w:right w:w="0" w:type="dxa"/>
        </w:tblCellMar>
      </w:tblPr>
      <w:tblGrid>
        <w:gridCol w:w="124"/>
        <w:gridCol w:w="369"/>
        <w:gridCol w:w="9712"/>
      </w:tblGrid>
      <w:tr>
        <w:trPr/>
        <w:tc>
          <w:tcPr>
            <w:tcW w:w="12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(iv)</w:t>
            </w:r>
          </w:p>
        </w:tc>
        <w:tc>
          <w:tcPr>
            <w:tcW w:w="97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execute any and all written resolutions and meeting minutes and to approve the amendments to the articles of associations in the name and on behalf of such shareholder; and</w:t>
            </w:r>
          </w:p>
        </w:tc>
      </w:tr>
    </w:tbl>
    <w:tbl>
      <w:tblPr>
        <w:tblW w:w="10205" w:type="dxa"/>
        <w:jc w:val="left"/>
        <w:tblInd w:w="0" w:type="dxa"/>
        <w:tblLayout w:type="fixed"/>
        <w:tblCellMar>
          <w:top w:w="0" w:type="dxa"/>
          <w:left w:w="0" w:type="dxa"/>
          <w:bottom w:w="0" w:type="dxa"/>
          <w:right w:w="0" w:type="dxa"/>
        </w:tblCellMar>
      </w:tblPr>
      <w:tblGrid>
        <w:gridCol w:w="124"/>
        <w:gridCol w:w="319"/>
        <w:gridCol w:w="9762"/>
      </w:tblGrid>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(v)</w:t>
            </w:r>
          </w:p>
        </w:tc>
        <w:tc>
          <w:tcPr>
            <w:tcW w:w="97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nominate, appoint or remove the legal representatives, directors, supervisors, general manager and other senior management of Beijing NIO.</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 the powers of attorney shall remain effective for so long as each shareholder holds an equity interest in Beijing NIO.</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Loan Agreements between Shanghai NIO and Registered Shareholders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Shanghai NIO and the Registered Shareholders entered into a loan agreement dated April 12, 2021, pursuant to which Shanghai NIO agreed to provide loans to the Registered Shareholders, to be used exclusively as investment in Beijing NIO. The loans must not be used for any other purposes without the lender’s prior written consent.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term of each loan commences from the date of the agreement and ends on the date the lender exercises its exclusive call option under the Exclusive Option Agreement, or when certain defined termination events occur, such as if the lender sends a written notice demanding repayment to the borrower, or upon the default of the borrower, whichever is earlier.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After the lender exercises his exclusive call option, the borrower may repay the loan by transferring all of its equity interest in Beijing NIO to the lender, or a person or entity nominated by the lender, and use the proceeds of such transfer as repayment of the loan. If the proceeds of such transfer are equal to or less than the principal of the loan under the Loan Agreement, the loan is considered interest-free. If the proceeds of such transfer are higher than the principal of the loan under the Loan Agreement, any surplus is considered interest for the loan under the Loan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opinion of Han Kun Law Offices, our PRC legal counsel:</w:t>
      </w:r>
    </w:p>
    <w:tbl>
      <w:tblPr>
        <w:tblW w:w="10205" w:type="dxa"/>
        <w:jc w:val="left"/>
        <w:tblInd w:w="0" w:type="dxa"/>
        <w:tblLayout w:type="fixed"/>
        <w:tblCellMar>
          <w:top w:w="0" w:type="dxa"/>
          <w:left w:w="0" w:type="dxa"/>
          <w:bottom w:w="0" w:type="dxa"/>
          <w:right w:w="0" w:type="dxa"/>
        </w:tblCellMar>
      </w:tblPr>
      <w:tblGrid>
        <w:gridCol w:w="124"/>
        <w:gridCol w:w="231"/>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98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each of the agreements comprising the contractual arrangements is legal, valid and binding on the parties thereto, enforceable under applicable PRC laws and regulations, except that (a) the contractual arrangements provide that the arbitral body may award remedies over the shares and/or assets or award injunctive relief and/or order the winding up of Beijing NIO, and that courts of competent jurisdictions are empowered to grant interim remedies in support of the arbitration pending the formation of an arbitral tribunal or in appropriate cases, while under PRC laws and regulations, an arbitral body has no power to grant injunctive relief or to order an entity to wind up, and the aforesaid interim remedies granted by competent courts may not be recognizable or enforceable in the PRC; and (b) the contractual arrangements provide that the Registered Shareholders undertake to appoint committees designated by Shanghai NIO as the liquidation committee upon the winding up of Beijing NIO to manage its assets; however, in the event of a mandatory liquidation required by PRC laws and regulations, these provisions may not be enforceable;</w:t>
            </w:r>
          </w:p>
        </w:tc>
      </w:tr>
    </w:tbl>
    <w:tbl>
      <w:tblPr>
        <w:tblW w:w="10205" w:type="dxa"/>
        <w:jc w:val="left"/>
        <w:tblInd w:w="0" w:type="dxa"/>
        <w:tblLayout w:type="fixed"/>
        <w:tblCellMar>
          <w:top w:w="0" w:type="dxa"/>
          <w:left w:w="0" w:type="dxa"/>
          <w:bottom w:w="0" w:type="dxa"/>
          <w:right w:w="0" w:type="dxa"/>
        </w:tblCellMar>
      </w:tblPr>
      <w:tblGrid>
        <w:gridCol w:w="124"/>
        <w:gridCol w:w="324"/>
        <w:gridCol w:w="9757"/>
      </w:tblGrid>
      <w:tr>
        <w:trPr/>
        <w:tc>
          <w:tcPr>
            <w:tcW w:w="1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each of the agreements comprising the contractual arrangements does not violate the provisions of the articles of associations of Shanghai NIO and Beijing NIO, respectively; and</w:t>
            </w:r>
          </w:p>
        </w:tc>
      </w:tr>
    </w:tbl>
    <w:tbl>
      <w:tblPr>
        <w:tblW w:w="10205" w:type="dxa"/>
        <w:jc w:val="left"/>
        <w:tblInd w:w="0" w:type="dxa"/>
        <w:tblLayout w:type="fixed"/>
        <w:tblCellMar>
          <w:top w:w="0" w:type="dxa"/>
          <w:left w:w="0" w:type="dxa"/>
          <w:bottom w:w="0" w:type="dxa"/>
          <w:right w:w="0" w:type="dxa"/>
        </w:tblCellMar>
      </w:tblPr>
      <w:tblGrid>
        <w:gridCol w:w="124"/>
        <w:gridCol w:w="354"/>
        <w:gridCol w:w="9727"/>
      </w:tblGrid>
      <w:tr>
        <w:trPr/>
        <w:tc>
          <w:tcPr>
            <w:tcW w:w="12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(iii)</w:t>
            </w:r>
          </w:p>
        </w:tc>
        <w:tc>
          <w:tcPr>
            <w:tcW w:w="97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no approval or authorization from the PRC governmental authorities are required for entering into and the performance of the contractual arrangements except that (a) the pledge of any equity interest in Beijing NIO for the benefit of Shanghai NIO is subject to registration requirements with the governmental authority which has been duly completed; (b) the exercise of any exclusive option rights by Shanghai NIO under the exclusive option agreements may subject to the approval, filing or registration requirements with the authorities under the then prevailing PRC laws and regulations; and (c) the arbitration awards/interim remedies provided under the dispute resolution provision of the contractual arrangements shall be recognized by competent courts before compulsory enforcement.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 description of the risks related to our corporate structure, please see “Item 3. Key Information—D. Risk Factors—Risks Related to Our Corporate Structure.”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Property, Plants and Equipment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Currently, we own land use rights with respect to a parcel of land in Nanjing of approximately 355,297 square meters and the ownership with respect to the plant thereon for a term ending on March 10, 2063, which are used for the manufacture of our electric powertrains. As of December 31, 2024, we also leased a number of our facilities in various cities in China, mainly facilities we use for user centers, warehouses, power management centers and sales, marketing, manufacture and customer service, with an aggregated floor area of approximately 4,465,197 square meters. As of December 31, 2024, we leased property in North America for our North American headquarters and global software development center and our marketing, light assembly, research and development center with an aggregate floor area of 201,825 square feet; we leased properties in Europe for management, engineering and storage, design headquarters, and sales and marketing with an aggregate floor area of approximately 314,095 square meters.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0" w:name="ITEM4AUNRESOLVEDSTAFFCOMMENTS_923733"/>
      <w:bookmarkStart w:id="81" w:name="_f270373f_1c47_47da_b9b6_68522bc2a29d"/>
      <w:bookmarkEnd w:id="80"/>
      <w:bookmarkEnd w:id="81"/>
      <w:r>
        <w:rPr>
          <w:rFonts w:ascii="Times New Roman;Times;serif" w:hAnsi="Times New Roman;Times;serif"/>
          <w:b/>
          <w:sz w:val="20"/>
        </w:rPr>
        <w:t>ITEM 4A.      UNRESOLVED STAFF COMMENTS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2" w:name="ITEM5OPERATINGANDFINANCIALREVIEWANDPROSP"/>
      <w:bookmarkStart w:id="83" w:name="_9682e221_0d39_4bfc_98b3_4ecf7bd67ce8"/>
      <w:bookmarkEnd w:id="82"/>
      <w:bookmarkEnd w:id="83"/>
      <w:r>
        <w:rPr>
          <w:rFonts w:ascii="Times New Roman;Times;serif" w:hAnsi="Times New Roman;Times;serif"/>
          <w:b/>
          <w:sz w:val="20"/>
        </w:rPr>
        <w:t>ITEM 5.        OPERATING AND FINANCIAL REVIEW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discussion of our financial condition and results of operations is based upon and should be read in conjunction with our consolidated financial statements and their related notes included elsewhere in this annual report. This annual report contains forward-looking statements. See “Forward-Looking Information.”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Operating Results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pioneer and a leading company in the global smart electric vehicle market. We aspire to shape a sustainable and brighter future with the mission of “Blue Sky Coming”. We envision ourselves as a user enterprise where innovative technology meets experience excellence. We design, develop, manufacture and sell smart electric vehicles, driving innovations in next-generation core technologies. We distinguish ourselves through continuous technological breakthroughs and innovations, exceptional products and services, and a community for shared growth. We provide premium smart electric vehicles under the NIO brand, family-oriented smart electric vehicles through the ONVO brand, and small smart high-end electric cars with the FIREFLY brand.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2024, we delivered 221,970 vehicles, including 201,209 vehicles from our premium smart electric vehicle brand NIO, and 20,761 vehicles from our family-oriented smart electric vehicle brand ONVO.</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Key Line Items Affecting Our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presents our revenue components by amount and as a percentage of the total revenues for the periods indicated.</w:t>
      </w:r>
    </w:p>
    <w:p>
      <w:pPr>
        <w:pStyle w:val="TextBody"/>
        <w:bidi w:val="0"/>
        <w:spacing w:before="0" w:after="0"/>
        <w:ind w:left="0" w:right="0" w:hanging="0"/>
        <w:jc w:val="both"/>
        <w:rPr/>
      </w:pPr>
      <w:r>
        <w:rPr/>
        <w:t>​</w:t>
      </w:r>
    </w:p>
    <w:tbl>
      <w:tblPr>
        <w:tblW w:w="8740" w:type="dxa"/>
        <w:jc w:val="left"/>
        <w:tblInd w:w="0" w:type="dxa"/>
        <w:tblLayout w:type="fixed"/>
        <w:tblCellMar>
          <w:top w:w="0" w:type="dxa"/>
          <w:left w:w="0" w:type="dxa"/>
          <w:bottom w:w="0" w:type="dxa"/>
          <w:right w:w="0" w:type="dxa"/>
        </w:tblCellMar>
      </w:tblPr>
      <w:tblGrid>
        <w:gridCol w:w="1246"/>
        <w:gridCol w:w="326"/>
        <w:gridCol w:w="916"/>
        <w:gridCol w:w="326"/>
        <w:gridCol w:w="511"/>
        <w:gridCol w:w="326"/>
        <w:gridCol w:w="916"/>
        <w:gridCol w:w="326"/>
        <w:gridCol w:w="511"/>
        <w:gridCol w:w="326"/>
        <w:gridCol w:w="916"/>
        <w:gridCol w:w="326"/>
        <w:gridCol w:w="826"/>
        <w:gridCol w:w="326"/>
        <w:gridCol w:w="616"/>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791210" cy="175895"/>
                      <wp:effectExtent l="0" t="0" r="0" b="0"/>
                      <wp:wrapNone/>
                      <wp:docPr id="8" name="Frame5"/>
                      <a:graphic xmlns:a="http://schemas.openxmlformats.org/drawingml/2006/main">
                        <a:graphicData uri="http://schemas.microsoft.com/office/word/2010/wordprocessingShape">
                          <wps:wsp>
                            <wps:cNvSpPr txBox="1"/>
                            <wps:spPr>
                              <a:xfrm>
                                <a:off x="0" y="0"/>
                                <a:ext cx="7912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895"/>
                      <wp:effectExtent l="0" t="0" r="0" b="0"/>
                      <wp:wrapNone/>
                      <wp:docPr id="9" name="Frame6"/>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81660" cy="175895"/>
                      <wp:effectExtent l="0" t="0" r="0" b="0"/>
                      <wp:wrapNone/>
                      <wp:docPr id="10" name="Frame7"/>
                      <a:graphic xmlns:a="http://schemas.openxmlformats.org/drawingml/2006/main">
                        <a:graphicData uri="http://schemas.microsoft.com/office/word/2010/wordprocessingShape">
                          <wps:wsp>
                            <wps:cNvSpPr txBox="1"/>
                            <wps:spPr>
                              <a:xfrm>
                                <a:off x="0" y="0"/>
                                <a:ext cx="5816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895"/>
                      <wp:effectExtent l="0" t="0" r="0" b="0"/>
                      <wp:wrapNone/>
                      <wp:docPr id="11" name="Frame8"/>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324485" cy="175895"/>
                      <wp:effectExtent l="0" t="0" r="0" b="0"/>
                      <wp:wrapNone/>
                      <wp:docPr id="12" name="Frame9"/>
                      <a:graphic xmlns:a="http://schemas.openxmlformats.org/drawingml/2006/main">
                        <a:graphicData uri="http://schemas.microsoft.com/office/word/2010/wordprocessingShape">
                          <wps:wsp>
                            <wps:cNvSpPr txBox="1"/>
                            <wps:spPr>
                              <a:xfrm>
                                <a:off x="0" y="0"/>
                                <a:ext cx="3244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895"/>
                      <wp:effectExtent l="0" t="0" r="0" b="0"/>
                      <wp:wrapNone/>
                      <wp:docPr id="13" name="Frame10"/>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81660" cy="175895"/>
                      <wp:effectExtent l="0" t="0" r="0" b="0"/>
                      <wp:wrapNone/>
                      <wp:docPr id="14" name="Frame11"/>
                      <a:graphic xmlns:a="http://schemas.openxmlformats.org/drawingml/2006/main">
                        <a:graphicData uri="http://schemas.microsoft.com/office/word/2010/wordprocessingShape">
                          <wps:wsp>
                            <wps:cNvSpPr txBox="1"/>
                            <wps:spPr>
                              <a:xfrm>
                                <a:off x="0" y="0"/>
                                <a:ext cx="5816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895"/>
                      <wp:effectExtent l="0" t="0" r="0" b="0"/>
                      <wp:wrapNone/>
                      <wp:docPr id="15" name="Frame12"/>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24485" cy="175895"/>
                      <wp:effectExtent l="0" t="0" r="0" b="0"/>
                      <wp:wrapNone/>
                      <wp:docPr id="16" name="Frame13"/>
                      <a:graphic xmlns:a="http://schemas.openxmlformats.org/drawingml/2006/main">
                        <a:graphicData uri="http://schemas.microsoft.com/office/word/2010/wordprocessingShape">
                          <wps:wsp>
                            <wps:cNvSpPr txBox="1"/>
                            <wps:spPr>
                              <a:xfrm>
                                <a:off x="0" y="0"/>
                                <a:ext cx="3244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895"/>
                      <wp:effectExtent l="0" t="0" r="0" b="0"/>
                      <wp:wrapNone/>
                      <wp:docPr id="17" name="Frame14"/>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81660" cy="175895"/>
                      <wp:effectExtent l="0" t="0" r="0" b="0"/>
                      <wp:wrapNone/>
                      <wp:docPr id="18" name="Frame15"/>
                      <a:graphic xmlns:a="http://schemas.openxmlformats.org/drawingml/2006/main">
                        <a:graphicData uri="http://schemas.microsoft.com/office/word/2010/wordprocessingShape">
                          <wps:wsp>
                            <wps:cNvSpPr txBox="1"/>
                            <wps:spPr>
                              <a:xfrm>
                                <a:off x="0" y="0"/>
                                <a:ext cx="5816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895"/>
                      <wp:effectExtent l="0" t="0" r="0" b="0"/>
                      <wp:wrapNone/>
                      <wp:docPr id="19" name="Frame16"/>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24510" cy="175895"/>
                      <wp:effectExtent l="0" t="0" r="0" b="0"/>
                      <wp:wrapNone/>
                      <wp:docPr id="20" name="Frame17"/>
                      <a:graphic xmlns:a="http://schemas.openxmlformats.org/drawingml/2006/main">
                        <a:graphicData uri="http://schemas.microsoft.com/office/word/2010/wordprocessingShape">
                          <wps:wsp>
                            <wps:cNvSpPr txBox="1"/>
                            <wps:spPr>
                              <a:xfrm>
                                <a:off x="0" y="0"/>
                                <a:ext cx="5245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895"/>
                      <wp:effectExtent l="0" t="0" r="0" b="0"/>
                      <wp:wrapNone/>
                      <wp:docPr id="21" name="Frame18"/>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91160" cy="175895"/>
                      <wp:effectExtent l="0" t="0" r="0" b="0"/>
                      <wp:wrapNone/>
                      <wp:docPr id="22" name="Frame19"/>
                      <a:graphic xmlns:a="http://schemas.openxmlformats.org/drawingml/2006/main">
                        <a:graphicData uri="http://schemas.microsoft.com/office/word/2010/wordprocessingShape">
                          <wps:wsp>
                            <wps:cNvSpPr txBox="1"/>
                            <wps:spPr>
                              <a:xfrm>
                                <a:off x="0" y="0"/>
                                <a:ext cx="3911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center"/>
              <w:rPr/>
            </w:pPr>
            <w:r>
              <w:rPr/>
              <w:t>​</w:t>
            </w:r>
          </w:p>
        </w:tc>
        <w:tc>
          <w:tcPr>
            <w:tcW w:w="7168" w:type="dxa"/>
            <w:gridSpan w:val="13"/>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124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center"/>
              <w:rPr/>
            </w:pPr>
            <w:r>
              <w:rPr/>
              <w:t>​</w:t>
            </w:r>
          </w:p>
        </w:tc>
        <w:tc>
          <w:tcPr>
            <w:tcW w:w="1753" w:type="dxa"/>
            <w:gridSpan w:val="3"/>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1" w:after="1"/>
              <w:ind w:left="0" w:right="0" w:hanging="0"/>
              <w:jc w:val="center"/>
              <w:rPr/>
            </w:pPr>
            <w:r>
              <w:rPr/>
              <w:t>​</w:t>
            </w:r>
          </w:p>
        </w:tc>
        <w:tc>
          <w:tcPr>
            <w:tcW w:w="1753" w:type="dxa"/>
            <w:gridSpan w:val="3"/>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1" w:after="1"/>
              <w:ind w:left="0" w:right="0" w:hanging="0"/>
              <w:jc w:val="center"/>
              <w:rPr/>
            </w:pPr>
            <w:r>
              <w:rPr/>
              <w:t>​</w:t>
            </w:r>
          </w:p>
        </w:tc>
        <w:tc>
          <w:tcPr>
            <w:tcW w:w="3010"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246" w:type="dxa"/>
            <w:tcBorders/>
            <w:vAlign w:val="center"/>
          </w:tcPr>
          <w:p>
            <w:pPr>
              <w:pStyle w:val="TableContents"/>
              <w:bidi w:val="0"/>
              <w:spacing w:before="1" w:after="1"/>
              <w:ind w:left="0" w:right="0" w:hanging="0"/>
              <w:jc w:val="both"/>
              <w:rPr/>
            </w:pPr>
            <w:r>
              <w:rPr/>
              <w:t>​</w:t>
            </w:r>
          </w:p>
        </w:tc>
        <w:tc>
          <w:tcPr>
            <w:tcW w:w="326" w:type="dxa"/>
            <w:tcBorders/>
            <w:vAlign w:val="center"/>
          </w:tcPr>
          <w:p>
            <w:pPr>
              <w:pStyle w:val="TableContents"/>
              <w:bidi w:val="0"/>
              <w:spacing w:before="1"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1"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1"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1"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1"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1"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1" w:after="1"/>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8740"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124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 </w:t>
            </w:r>
          </w:p>
        </w:tc>
        <w:tc>
          <w:tcPr>
            <w:tcW w:w="7168" w:type="dxa"/>
            <w:gridSpan w:val="13"/>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246" w:type="dxa"/>
            <w:tcBorders/>
            <w:shd w:fill="CCEEFF" w:val="clear"/>
            <w:vAlign w:val="center"/>
          </w:tcPr>
          <w:p>
            <w:pPr>
              <w:pStyle w:val="TableContents"/>
              <w:bidi w:val="0"/>
              <w:spacing w:before="1" w:after="1"/>
              <w:ind w:left="0" w:right="0" w:hanging="0"/>
              <w:jc w:val="both"/>
              <w:rPr>
                <w:rFonts w:ascii="Times New Roman;Times;serif" w:hAnsi="Times New Roman;Times;serif"/>
                <w:b/>
                <w:sz w:val="18"/>
              </w:rPr>
            </w:pPr>
            <w:r>
              <w:rPr>
                <w:rFonts w:ascii="Times New Roman;Times;serif" w:hAnsi="Times New Roman;Times;serif"/>
                <w:b/>
                <w:sz w:val="18"/>
              </w:rPr>
              <w:t>Revenues:</w:t>
            </w:r>
          </w:p>
        </w:tc>
        <w:tc>
          <w:tcPr>
            <w:tcW w:w="326" w:type="dxa"/>
            <w:tcBorders/>
            <w:shd w:fill="CCEEFF" w:val="clear"/>
            <w:vAlign w:val="center"/>
          </w:tcPr>
          <w:p>
            <w:pPr>
              <w:pStyle w:val="TableContents"/>
              <w:bidi w:val="0"/>
              <w:spacing w:before="1" w:after="1"/>
              <w:ind w:left="0" w:right="0" w:hanging="0"/>
              <w:jc w:val="left"/>
              <w:rPr/>
            </w:pPr>
            <w:r>
              <w:rPr/>
              <w:t> </w:t>
            </w:r>
          </w:p>
        </w:tc>
        <w:tc>
          <w:tcPr>
            <w:tcW w:w="916"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51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 </w:t>
            </w:r>
          </w:p>
        </w:tc>
        <w:tc>
          <w:tcPr>
            <w:tcW w:w="916"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51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 </w:t>
            </w:r>
          </w:p>
        </w:tc>
        <w:tc>
          <w:tcPr>
            <w:tcW w:w="916"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 </w:t>
            </w:r>
          </w:p>
        </w:tc>
        <w:tc>
          <w:tcPr>
            <w:tcW w:w="826"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616" w:type="dxa"/>
            <w:tcBorders/>
            <w:shd w:fill="CCEEFF" w:val="clear"/>
            <w:vAlign w:val="center"/>
          </w:tcPr>
          <w:p>
            <w:pPr>
              <w:pStyle w:val="TableContents"/>
              <w:bidi w:val="0"/>
              <w:spacing w:before="1" w:after="1"/>
              <w:ind w:left="0" w:right="0" w:hanging="0"/>
              <w:jc w:val="right"/>
              <w:rPr/>
            </w:pPr>
            <w:r>
              <w:rPr/>
              <w:t>​</w:t>
            </w:r>
          </w:p>
        </w:tc>
      </w:tr>
      <w:tr>
        <w:trPr/>
        <w:tc>
          <w:tcPr>
            <w:tcW w:w="1246" w:type="dxa"/>
            <w:tcBorders/>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Vehicle sales</w:t>
            </w:r>
          </w:p>
        </w:tc>
        <w:tc>
          <w:tcPr>
            <w:tcW w:w="326" w:type="dxa"/>
            <w:tcBorders/>
            <w:vAlign w:val="center"/>
          </w:tcPr>
          <w:p>
            <w:pPr>
              <w:pStyle w:val="TableContents"/>
              <w:bidi w:val="0"/>
              <w:spacing w:before="1" w:after="1"/>
              <w:ind w:left="0" w:right="0" w:hanging="0"/>
              <w:jc w:val="left"/>
              <w:rPr/>
            </w:pPr>
            <w:r>
              <w:rPr/>
              <w:t> </w:t>
            </w:r>
          </w:p>
        </w:tc>
        <w:tc>
          <w:tcPr>
            <w:tcW w:w="916"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45,506,581</w:t>
            </w:r>
          </w:p>
        </w:tc>
        <w:tc>
          <w:tcPr>
            <w:tcW w:w="326" w:type="dxa"/>
            <w:tcBorders/>
            <w:vAlign w:val="center"/>
          </w:tcPr>
          <w:p>
            <w:pPr>
              <w:pStyle w:val="TableContents"/>
              <w:bidi w:val="0"/>
              <w:spacing w:before="1" w:after="1"/>
              <w:ind w:left="0" w:right="0" w:hanging="0"/>
              <w:jc w:val="left"/>
              <w:rPr/>
            </w:pPr>
            <w:r>
              <w:rPr/>
              <w:t>​</w:t>
            </w:r>
          </w:p>
        </w:tc>
        <w:tc>
          <w:tcPr>
            <w:tcW w:w="511"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92.4</w:t>
            </w:r>
          </w:p>
        </w:tc>
        <w:tc>
          <w:tcPr>
            <w:tcW w:w="326" w:type="dxa"/>
            <w:tcBorders/>
            <w:vAlign w:val="center"/>
          </w:tcPr>
          <w:p>
            <w:pPr>
              <w:pStyle w:val="TableContents"/>
              <w:bidi w:val="0"/>
              <w:spacing w:before="1" w:after="1"/>
              <w:ind w:left="0" w:right="0" w:hanging="0"/>
              <w:jc w:val="left"/>
              <w:rPr/>
            </w:pPr>
            <w:r>
              <w:rPr/>
              <w:t> </w:t>
            </w:r>
          </w:p>
        </w:tc>
        <w:tc>
          <w:tcPr>
            <w:tcW w:w="916"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49,257,270</w:t>
            </w:r>
          </w:p>
        </w:tc>
        <w:tc>
          <w:tcPr>
            <w:tcW w:w="326" w:type="dxa"/>
            <w:tcBorders/>
            <w:vAlign w:val="center"/>
          </w:tcPr>
          <w:p>
            <w:pPr>
              <w:pStyle w:val="TableContents"/>
              <w:bidi w:val="0"/>
              <w:spacing w:before="1" w:after="1"/>
              <w:ind w:left="0" w:right="0" w:hanging="0"/>
              <w:jc w:val="left"/>
              <w:rPr/>
            </w:pPr>
            <w:r>
              <w:rPr/>
              <w:t>​</w:t>
            </w:r>
          </w:p>
        </w:tc>
        <w:tc>
          <w:tcPr>
            <w:tcW w:w="511"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88.6</w:t>
            </w:r>
          </w:p>
        </w:tc>
        <w:tc>
          <w:tcPr>
            <w:tcW w:w="326" w:type="dxa"/>
            <w:tcBorders/>
            <w:vAlign w:val="center"/>
          </w:tcPr>
          <w:p>
            <w:pPr>
              <w:pStyle w:val="TableContents"/>
              <w:bidi w:val="0"/>
              <w:spacing w:before="1" w:after="1"/>
              <w:ind w:left="0" w:right="0" w:hanging="0"/>
              <w:jc w:val="left"/>
              <w:rPr/>
            </w:pPr>
            <w:r>
              <w:rPr/>
              <w:t> </w:t>
            </w:r>
          </w:p>
        </w:tc>
        <w:tc>
          <w:tcPr>
            <w:tcW w:w="916"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58,234,086</w:t>
            </w:r>
          </w:p>
        </w:tc>
        <w:tc>
          <w:tcPr>
            <w:tcW w:w="326" w:type="dxa"/>
            <w:tcBorders/>
            <w:vAlign w:val="center"/>
          </w:tcPr>
          <w:p>
            <w:pPr>
              <w:pStyle w:val="TableContents"/>
              <w:bidi w:val="0"/>
              <w:spacing w:before="1" w:after="1"/>
              <w:ind w:left="0" w:right="0" w:hanging="0"/>
              <w:jc w:val="left"/>
              <w:rPr/>
            </w:pPr>
            <w:r>
              <w:rPr/>
              <w:t> </w:t>
            </w:r>
          </w:p>
        </w:tc>
        <w:tc>
          <w:tcPr>
            <w:tcW w:w="826"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7,978,037</w:t>
            </w:r>
          </w:p>
        </w:tc>
        <w:tc>
          <w:tcPr>
            <w:tcW w:w="326" w:type="dxa"/>
            <w:tcBorders/>
            <w:vAlign w:val="center"/>
          </w:tcPr>
          <w:p>
            <w:pPr>
              <w:pStyle w:val="TableContents"/>
              <w:bidi w:val="0"/>
              <w:spacing w:before="1" w:after="1"/>
              <w:ind w:left="0" w:right="0" w:hanging="0"/>
              <w:jc w:val="left"/>
              <w:rPr/>
            </w:pPr>
            <w:r>
              <w:rPr/>
              <w:t>​</w:t>
            </w:r>
          </w:p>
        </w:tc>
        <w:tc>
          <w:tcPr>
            <w:tcW w:w="616"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88.6</w:t>
            </w:r>
          </w:p>
        </w:tc>
      </w:tr>
      <w:tr>
        <w:trPr/>
        <w:tc>
          <w:tcPr>
            <w:tcW w:w="1246" w:type="dxa"/>
            <w:tcBorders/>
            <w:shd w:fill="CCEEFF" w:val="clear"/>
            <w:vAlign w:val="center"/>
          </w:tcPr>
          <w:p>
            <w:pPr>
              <w:pStyle w:val="TableContents"/>
              <w:bidi w:val="0"/>
              <w:spacing w:lineRule="auto" w:line="240" w:before="1" w:after="1"/>
              <w:ind w:left="0" w:right="0" w:hanging="0"/>
              <w:jc w:val="left"/>
              <w:rPr>
                <w:rFonts w:ascii="Times New Roman;Times;serif" w:hAnsi="Times New Roman;Times;serif"/>
                <w:sz w:val="18"/>
              </w:rPr>
            </w:pPr>
            <w:r>
              <w:rPr>
                <w:rFonts w:ascii="Times New Roman;Times;serif" w:hAnsi="Times New Roman;Times;serif"/>
                <w:sz w:val="18"/>
              </w:rPr>
              <w:t>Other sales</w:t>
            </w:r>
            <w:r>
              <w:rPr>
                <w:rFonts w:ascii="Times New Roman;Times;serif" w:hAnsi="Times New Roman;Times;serif"/>
                <w:sz w:val="14"/>
              </w:rPr>
              <w:t>(1)</w:t>
            </w:r>
          </w:p>
        </w:tc>
        <w:tc>
          <w:tcPr>
            <w:tcW w:w="326" w:type="dxa"/>
            <w:tcBorders/>
            <w:shd w:fill="CCEEFF" w:val="clear"/>
            <w:vAlign w:val="center"/>
          </w:tcPr>
          <w:p>
            <w:pPr>
              <w:pStyle w:val="TableContents"/>
              <w:bidi w:val="0"/>
              <w:spacing w:before="1"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3,761,980</w:t>
            </w:r>
          </w:p>
        </w:tc>
        <w:tc>
          <w:tcPr>
            <w:tcW w:w="326" w:type="dxa"/>
            <w:tcBorders/>
            <w:shd w:fill="CCEEFF" w:val="clear"/>
            <w:vAlign w:val="center"/>
          </w:tcPr>
          <w:p>
            <w:pPr>
              <w:pStyle w:val="TableContents"/>
              <w:bidi w:val="0"/>
              <w:spacing w:before="1"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7.6</w:t>
            </w:r>
          </w:p>
        </w:tc>
        <w:tc>
          <w:tcPr>
            <w:tcW w:w="326" w:type="dxa"/>
            <w:tcBorders/>
            <w:shd w:fill="CCEEFF" w:val="clear"/>
            <w:vAlign w:val="center"/>
          </w:tcPr>
          <w:p>
            <w:pPr>
              <w:pStyle w:val="TableContents"/>
              <w:bidi w:val="0"/>
              <w:spacing w:before="1"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6,360,663</w:t>
            </w:r>
          </w:p>
        </w:tc>
        <w:tc>
          <w:tcPr>
            <w:tcW w:w="326" w:type="dxa"/>
            <w:tcBorders/>
            <w:shd w:fill="CCEEFF" w:val="clear"/>
            <w:vAlign w:val="center"/>
          </w:tcPr>
          <w:p>
            <w:pPr>
              <w:pStyle w:val="TableContents"/>
              <w:bidi w:val="0"/>
              <w:spacing w:before="1"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11.4</w:t>
            </w:r>
          </w:p>
        </w:tc>
        <w:tc>
          <w:tcPr>
            <w:tcW w:w="326" w:type="dxa"/>
            <w:tcBorders/>
            <w:shd w:fill="CCEEFF" w:val="clear"/>
            <w:vAlign w:val="center"/>
          </w:tcPr>
          <w:p>
            <w:pPr>
              <w:pStyle w:val="TableContents"/>
              <w:bidi w:val="0"/>
              <w:spacing w:before="1"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7,497,473</w:t>
            </w:r>
          </w:p>
        </w:tc>
        <w:tc>
          <w:tcPr>
            <w:tcW w:w="326" w:type="dxa"/>
            <w:tcBorders/>
            <w:shd w:fill="CCEEFF" w:val="clear"/>
            <w:vAlign w:val="center"/>
          </w:tcPr>
          <w:p>
            <w:pPr>
              <w:pStyle w:val="TableContents"/>
              <w:bidi w:val="0"/>
              <w:spacing w:before="1"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1,027,150</w:t>
            </w:r>
          </w:p>
        </w:tc>
        <w:tc>
          <w:tcPr>
            <w:tcW w:w="326" w:type="dxa"/>
            <w:tcBorders/>
            <w:shd w:fill="CCEEFF" w:val="clear"/>
            <w:vAlign w:val="center"/>
          </w:tcPr>
          <w:p>
            <w:pPr>
              <w:pStyle w:val="TableContents"/>
              <w:bidi w:val="0"/>
              <w:spacing w:before="1" w:after="1"/>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11.4</w:t>
            </w:r>
          </w:p>
        </w:tc>
      </w:tr>
      <w:tr>
        <w:trPr/>
        <w:tc>
          <w:tcPr>
            <w:tcW w:w="1246" w:type="dxa"/>
            <w:tcBorders/>
            <w:vAlign w:val="center"/>
          </w:tcPr>
          <w:p>
            <w:pPr>
              <w:pStyle w:val="TableContents"/>
              <w:bidi w:val="0"/>
              <w:spacing w:before="1" w:after="1"/>
              <w:ind w:left="0" w:right="0" w:hanging="0"/>
              <w:jc w:val="both"/>
              <w:rPr>
                <w:rFonts w:ascii="Times New Roman;Times;serif" w:hAnsi="Times New Roman;Times;serif"/>
                <w:b/>
                <w:sz w:val="18"/>
              </w:rPr>
            </w:pPr>
            <w:r>
              <w:rPr>
                <w:rFonts w:ascii="Times New Roman;Times;serif" w:hAnsi="Times New Roman;Times;serif"/>
                <w:b/>
                <w:sz w:val="18"/>
              </w:rPr>
              <w:t>Total revenues</w:t>
            </w:r>
          </w:p>
        </w:tc>
        <w:tc>
          <w:tcPr>
            <w:tcW w:w="326" w:type="dxa"/>
            <w:tcBorders/>
            <w:vAlign w:val="center"/>
          </w:tcPr>
          <w:p>
            <w:pPr>
              <w:pStyle w:val="TableContents"/>
              <w:bidi w:val="0"/>
              <w:spacing w:before="1"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b/>
                <w:sz w:val="18"/>
              </w:rPr>
            </w:pPr>
            <w:r>
              <w:rPr>
                <w:rFonts w:ascii="Times New Roman;Times;serif" w:hAnsi="Times New Roman;Times;serif"/>
                <w:b/>
                <w:sz w:val="18"/>
              </w:rPr>
              <w:t>49,268,561</w:t>
            </w:r>
          </w:p>
        </w:tc>
        <w:tc>
          <w:tcPr>
            <w:tcW w:w="326" w:type="dxa"/>
            <w:tcBorders/>
            <w:vAlign w:val="center"/>
          </w:tcPr>
          <w:p>
            <w:pPr>
              <w:pStyle w:val="TableContents"/>
              <w:bidi w:val="0"/>
              <w:spacing w:before="1" w:after="1"/>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b/>
                <w:sz w:val="18"/>
              </w:rPr>
            </w:pPr>
            <w:r>
              <w:rPr>
                <w:rFonts w:ascii="Times New Roman;Times;serif" w:hAnsi="Times New Roman;Times;serif"/>
                <w:b/>
                <w:sz w:val="18"/>
              </w:rPr>
              <w:t>100.0</w:t>
            </w:r>
          </w:p>
        </w:tc>
        <w:tc>
          <w:tcPr>
            <w:tcW w:w="326" w:type="dxa"/>
            <w:tcBorders/>
            <w:vAlign w:val="center"/>
          </w:tcPr>
          <w:p>
            <w:pPr>
              <w:pStyle w:val="TableContents"/>
              <w:bidi w:val="0"/>
              <w:spacing w:before="1"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b/>
                <w:sz w:val="18"/>
              </w:rPr>
            </w:pPr>
            <w:r>
              <w:rPr>
                <w:rFonts w:ascii="Times New Roman;Times;serif" w:hAnsi="Times New Roman;Times;serif"/>
                <w:b/>
                <w:sz w:val="18"/>
              </w:rPr>
              <w:t>55,617,933</w:t>
            </w:r>
          </w:p>
        </w:tc>
        <w:tc>
          <w:tcPr>
            <w:tcW w:w="326" w:type="dxa"/>
            <w:tcBorders/>
            <w:vAlign w:val="center"/>
          </w:tcPr>
          <w:p>
            <w:pPr>
              <w:pStyle w:val="TableContents"/>
              <w:bidi w:val="0"/>
              <w:spacing w:before="1" w:after="1"/>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b/>
                <w:sz w:val="18"/>
              </w:rPr>
            </w:pPr>
            <w:r>
              <w:rPr>
                <w:rFonts w:ascii="Times New Roman;Times;serif" w:hAnsi="Times New Roman;Times;serif"/>
                <w:b/>
                <w:sz w:val="18"/>
              </w:rPr>
              <w:t>100.0</w:t>
            </w:r>
          </w:p>
        </w:tc>
        <w:tc>
          <w:tcPr>
            <w:tcW w:w="326" w:type="dxa"/>
            <w:tcBorders/>
            <w:vAlign w:val="center"/>
          </w:tcPr>
          <w:p>
            <w:pPr>
              <w:pStyle w:val="TableContents"/>
              <w:bidi w:val="0"/>
              <w:spacing w:before="1"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b/>
                <w:sz w:val="18"/>
              </w:rPr>
            </w:pPr>
            <w:r>
              <w:rPr>
                <w:rFonts w:ascii="Times New Roman;Times;serif" w:hAnsi="Times New Roman;Times;serif"/>
                <w:b/>
                <w:sz w:val="18"/>
              </w:rPr>
              <w:t>65,731,559</w:t>
            </w:r>
          </w:p>
        </w:tc>
        <w:tc>
          <w:tcPr>
            <w:tcW w:w="326" w:type="dxa"/>
            <w:tcBorders/>
            <w:vAlign w:val="center"/>
          </w:tcPr>
          <w:p>
            <w:pPr>
              <w:pStyle w:val="TableContents"/>
              <w:bidi w:val="0"/>
              <w:spacing w:before="1" w:after="1"/>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b/>
                <w:sz w:val="18"/>
              </w:rPr>
            </w:pPr>
            <w:r>
              <w:rPr>
                <w:rFonts w:ascii="Times New Roman;Times;serif" w:hAnsi="Times New Roman;Times;serif"/>
                <w:b/>
                <w:sz w:val="18"/>
              </w:rPr>
              <w:t>9,005,187</w:t>
            </w:r>
          </w:p>
        </w:tc>
        <w:tc>
          <w:tcPr>
            <w:tcW w:w="326" w:type="dxa"/>
            <w:tcBorders/>
            <w:vAlign w:val="center"/>
          </w:tcPr>
          <w:p>
            <w:pPr>
              <w:pStyle w:val="TableContents"/>
              <w:bidi w:val="0"/>
              <w:spacing w:before="1" w:after="1"/>
              <w:ind w:left="0" w:right="0" w:hanging="0"/>
              <w:jc w:val="left"/>
              <w:rPr/>
            </w:pPr>
            <w:r>
              <w:rPr/>
              <w:t>​</w:t>
            </w:r>
          </w:p>
        </w:tc>
        <w:tc>
          <w:tcPr>
            <w:tcW w:w="616" w:type="dxa"/>
            <w:tcBorders>
              <w:bottom w:val="double" w:sz="6" w:space="0" w:color="000000"/>
            </w:tcBorders>
            <w:tcMar>
              <w:bottom w:w="28" w:type="dxa"/>
            </w:tcMar>
            <w:vAlign w:val="center"/>
          </w:tcPr>
          <w:p>
            <w:pPr>
              <w:pStyle w:val="TableContents"/>
              <w:bidi w:val="0"/>
              <w:spacing w:before="1" w:after="1"/>
              <w:ind w:left="0" w:right="60" w:hanging="0"/>
              <w:jc w:val="right"/>
              <w:rPr>
                <w:rFonts w:ascii="Times New Roman;Times;serif" w:hAnsi="Times New Roman;Times;serif"/>
                <w:b/>
                <w:sz w:val="18"/>
              </w:rPr>
            </w:pPr>
            <w:r>
              <w:rPr>
                <w:rFonts w:ascii="Times New Roman;Times;serif" w:hAnsi="Times New Roman;Times;serif"/>
                <w:b/>
                <w:sz w:val="18"/>
              </w:rPr>
              <w:t>100.0</w:t>
            </w:r>
          </w:p>
        </w:tc>
      </w:tr>
    </w:tbl>
    <w:p>
      <w:pPr>
        <w:pStyle w:val="TextBody"/>
        <w:bidi w:val="0"/>
        <w:spacing w:before="0" w:after="240"/>
        <w:ind w:left="0" w:right="0" w:hanging="0"/>
        <w:jc w:val="both"/>
        <w:rPr>
          <w:rFonts w:ascii="Times New Roman;Times;serif" w:hAnsi="Times New Roman;Times;serif"/>
          <w:sz w:val="16"/>
        </w:rPr>
      </w:pPr>
      <w:r>
        <w:rPr>
          <w:rFonts w:ascii="Times New Roman;Times;serif" w:hAnsi="Times New Roman;Times;serif"/>
          <w:sz w:val="16"/>
        </w:rPr>
        <w:t>Note:</w:t>
      </w:r>
    </w:p>
    <w:tbl>
      <w:tblPr>
        <w:tblW w:w="2942" w:type="dxa"/>
        <w:jc w:val="left"/>
        <w:tblInd w:w="0" w:type="dxa"/>
        <w:tblLayout w:type="fixed"/>
        <w:tblCellMar>
          <w:top w:w="0" w:type="dxa"/>
          <w:left w:w="0" w:type="dxa"/>
          <w:bottom w:w="0" w:type="dxa"/>
          <w:right w:w="0" w:type="dxa"/>
        </w:tblCellMar>
      </w:tblPr>
      <w:tblGrid>
        <w:gridCol w:w="331"/>
        <w:gridCol w:w="261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26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sales are comprised as below:</w:t>
            </w:r>
          </w:p>
        </w:tc>
      </w:tr>
    </w:tbl>
    <w:tbl>
      <w:tblPr>
        <w:tblW w:w="10205" w:type="dxa"/>
        <w:jc w:val="left"/>
        <w:tblInd w:w="0" w:type="dxa"/>
        <w:tblLayout w:type="fixed"/>
        <w:tblCellMar>
          <w:top w:w="0" w:type="dxa"/>
          <w:left w:w="0" w:type="dxa"/>
          <w:bottom w:w="0" w:type="dxa"/>
          <w:right w:w="0" w:type="dxa"/>
        </w:tblCellMar>
      </w:tblPr>
      <w:tblGrid>
        <w:gridCol w:w="3341"/>
        <w:gridCol w:w="326"/>
        <w:gridCol w:w="826"/>
        <w:gridCol w:w="326"/>
        <w:gridCol w:w="331"/>
        <w:gridCol w:w="326"/>
        <w:gridCol w:w="826"/>
        <w:gridCol w:w="326"/>
        <w:gridCol w:w="421"/>
        <w:gridCol w:w="326"/>
        <w:gridCol w:w="826"/>
        <w:gridCol w:w="326"/>
        <w:gridCol w:w="826"/>
        <w:gridCol w:w="326"/>
        <w:gridCol w:w="526"/>
      </w:tblGrid>
      <w:tr>
        <w:trPr/>
        <w:tc>
          <w:tcPr>
            <w:tcW w:w="3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21535" cy="175895"/>
                      <wp:effectExtent l="0" t="0" r="0" b="0"/>
                      <wp:wrapNone/>
                      <wp:docPr id="23" name="Frame20"/>
                      <a:graphic xmlns:a="http://schemas.openxmlformats.org/drawingml/2006/main">
                        <a:graphicData uri="http://schemas.microsoft.com/office/word/2010/wordprocessingShape">
                          <wps:wsp>
                            <wps:cNvSpPr txBox="1"/>
                            <wps:spPr>
                              <a:xfrm>
                                <a:off x="0" y="0"/>
                                <a:ext cx="21215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895"/>
                      <wp:effectExtent l="0" t="0" r="0" b="0"/>
                      <wp:wrapNone/>
                      <wp:docPr id="24" name="Frame21"/>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24510" cy="175895"/>
                      <wp:effectExtent l="0" t="0" r="0" b="0"/>
                      <wp:wrapNone/>
                      <wp:docPr id="25" name="Frame22"/>
                      <a:graphic xmlns:a="http://schemas.openxmlformats.org/drawingml/2006/main">
                        <a:graphicData uri="http://schemas.microsoft.com/office/word/2010/wordprocessingShape">
                          <wps:wsp>
                            <wps:cNvSpPr txBox="1"/>
                            <wps:spPr>
                              <a:xfrm>
                                <a:off x="0" y="0"/>
                                <a:ext cx="5245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895"/>
                      <wp:effectExtent l="0" t="0" r="0" b="0"/>
                      <wp:wrapNone/>
                      <wp:docPr id="26" name="Frame23"/>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0185" cy="175895"/>
                      <wp:effectExtent l="0" t="0" r="0" b="0"/>
                      <wp:wrapNone/>
                      <wp:docPr id="27" name="Frame24"/>
                      <a:graphic xmlns:a="http://schemas.openxmlformats.org/drawingml/2006/main">
                        <a:graphicData uri="http://schemas.microsoft.com/office/word/2010/wordprocessingShape">
                          <wps:wsp>
                            <wps:cNvSpPr txBox="1"/>
                            <wps:spPr>
                              <a:xfrm>
                                <a:off x="0" y="0"/>
                                <a:ext cx="2101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895"/>
                      <wp:effectExtent l="0" t="0" r="0" b="0"/>
                      <wp:wrapNone/>
                      <wp:docPr id="28" name="Frame25"/>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24510" cy="175895"/>
                      <wp:effectExtent l="0" t="0" r="0" b="0"/>
                      <wp:wrapNone/>
                      <wp:docPr id="29" name="Frame26"/>
                      <a:graphic xmlns:a="http://schemas.openxmlformats.org/drawingml/2006/main">
                        <a:graphicData uri="http://schemas.microsoft.com/office/word/2010/wordprocessingShape">
                          <wps:wsp>
                            <wps:cNvSpPr txBox="1"/>
                            <wps:spPr>
                              <a:xfrm>
                                <a:off x="0" y="0"/>
                                <a:ext cx="5245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895"/>
                      <wp:effectExtent l="0" t="0" r="0" b="0"/>
                      <wp:wrapNone/>
                      <wp:docPr id="30" name="Frame27"/>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67335" cy="175895"/>
                      <wp:effectExtent l="0" t="0" r="0" b="0"/>
                      <wp:wrapNone/>
                      <wp:docPr id="31" name="Frame28"/>
                      <a:graphic xmlns:a="http://schemas.openxmlformats.org/drawingml/2006/main">
                        <a:graphicData uri="http://schemas.microsoft.com/office/word/2010/wordprocessingShape">
                          <wps:wsp>
                            <wps:cNvSpPr txBox="1"/>
                            <wps:spPr>
                              <a:xfrm>
                                <a:off x="0" y="0"/>
                                <a:ext cx="2673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895"/>
                      <wp:effectExtent l="0" t="0" r="0" b="0"/>
                      <wp:wrapNone/>
                      <wp:docPr id="32" name="Frame29"/>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24510" cy="175895"/>
                      <wp:effectExtent l="0" t="0" r="0" b="0"/>
                      <wp:wrapNone/>
                      <wp:docPr id="33" name="Frame30"/>
                      <a:graphic xmlns:a="http://schemas.openxmlformats.org/drawingml/2006/main">
                        <a:graphicData uri="http://schemas.microsoft.com/office/word/2010/wordprocessingShape">
                          <wps:wsp>
                            <wps:cNvSpPr txBox="1"/>
                            <wps:spPr>
                              <a:xfrm>
                                <a:off x="0" y="0"/>
                                <a:ext cx="5245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895"/>
                      <wp:effectExtent l="0" t="0" r="0" b="0"/>
                      <wp:wrapNone/>
                      <wp:docPr id="34" name="Frame31"/>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24510" cy="175895"/>
                      <wp:effectExtent l="0" t="0" r="0" b="0"/>
                      <wp:wrapNone/>
                      <wp:docPr id="35" name="Frame32"/>
                      <a:graphic xmlns:a="http://schemas.openxmlformats.org/drawingml/2006/main">
                        <a:graphicData uri="http://schemas.microsoft.com/office/word/2010/wordprocessingShape">
                          <wps:wsp>
                            <wps:cNvSpPr txBox="1"/>
                            <wps:spPr>
                              <a:xfrm>
                                <a:off x="0" y="0"/>
                                <a:ext cx="5245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895"/>
                      <wp:effectExtent l="0" t="0" r="0" b="0"/>
                      <wp:wrapNone/>
                      <wp:docPr id="36" name="Frame33"/>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334010" cy="175895"/>
                      <wp:effectExtent l="0" t="0" r="0" b="0"/>
                      <wp:wrapNone/>
                      <wp:docPr id="37" name="Frame34"/>
                      <a:graphic xmlns:a="http://schemas.openxmlformats.org/drawingml/2006/main">
                        <a:graphicData uri="http://schemas.microsoft.com/office/word/2010/wordprocessingShape">
                          <wps:wsp>
                            <wps:cNvSpPr txBox="1"/>
                            <wps:spPr>
                              <a:xfrm>
                                <a:off x="0" y="0"/>
                                <a:ext cx="334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34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6538" w:type="dxa"/>
            <w:gridSpan w:val="13"/>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34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1483" w:type="dxa"/>
            <w:gridSpan w:val="3"/>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1" w:after="1"/>
              <w:ind w:left="0" w:right="0" w:hanging="0"/>
              <w:jc w:val="left"/>
              <w:rPr/>
            </w:pPr>
            <w:r>
              <w:rPr/>
              <w:t>​</w:t>
            </w:r>
          </w:p>
        </w:tc>
        <w:tc>
          <w:tcPr>
            <w:tcW w:w="1573" w:type="dxa"/>
            <w:gridSpan w:val="3"/>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1" w:after="1"/>
              <w:ind w:left="0" w:right="0" w:hanging="0"/>
              <w:jc w:val="left"/>
              <w:rPr/>
            </w:pPr>
            <w:r>
              <w:rPr/>
              <w:t>​</w:t>
            </w:r>
          </w:p>
        </w:tc>
        <w:tc>
          <w:tcPr>
            <w:tcW w:w="2830"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34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1" w:after="1"/>
              <w:ind w:left="0" w:right="0" w:hanging="0"/>
              <w:jc w:val="left"/>
              <w:rPr/>
            </w:pPr>
            <w:r>
              <w:rPr/>
              <w:t>    </w:t>
            </w:r>
          </w:p>
        </w:tc>
        <w:tc>
          <w:tcPr>
            <w:tcW w:w="33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1"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1" w:after="1"/>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1"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1"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1" w:after="1"/>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020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334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6538" w:type="dxa"/>
            <w:gridSpan w:val="13"/>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341" w:type="dxa"/>
            <w:tcBorders/>
            <w:shd w:fill="CCEEFF" w:val="clear"/>
            <w:vAlign w:val="center"/>
          </w:tcPr>
          <w:p>
            <w:pPr>
              <w:pStyle w:val="TableContents"/>
              <w:bidi w:val="0"/>
              <w:spacing w:before="1" w:after="1"/>
              <w:ind w:left="0" w:right="0" w:hanging="0"/>
              <w:jc w:val="both"/>
              <w:rPr>
                <w:rFonts w:ascii="Times New Roman;Times;serif" w:hAnsi="Times New Roman;Times;serif"/>
                <w:b/>
                <w:sz w:val="18"/>
              </w:rPr>
            </w:pPr>
            <w:r>
              <w:rPr>
                <w:rFonts w:ascii="Times New Roman;Times;serif" w:hAnsi="Times New Roman;Times;serif"/>
                <w:b/>
                <w:sz w:val="18"/>
              </w:rPr>
              <w:t>Other sales</w:t>
            </w:r>
          </w:p>
        </w:tc>
        <w:tc>
          <w:tcPr>
            <w:tcW w:w="326" w:type="dxa"/>
            <w:tcBorders/>
            <w:shd w:fill="CCEEFF" w:val="clear"/>
            <w:vAlign w:val="center"/>
          </w:tcPr>
          <w:p>
            <w:pPr>
              <w:pStyle w:val="TableContents"/>
              <w:bidi w:val="0"/>
              <w:spacing w:before="1" w:after="1"/>
              <w:ind w:left="0" w:right="0" w:hanging="0"/>
              <w:jc w:val="left"/>
              <w:rPr/>
            </w:pPr>
            <w:r>
              <w:rPr/>
              <w:t> </w:t>
            </w:r>
          </w:p>
        </w:tc>
        <w:tc>
          <w:tcPr>
            <w:tcW w:w="826" w:type="dxa"/>
            <w:tcBorders/>
            <w:shd w:fill="CCEEFF" w:val="clear"/>
            <w:vAlign w:val="center"/>
          </w:tcPr>
          <w:p>
            <w:pPr>
              <w:pStyle w:val="TableContents"/>
              <w:bidi w:val="0"/>
              <w:spacing w:before="1" w:after="1"/>
              <w:ind w:left="0" w:right="0" w:hanging="0"/>
              <w:jc w:val="right"/>
              <w:rPr/>
            </w:pPr>
            <w:r>
              <w:rPr/>
              <w:t>  </w:t>
            </w:r>
          </w:p>
        </w:tc>
        <w:tc>
          <w:tcPr>
            <w:tcW w:w="326" w:type="dxa"/>
            <w:tcBorders/>
            <w:shd w:fill="CCEEFF" w:val="clear"/>
            <w:vAlign w:val="center"/>
          </w:tcPr>
          <w:p>
            <w:pPr>
              <w:pStyle w:val="TableContents"/>
              <w:bidi w:val="0"/>
              <w:spacing w:before="1" w:after="1"/>
              <w:ind w:left="0" w:right="0" w:hanging="0"/>
              <w:jc w:val="left"/>
              <w:rPr/>
            </w:pPr>
            <w:r>
              <w:rPr/>
              <w:t> </w:t>
            </w:r>
          </w:p>
        </w:tc>
        <w:tc>
          <w:tcPr>
            <w:tcW w:w="331" w:type="dxa"/>
            <w:tcBorders/>
            <w:shd w:fill="CCEEFF" w:val="clear"/>
            <w:vAlign w:val="center"/>
          </w:tcPr>
          <w:p>
            <w:pPr>
              <w:pStyle w:val="TableContents"/>
              <w:bidi w:val="0"/>
              <w:spacing w:before="1" w:after="1"/>
              <w:ind w:left="0" w:right="0" w:hanging="0"/>
              <w:jc w:val="right"/>
              <w:rPr/>
            </w:pPr>
            <w:r>
              <w:rPr/>
              <w:t>  </w:t>
            </w:r>
          </w:p>
        </w:tc>
        <w:tc>
          <w:tcPr>
            <w:tcW w:w="326" w:type="dxa"/>
            <w:tcBorders/>
            <w:shd w:fill="CCEEFF" w:val="clear"/>
            <w:vAlign w:val="center"/>
          </w:tcPr>
          <w:p>
            <w:pPr>
              <w:pStyle w:val="TableContents"/>
              <w:bidi w:val="0"/>
              <w:spacing w:before="1" w:after="1"/>
              <w:ind w:left="0" w:right="0" w:hanging="0"/>
              <w:jc w:val="left"/>
              <w:rPr/>
            </w:pPr>
            <w:r>
              <w:rPr/>
              <w:t> </w:t>
            </w:r>
          </w:p>
        </w:tc>
        <w:tc>
          <w:tcPr>
            <w:tcW w:w="826" w:type="dxa"/>
            <w:tcBorders/>
            <w:shd w:fill="CCEEFF" w:val="clear"/>
            <w:vAlign w:val="center"/>
          </w:tcPr>
          <w:p>
            <w:pPr>
              <w:pStyle w:val="TableContents"/>
              <w:bidi w:val="0"/>
              <w:spacing w:before="1" w:after="1"/>
              <w:ind w:left="0" w:right="0" w:hanging="0"/>
              <w:jc w:val="right"/>
              <w:rPr/>
            </w:pPr>
            <w:r>
              <w:rPr/>
              <w:t>  </w:t>
            </w:r>
          </w:p>
        </w:tc>
        <w:tc>
          <w:tcPr>
            <w:tcW w:w="326" w:type="dxa"/>
            <w:tcBorders/>
            <w:shd w:fill="CCEEFF" w:val="clear"/>
            <w:vAlign w:val="center"/>
          </w:tcPr>
          <w:p>
            <w:pPr>
              <w:pStyle w:val="TableContents"/>
              <w:bidi w:val="0"/>
              <w:spacing w:before="1" w:after="1"/>
              <w:ind w:left="0" w:right="0" w:hanging="0"/>
              <w:jc w:val="left"/>
              <w:rPr/>
            </w:pPr>
            <w:r>
              <w:rPr/>
              <w:t> </w:t>
            </w:r>
          </w:p>
        </w:tc>
        <w:tc>
          <w:tcPr>
            <w:tcW w:w="421" w:type="dxa"/>
            <w:tcBorders/>
            <w:shd w:fill="CCEEFF" w:val="clear"/>
            <w:vAlign w:val="center"/>
          </w:tcPr>
          <w:p>
            <w:pPr>
              <w:pStyle w:val="TableContents"/>
              <w:bidi w:val="0"/>
              <w:spacing w:before="1" w:after="1"/>
              <w:ind w:left="0" w:right="0" w:hanging="0"/>
              <w:jc w:val="right"/>
              <w:rPr/>
            </w:pPr>
            <w:r>
              <w:rPr/>
              <w:t>  </w:t>
            </w:r>
          </w:p>
        </w:tc>
        <w:tc>
          <w:tcPr>
            <w:tcW w:w="326" w:type="dxa"/>
            <w:tcBorders/>
            <w:shd w:fill="CCEEFF" w:val="clear"/>
            <w:vAlign w:val="center"/>
          </w:tcPr>
          <w:p>
            <w:pPr>
              <w:pStyle w:val="TableContents"/>
              <w:bidi w:val="0"/>
              <w:spacing w:before="1" w:after="1"/>
              <w:ind w:left="0" w:right="0" w:hanging="0"/>
              <w:jc w:val="left"/>
              <w:rPr/>
            </w:pPr>
            <w:r>
              <w:rPr/>
              <w:t> </w:t>
            </w:r>
          </w:p>
        </w:tc>
        <w:tc>
          <w:tcPr>
            <w:tcW w:w="826" w:type="dxa"/>
            <w:tcBorders/>
            <w:shd w:fill="CCEEFF" w:val="clear"/>
            <w:vAlign w:val="center"/>
          </w:tcPr>
          <w:p>
            <w:pPr>
              <w:pStyle w:val="TableContents"/>
              <w:bidi w:val="0"/>
              <w:spacing w:before="1" w:after="1"/>
              <w:ind w:left="0" w:right="0" w:hanging="0"/>
              <w:jc w:val="right"/>
              <w:rPr/>
            </w:pPr>
            <w:r>
              <w:rPr/>
              <w:t>  </w:t>
            </w:r>
          </w:p>
        </w:tc>
        <w:tc>
          <w:tcPr>
            <w:tcW w:w="326" w:type="dxa"/>
            <w:tcBorders/>
            <w:shd w:fill="CCEEFF" w:val="clear"/>
            <w:vAlign w:val="center"/>
          </w:tcPr>
          <w:p>
            <w:pPr>
              <w:pStyle w:val="TableContents"/>
              <w:bidi w:val="0"/>
              <w:spacing w:before="1" w:after="1"/>
              <w:ind w:left="0" w:right="0" w:hanging="0"/>
              <w:jc w:val="left"/>
              <w:rPr/>
            </w:pPr>
            <w:r>
              <w:rPr/>
              <w:t> </w:t>
            </w:r>
          </w:p>
        </w:tc>
        <w:tc>
          <w:tcPr>
            <w:tcW w:w="826" w:type="dxa"/>
            <w:tcBorders/>
            <w:shd w:fill="CCEEFF" w:val="clear"/>
            <w:vAlign w:val="center"/>
          </w:tcPr>
          <w:p>
            <w:pPr>
              <w:pStyle w:val="TableContents"/>
              <w:bidi w:val="0"/>
              <w:spacing w:before="1" w:after="1"/>
              <w:ind w:left="0" w:right="0" w:hanging="0"/>
              <w:jc w:val="right"/>
              <w:rPr/>
            </w:pPr>
            <w:r>
              <w:rPr/>
              <w:t>  </w:t>
            </w:r>
          </w:p>
        </w:tc>
        <w:tc>
          <w:tcPr>
            <w:tcW w:w="326" w:type="dxa"/>
            <w:tcBorders/>
            <w:shd w:fill="CCEEFF" w:val="clear"/>
            <w:vAlign w:val="center"/>
          </w:tcPr>
          <w:p>
            <w:pPr>
              <w:pStyle w:val="TableContents"/>
              <w:bidi w:val="0"/>
              <w:spacing w:before="1" w:after="1"/>
              <w:ind w:left="0" w:right="0" w:hanging="0"/>
              <w:jc w:val="left"/>
              <w:rPr/>
            </w:pPr>
            <w:r>
              <w:rPr/>
              <w:t> </w:t>
            </w:r>
          </w:p>
        </w:tc>
        <w:tc>
          <w:tcPr>
            <w:tcW w:w="526" w:type="dxa"/>
            <w:tcBorders/>
            <w:shd w:fill="CCEEFF" w:val="clear"/>
            <w:vAlign w:val="center"/>
          </w:tcPr>
          <w:p>
            <w:pPr>
              <w:pStyle w:val="TableContents"/>
              <w:bidi w:val="0"/>
              <w:spacing w:before="1" w:after="1"/>
              <w:ind w:left="0" w:right="0" w:hanging="0"/>
              <w:jc w:val="right"/>
              <w:rPr/>
            </w:pPr>
            <w:r>
              <w:rPr/>
              <w:t>  </w:t>
            </w:r>
          </w:p>
        </w:tc>
      </w:tr>
      <w:tr>
        <w:trPr/>
        <w:tc>
          <w:tcPr>
            <w:tcW w:w="3341" w:type="dxa"/>
            <w:tcBorders/>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Parts, accessories and after-sales vehicle services</w:t>
            </w:r>
          </w:p>
        </w:tc>
        <w:tc>
          <w:tcPr>
            <w:tcW w:w="326" w:type="dxa"/>
            <w:tcBorders/>
            <w:vAlign w:val="center"/>
          </w:tcPr>
          <w:p>
            <w:pPr>
              <w:pStyle w:val="TableContents"/>
              <w:bidi w:val="0"/>
              <w:spacing w:before="1" w:after="1"/>
              <w:ind w:left="0" w:right="0" w:hanging="0"/>
              <w:jc w:val="left"/>
              <w:rPr/>
            </w:pPr>
            <w:r>
              <w:rPr/>
              <w:t>​</w:t>
            </w:r>
          </w:p>
        </w:tc>
        <w:tc>
          <w:tcPr>
            <w:tcW w:w="826"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1,228,385</w:t>
            </w:r>
          </w:p>
        </w:tc>
        <w:tc>
          <w:tcPr>
            <w:tcW w:w="326" w:type="dxa"/>
            <w:tcBorders/>
            <w:vAlign w:val="center"/>
          </w:tcPr>
          <w:p>
            <w:pPr>
              <w:pStyle w:val="TableContents"/>
              <w:bidi w:val="0"/>
              <w:spacing w:before="1" w:after="1"/>
              <w:ind w:left="0" w:right="0" w:hanging="0"/>
              <w:jc w:val="left"/>
              <w:rPr/>
            </w:pPr>
            <w:r>
              <w:rPr/>
              <w:t>​</w:t>
            </w:r>
          </w:p>
        </w:tc>
        <w:tc>
          <w:tcPr>
            <w:tcW w:w="331"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2.5</w:t>
            </w:r>
          </w:p>
        </w:tc>
        <w:tc>
          <w:tcPr>
            <w:tcW w:w="326" w:type="dxa"/>
            <w:tcBorders/>
            <w:vAlign w:val="center"/>
          </w:tcPr>
          <w:p>
            <w:pPr>
              <w:pStyle w:val="TableContents"/>
              <w:bidi w:val="0"/>
              <w:spacing w:before="1" w:after="1"/>
              <w:ind w:left="0" w:right="0" w:hanging="0"/>
              <w:jc w:val="left"/>
              <w:rPr/>
            </w:pPr>
            <w:r>
              <w:rPr/>
              <w:t>​</w:t>
            </w:r>
          </w:p>
        </w:tc>
        <w:tc>
          <w:tcPr>
            <w:tcW w:w="826"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2,337,490</w:t>
            </w:r>
          </w:p>
        </w:tc>
        <w:tc>
          <w:tcPr>
            <w:tcW w:w="326" w:type="dxa"/>
            <w:tcBorders/>
            <w:vAlign w:val="center"/>
          </w:tcPr>
          <w:p>
            <w:pPr>
              <w:pStyle w:val="TableContents"/>
              <w:bidi w:val="0"/>
              <w:spacing w:before="1" w:after="1"/>
              <w:ind w:left="0" w:right="0" w:hanging="0"/>
              <w:jc w:val="left"/>
              <w:rPr/>
            </w:pPr>
            <w:r>
              <w:rPr/>
              <w:t>​</w:t>
            </w:r>
          </w:p>
        </w:tc>
        <w:tc>
          <w:tcPr>
            <w:tcW w:w="421"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4.2</w:t>
            </w:r>
          </w:p>
        </w:tc>
        <w:tc>
          <w:tcPr>
            <w:tcW w:w="326" w:type="dxa"/>
            <w:tcBorders/>
            <w:vAlign w:val="center"/>
          </w:tcPr>
          <w:p>
            <w:pPr>
              <w:pStyle w:val="TableContents"/>
              <w:bidi w:val="0"/>
              <w:spacing w:before="1" w:after="1"/>
              <w:ind w:left="0" w:right="0" w:hanging="0"/>
              <w:jc w:val="left"/>
              <w:rPr/>
            </w:pPr>
            <w:r>
              <w:rPr/>
              <w:t>​</w:t>
            </w:r>
          </w:p>
        </w:tc>
        <w:tc>
          <w:tcPr>
            <w:tcW w:w="826"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3,324,321</w:t>
            </w:r>
          </w:p>
        </w:tc>
        <w:tc>
          <w:tcPr>
            <w:tcW w:w="326" w:type="dxa"/>
            <w:tcBorders/>
            <w:vAlign w:val="center"/>
          </w:tcPr>
          <w:p>
            <w:pPr>
              <w:pStyle w:val="TableContents"/>
              <w:bidi w:val="0"/>
              <w:spacing w:before="1" w:after="1"/>
              <w:ind w:left="0" w:right="0" w:hanging="0"/>
              <w:jc w:val="left"/>
              <w:rPr/>
            </w:pPr>
            <w:r>
              <w:rPr/>
              <w:t>​</w:t>
            </w:r>
          </w:p>
        </w:tc>
        <w:tc>
          <w:tcPr>
            <w:tcW w:w="826"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455,430</w:t>
            </w:r>
          </w:p>
        </w:tc>
        <w:tc>
          <w:tcPr>
            <w:tcW w:w="326" w:type="dxa"/>
            <w:tcBorders/>
            <w:vAlign w:val="center"/>
          </w:tcPr>
          <w:p>
            <w:pPr>
              <w:pStyle w:val="TableContents"/>
              <w:bidi w:val="0"/>
              <w:spacing w:before="1" w:after="1"/>
              <w:ind w:left="0" w:right="0" w:hanging="0"/>
              <w:jc w:val="left"/>
              <w:rPr/>
            </w:pPr>
            <w:r>
              <w:rPr/>
              <w:t>​</w:t>
            </w:r>
          </w:p>
        </w:tc>
        <w:tc>
          <w:tcPr>
            <w:tcW w:w="526"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5.1</w:t>
            </w:r>
          </w:p>
        </w:tc>
      </w:tr>
      <w:tr>
        <w:trPr/>
        <w:tc>
          <w:tcPr>
            <w:tcW w:w="3341"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Provision of power solutions</w:t>
            </w:r>
          </w:p>
        </w:tc>
        <w:tc>
          <w:tcPr>
            <w:tcW w:w="326" w:type="dxa"/>
            <w:tcBorders/>
            <w:shd w:fill="CCEEFF" w:val="clear"/>
            <w:vAlign w:val="center"/>
          </w:tcPr>
          <w:p>
            <w:pPr>
              <w:pStyle w:val="TableContents"/>
              <w:bidi w:val="0"/>
              <w:spacing w:before="1" w:after="1"/>
              <w:ind w:left="0" w:right="0" w:hanging="0"/>
              <w:jc w:val="left"/>
              <w:rPr/>
            </w:pPr>
            <w:r>
              <w:rPr/>
              <w:t>​</w:t>
            </w:r>
          </w:p>
        </w:tc>
        <w:tc>
          <w:tcPr>
            <w:tcW w:w="826"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1,016,094</w:t>
            </w:r>
          </w:p>
        </w:tc>
        <w:tc>
          <w:tcPr>
            <w:tcW w:w="326" w:type="dxa"/>
            <w:tcBorders/>
            <w:shd w:fill="CCEEFF" w:val="clear"/>
            <w:vAlign w:val="center"/>
          </w:tcPr>
          <w:p>
            <w:pPr>
              <w:pStyle w:val="TableContents"/>
              <w:bidi w:val="0"/>
              <w:spacing w:before="1" w:after="1"/>
              <w:ind w:left="0" w:right="0" w:hanging="0"/>
              <w:jc w:val="left"/>
              <w:rPr/>
            </w:pPr>
            <w:r>
              <w:rPr/>
              <w:t>​</w:t>
            </w:r>
          </w:p>
        </w:tc>
        <w:tc>
          <w:tcPr>
            <w:tcW w:w="331"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2.0</w:t>
            </w:r>
          </w:p>
        </w:tc>
        <w:tc>
          <w:tcPr>
            <w:tcW w:w="326" w:type="dxa"/>
            <w:tcBorders/>
            <w:shd w:fill="CCEEFF" w:val="clear"/>
            <w:vAlign w:val="center"/>
          </w:tcPr>
          <w:p>
            <w:pPr>
              <w:pStyle w:val="TableContents"/>
              <w:bidi w:val="0"/>
              <w:spacing w:before="1" w:after="1"/>
              <w:ind w:left="0" w:right="0" w:hanging="0"/>
              <w:jc w:val="left"/>
              <w:rPr/>
            </w:pPr>
            <w:r>
              <w:rPr/>
              <w:t>​</w:t>
            </w:r>
          </w:p>
        </w:tc>
        <w:tc>
          <w:tcPr>
            <w:tcW w:w="826"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1,666,346</w:t>
            </w:r>
          </w:p>
        </w:tc>
        <w:tc>
          <w:tcPr>
            <w:tcW w:w="326" w:type="dxa"/>
            <w:tcBorders/>
            <w:shd w:fill="CCEEFF" w:val="clear"/>
            <w:vAlign w:val="center"/>
          </w:tcPr>
          <w:p>
            <w:pPr>
              <w:pStyle w:val="TableContents"/>
              <w:bidi w:val="0"/>
              <w:spacing w:before="1" w:after="1"/>
              <w:ind w:left="0" w:right="0" w:hanging="0"/>
              <w:jc w:val="left"/>
              <w:rPr/>
            </w:pPr>
            <w:r>
              <w:rPr/>
              <w:t>​</w:t>
            </w:r>
          </w:p>
        </w:tc>
        <w:tc>
          <w:tcPr>
            <w:tcW w:w="421"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3.0</w:t>
            </w:r>
          </w:p>
        </w:tc>
        <w:tc>
          <w:tcPr>
            <w:tcW w:w="326" w:type="dxa"/>
            <w:tcBorders/>
            <w:shd w:fill="CCEEFF" w:val="clear"/>
            <w:vAlign w:val="center"/>
          </w:tcPr>
          <w:p>
            <w:pPr>
              <w:pStyle w:val="TableContents"/>
              <w:bidi w:val="0"/>
              <w:spacing w:before="1" w:after="1"/>
              <w:ind w:left="0" w:right="0" w:hanging="0"/>
              <w:jc w:val="left"/>
              <w:rPr/>
            </w:pPr>
            <w:r>
              <w:rPr/>
              <w:t>​</w:t>
            </w:r>
          </w:p>
        </w:tc>
        <w:tc>
          <w:tcPr>
            <w:tcW w:w="826"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2,100,553</w:t>
            </w:r>
          </w:p>
        </w:tc>
        <w:tc>
          <w:tcPr>
            <w:tcW w:w="326" w:type="dxa"/>
            <w:tcBorders/>
            <w:shd w:fill="CCEEFF" w:val="clear"/>
            <w:vAlign w:val="center"/>
          </w:tcPr>
          <w:p>
            <w:pPr>
              <w:pStyle w:val="TableContents"/>
              <w:bidi w:val="0"/>
              <w:spacing w:before="1" w:after="1"/>
              <w:ind w:left="0" w:right="0" w:hanging="0"/>
              <w:jc w:val="left"/>
              <w:rPr/>
            </w:pPr>
            <w:r>
              <w:rPr/>
              <w:t>​</w:t>
            </w:r>
          </w:p>
        </w:tc>
        <w:tc>
          <w:tcPr>
            <w:tcW w:w="826"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287,775</w:t>
            </w:r>
          </w:p>
        </w:tc>
        <w:tc>
          <w:tcPr>
            <w:tcW w:w="326" w:type="dxa"/>
            <w:tcBorders/>
            <w:shd w:fill="CCEEFF" w:val="clear"/>
            <w:vAlign w:val="center"/>
          </w:tcPr>
          <w:p>
            <w:pPr>
              <w:pStyle w:val="TableContents"/>
              <w:bidi w:val="0"/>
              <w:spacing w:before="1" w:after="1"/>
              <w:ind w:left="0" w:right="0" w:hanging="0"/>
              <w:jc w:val="left"/>
              <w:rPr/>
            </w:pPr>
            <w:r>
              <w:rPr/>
              <w:t>​</w:t>
            </w:r>
          </w:p>
        </w:tc>
        <w:tc>
          <w:tcPr>
            <w:tcW w:w="526"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3.2</w:t>
            </w:r>
          </w:p>
        </w:tc>
      </w:tr>
      <w:tr>
        <w:trPr/>
        <w:tc>
          <w:tcPr>
            <w:tcW w:w="3341" w:type="dxa"/>
            <w:tcBorders/>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Others</w:t>
            </w:r>
          </w:p>
        </w:tc>
        <w:tc>
          <w:tcPr>
            <w:tcW w:w="326" w:type="dxa"/>
            <w:tcBorders/>
            <w:vAlign w:val="center"/>
          </w:tcPr>
          <w:p>
            <w:pPr>
              <w:pStyle w:val="TableContents"/>
              <w:bidi w:val="0"/>
              <w:spacing w:before="1"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1,517,501</w:t>
            </w:r>
          </w:p>
        </w:tc>
        <w:tc>
          <w:tcPr>
            <w:tcW w:w="326" w:type="dxa"/>
            <w:tcBorders/>
            <w:vAlign w:val="center"/>
          </w:tcPr>
          <w:p>
            <w:pPr>
              <w:pStyle w:val="TableContents"/>
              <w:bidi w:val="0"/>
              <w:spacing w:before="1" w:after="1"/>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3.1</w:t>
            </w:r>
          </w:p>
        </w:tc>
        <w:tc>
          <w:tcPr>
            <w:tcW w:w="326" w:type="dxa"/>
            <w:tcBorders/>
            <w:vAlign w:val="center"/>
          </w:tcPr>
          <w:p>
            <w:pPr>
              <w:pStyle w:val="TableContents"/>
              <w:bidi w:val="0"/>
              <w:spacing w:before="1"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2,356,827</w:t>
            </w:r>
          </w:p>
        </w:tc>
        <w:tc>
          <w:tcPr>
            <w:tcW w:w="326" w:type="dxa"/>
            <w:tcBorders/>
            <w:vAlign w:val="center"/>
          </w:tcPr>
          <w:p>
            <w:pPr>
              <w:pStyle w:val="TableContents"/>
              <w:bidi w:val="0"/>
              <w:spacing w:before="1" w:after="1"/>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4.2</w:t>
            </w:r>
          </w:p>
        </w:tc>
        <w:tc>
          <w:tcPr>
            <w:tcW w:w="326" w:type="dxa"/>
            <w:tcBorders/>
            <w:vAlign w:val="center"/>
          </w:tcPr>
          <w:p>
            <w:pPr>
              <w:pStyle w:val="TableContents"/>
              <w:bidi w:val="0"/>
              <w:spacing w:before="1"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2,072,599</w:t>
            </w:r>
          </w:p>
        </w:tc>
        <w:tc>
          <w:tcPr>
            <w:tcW w:w="326" w:type="dxa"/>
            <w:tcBorders/>
            <w:vAlign w:val="center"/>
          </w:tcPr>
          <w:p>
            <w:pPr>
              <w:pStyle w:val="TableContents"/>
              <w:bidi w:val="0"/>
              <w:spacing w:before="1"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283,945</w:t>
            </w:r>
          </w:p>
        </w:tc>
        <w:tc>
          <w:tcPr>
            <w:tcW w:w="326" w:type="dxa"/>
            <w:tcBorders/>
            <w:vAlign w:val="center"/>
          </w:tcPr>
          <w:p>
            <w:pPr>
              <w:pStyle w:val="TableContents"/>
              <w:bidi w:val="0"/>
              <w:spacing w:before="1" w:after="1"/>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3.1</w:t>
            </w:r>
          </w:p>
        </w:tc>
      </w:tr>
      <w:tr>
        <w:trPr/>
        <w:tc>
          <w:tcPr>
            <w:tcW w:w="3341" w:type="dxa"/>
            <w:tcBorders/>
            <w:shd w:fill="CCEEFF" w:val="clear"/>
            <w:vAlign w:val="center"/>
          </w:tcPr>
          <w:p>
            <w:pPr>
              <w:pStyle w:val="TableContents"/>
              <w:bidi w:val="0"/>
              <w:spacing w:before="1" w:after="1"/>
              <w:ind w:left="0" w:right="0" w:hanging="0"/>
              <w:jc w:val="left"/>
              <w:rPr>
                <w:rFonts w:ascii="Times New Roman;Times;serif" w:hAnsi="Times New Roman;Times;serif"/>
                <w:b/>
                <w:sz w:val="18"/>
              </w:rPr>
            </w:pPr>
            <w:r>
              <w:rPr>
                <w:rFonts w:ascii="Times New Roman;Times;serif" w:hAnsi="Times New Roman;Times;serif"/>
                <w:b/>
                <w:sz w:val="18"/>
              </w:rPr>
              <w:t>Total</w:t>
            </w:r>
          </w:p>
        </w:tc>
        <w:tc>
          <w:tcPr>
            <w:tcW w:w="326" w:type="dxa"/>
            <w:tcBorders/>
            <w:shd w:fill="CCEEFF" w:val="clear"/>
            <w:vAlign w:val="center"/>
          </w:tcPr>
          <w:p>
            <w:pPr>
              <w:pStyle w:val="TableContents"/>
              <w:bidi w:val="0"/>
              <w:spacing w:before="1"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b/>
                <w:sz w:val="18"/>
              </w:rPr>
            </w:pPr>
            <w:r>
              <w:rPr>
                <w:rFonts w:ascii="Times New Roman;Times;serif" w:hAnsi="Times New Roman;Times;serif"/>
                <w:b/>
                <w:sz w:val="18"/>
              </w:rPr>
              <w:t>3,761,980</w:t>
            </w:r>
          </w:p>
        </w:tc>
        <w:tc>
          <w:tcPr>
            <w:tcW w:w="326" w:type="dxa"/>
            <w:tcBorders/>
            <w:shd w:fill="CCEEFF" w:val="clear"/>
            <w:vAlign w:val="center"/>
          </w:tcPr>
          <w:p>
            <w:pPr>
              <w:pStyle w:val="TableContents"/>
              <w:bidi w:val="0"/>
              <w:spacing w:before="1" w:after="1"/>
              <w:ind w:left="0" w:right="0" w:hanging="0"/>
              <w:jc w:val="left"/>
              <w:rPr/>
            </w:pPr>
            <w:r>
              <w:rPr/>
              <w:t> </w:t>
            </w:r>
          </w:p>
        </w:tc>
        <w:tc>
          <w:tcPr>
            <w:tcW w:w="33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b/>
                <w:sz w:val="18"/>
              </w:rPr>
            </w:pPr>
            <w:r>
              <w:rPr>
                <w:rFonts w:ascii="Times New Roman;Times;serif" w:hAnsi="Times New Roman;Times;serif"/>
                <w:b/>
                <w:sz w:val="18"/>
              </w:rPr>
              <w:t>7.6</w:t>
            </w:r>
          </w:p>
        </w:tc>
        <w:tc>
          <w:tcPr>
            <w:tcW w:w="326" w:type="dxa"/>
            <w:tcBorders/>
            <w:shd w:fill="CCEEFF" w:val="clear"/>
            <w:vAlign w:val="center"/>
          </w:tcPr>
          <w:p>
            <w:pPr>
              <w:pStyle w:val="TableContents"/>
              <w:bidi w:val="0"/>
              <w:spacing w:before="1"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b/>
                <w:sz w:val="18"/>
              </w:rPr>
            </w:pPr>
            <w:r>
              <w:rPr>
                <w:rFonts w:ascii="Times New Roman;Times;serif" w:hAnsi="Times New Roman;Times;serif"/>
                <w:b/>
                <w:sz w:val="18"/>
              </w:rPr>
              <w:t>6,360,663</w:t>
            </w:r>
          </w:p>
        </w:tc>
        <w:tc>
          <w:tcPr>
            <w:tcW w:w="326" w:type="dxa"/>
            <w:tcBorders/>
            <w:shd w:fill="CCEEFF" w:val="clear"/>
            <w:vAlign w:val="center"/>
          </w:tcPr>
          <w:p>
            <w:pPr>
              <w:pStyle w:val="TableContents"/>
              <w:bidi w:val="0"/>
              <w:spacing w:before="1" w:after="1"/>
              <w:ind w:left="0" w:right="0" w:hanging="0"/>
              <w:jc w:val="left"/>
              <w:rPr/>
            </w:pPr>
            <w:r>
              <w:rPr/>
              <w:t> </w:t>
            </w:r>
          </w:p>
        </w:tc>
        <w:tc>
          <w:tcPr>
            <w:tcW w:w="42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b/>
                <w:sz w:val="18"/>
              </w:rPr>
            </w:pPr>
            <w:r>
              <w:rPr>
                <w:rFonts w:ascii="Times New Roman;Times;serif" w:hAnsi="Times New Roman;Times;serif"/>
                <w:b/>
                <w:sz w:val="18"/>
              </w:rPr>
              <w:t>11.4</w:t>
            </w:r>
          </w:p>
        </w:tc>
        <w:tc>
          <w:tcPr>
            <w:tcW w:w="326" w:type="dxa"/>
            <w:tcBorders/>
            <w:shd w:fill="CCEEFF" w:val="clear"/>
            <w:vAlign w:val="center"/>
          </w:tcPr>
          <w:p>
            <w:pPr>
              <w:pStyle w:val="TableContents"/>
              <w:bidi w:val="0"/>
              <w:spacing w:before="1"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b/>
                <w:sz w:val="18"/>
              </w:rPr>
            </w:pPr>
            <w:r>
              <w:rPr>
                <w:rFonts w:ascii="Times New Roman;Times;serif" w:hAnsi="Times New Roman;Times;serif"/>
                <w:b/>
                <w:sz w:val="18"/>
              </w:rPr>
              <w:t>7,497,473</w:t>
            </w:r>
          </w:p>
        </w:tc>
        <w:tc>
          <w:tcPr>
            <w:tcW w:w="326" w:type="dxa"/>
            <w:tcBorders/>
            <w:shd w:fill="CCEEFF" w:val="clear"/>
            <w:vAlign w:val="center"/>
          </w:tcPr>
          <w:p>
            <w:pPr>
              <w:pStyle w:val="TableContents"/>
              <w:bidi w:val="0"/>
              <w:spacing w:before="1"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b/>
                <w:sz w:val="18"/>
              </w:rPr>
            </w:pPr>
            <w:r>
              <w:rPr>
                <w:rFonts w:ascii="Times New Roman;Times;serif" w:hAnsi="Times New Roman;Times;serif"/>
                <w:b/>
                <w:sz w:val="18"/>
              </w:rPr>
              <w:t>1,027,150</w:t>
            </w:r>
          </w:p>
        </w:tc>
        <w:tc>
          <w:tcPr>
            <w:tcW w:w="326" w:type="dxa"/>
            <w:tcBorders/>
            <w:shd w:fill="CCEEFF" w:val="clear"/>
            <w:vAlign w:val="center"/>
          </w:tcPr>
          <w:p>
            <w:pPr>
              <w:pStyle w:val="TableContents"/>
              <w:bidi w:val="0"/>
              <w:spacing w:before="1" w:after="1"/>
              <w:ind w:left="0" w:right="0" w:hanging="0"/>
              <w:jc w:val="left"/>
              <w:rPr/>
            </w:pPr>
            <w:r>
              <w:rPr/>
              <w:t> </w:t>
            </w:r>
          </w:p>
        </w:tc>
        <w:tc>
          <w:tcPr>
            <w:tcW w:w="526"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Times New Roman;Times;serif" w:hAnsi="Times New Roman;Times;serif"/>
                <w:b/>
                <w:sz w:val="18"/>
              </w:rPr>
            </w:pPr>
            <w:r>
              <w:rPr>
                <w:rFonts w:ascii="Times New Roman;Times;serif" w:hAnsi="Times New Roman;Times;serif"/>
                <w:b/>
                <w:sz w:val="18"/>
              </w:rPr>
              <w:t>11.4</w:t>
            </w:r>
          </w:p>
        </w:tc>
      </w:tr>
    </w:tbl>
    <w:p>
      <w:pPr>
        <w:pStyle w:val="TextBody"/>
        <w:bidi w:val="0"/>
        <w:spacing w:before="200" w:after="20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generate revenues from vehicle sales, which represent revenues from sales of new vehicles, and other sales including (a) parts, accessories and after-sales vehicle services, including repair, maintenance, service package, extended warranty services and other vehicle services, (b) provision of power solutions, including sale of charging piles, provision of battery charging and swapping services, battery upgrade services, BaaS battery buy-out services and other power solution services, (c) others, which mainly consist of revenues from sales of used cars, auto financing services, technical services, lifestyle product merchandise, automotive regulatory credits and other products and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Revenues from sales of new vehicles, used cars, charging piles, automotive regulatory credits, parts and accessories are recognized when control is transferred. For embedded vehicle connectivity services and battery swapping services offered together with vehicle sales, we recognize revenue over time using a straight-line method (commensurate with the transfer of benefit to the consumer over the period of service). As for the extended warranty, given our limited operating history and lack of historical data, we recognize revenue over time based on a straight-line method initially, and will continue monitoring the cost pattern periodically and adjust the revenue recognition pattern to reflect the actual cost pattern as it becomes available with more data.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Cost of Sales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presents our cost of sales components by amount and as a percentage of our total cost of sales for the period indicated.</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1593"/>
        <w:gridCol w:w="326"/>
        <w:gridCol w:w="1154"/>
        <w:gridCol w:w="326"/>
        <w:gridCol w:w="571"/>
        <w:gridCol w:w="326"/>
        <w:gridCol w:w="1154"/>
        <w:gridCol w:w="326"/>
        <w:gridCol w:w="571"/>
        <w:gridCol w:w="326"/>
        <w:gridCol w:w="1154"/>
        <w:gridCol w:w="326"/>
        <w:gridCol w:w="1049"/>
        <w:gridCol w:w="326"/>
        <w:gridCol w:w="677"/>
      </w:tblGrid>
      <w:tr>
        <w:trPr/>
        <w:tc>
          <w:tcPr>
            <w:tcW w:w="1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011555" cy="175260"/>
                      <wp:effectExtent l="0" t="0" r="0" b="0"/>
                      <wp:wrapNone/>
                      <wp:docPr id="38" name="Frame35"/>
                      <a:graphic xmlns:a="http://schemas.openxmlformats.org/drawingml/2006/main">
                        <a:graphicData uri="http://schemas.microsoft.com/office/word/2010/wordprocessingShape">
                          <wps:wsp>
                            <wps:cNvSpPr txBox="1"/>
                            <wps:spPr>
                              <a:xfrm>
                                <a:off x="0" y="0"/>
                                <a:ext cx="1011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39"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732790" cy="175260"/>
                      <wp:effectExtent l="0" t="0" r="0" b="0"/>
                      <wp:wrapNone/>
                      <wp:docPr id="40" name="Frame37"/>
                      <a:graphic xmlns:a="http://schemas.openxmlformats.org/drawingml/2006/main">
                        <a:graphicData uri="http://schemas.microsoft.com/office/word/2010/wordprocessingShape">
                          <wps:wsp>
                            <wps:cNvSpPr txBox="1"/>
                            <wps:spPr>
                              <a:xfrm>
                                <a:off x="0" y="0"/>
                                <a:ext cx="732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1"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62585" cy="175260"/>
                      <wp:effectExtent l="0" t="0" r="0" b="0"/>
                      <wp:wrapNone/>
                      <wp:docPr id="42" name="Frame3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43"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732790" cy="175260"/>
                      <wp:effectExtent l="0" t="0" r="0" b="0"/>
                      <wp:wrapNone/>
                      <wp:docPr id="44" name="Frame41"/>
                      <a:graphic xmlns:a="http://schemas.openxmlformats.org/drawingml/2006/main">
                        <a:graphicData uri="http://schemas.microsoft.com/office/word/2010/wordprocessingShape">
                          <wps:wsp>
                            <wps:cNvSpPr txBox="1"/>
                            <wps:spPr>
                              <a:xfrm>
                                <a:off x="0" y="0"/>
                                <a:ext cx="732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45"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62585" cy="175260"/>
                      <wp:effectExtent l="0" t="0" r="0" b="0"/>
                      <wp:wrapNone/>
                      <wp:docPr id="46" name="Frame4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47"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732790" cy="175260"/>
                      <wp:effectExtent l="0" t="0" r="0" b="0"/>
                      <wp:wrapNone/>
                      <wp:docPr id="48" name="Frame45"/>
                      <a:graphic xmlns:a="http://schemas.openxmlformats.org/drawingml/2006/main">
                        <a:graphicData uri="http://schemas.microsoft.com/office/word/2010/wordprocessingShape">
                          <wps:wsp>
                            <wps:cNvSpPr txBox="1"/>
                            <wps:spPr>
                              <a:xfrm>
                                <a:off x="0" y="0"/>
                                <a:ext cx="732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49"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66115" cy="175260"/>
                      <wp:effectExtent l="0" t="0" r="0" b="0"/>
                      <wp:wrapNone/>
                      <wp:docPr id="50" name="Frame47"/>
                      <a:graphic xmlns:a="http://schemas.openxmlformats.org/drawingml/2006/main">
                        <a:graphicData uri="http://schemas.microsoft.com/office/word/2010/wordprocessingShape">
                          <wps:wsp>
                            <wps:cNvSpPr txBox="1"/>
                            <wps:spPr>
                              <a:xfrm>
                                <a:off x="0" y="0"/>
                                <a:ext cx="666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1"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29895" cy="175260"/>
                      <wp:effectExtent l="0" t="0" r="0" b="0"/>
                      <wp:wrapNone/>
                      <wp:docPr id="52" name="Frame49"/>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86"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15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5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205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353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593"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    </w:t>
            </w:r>
          </w:p>
        </w:tc>
        <w:tc>
          <w:tcPr>
            <w:tcW w:w="11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    </w:t>
            </w:r>
          </w:p>
        </w:tc>
        <w:tc>
          <w:tcPr>
            <w:tcW w:w="11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    </w:t>
            </w:r>
          </w:p>
        </w:tc>
        <w:tc>
          <w:tcPr>
            <w:tcW w:w="11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0"/>
              <w:ind w:left="0" w:right="0" w:hanging="0"/>
              <w:jc w:val="left"/>
              <w:rPr/>
            </w:pPr>
            <w:r>
              <w:rPr/>
              <w:t>    </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020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15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86" w:type="dxa"/>
            <w:gridSpan w:val="1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593"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Cost of Sales:</w:t>
            </w:r>
          </w:p>
        </w:tc>
        <w:tc>
          <w:tcPr>
            <w:tcW w:w="326" w:type="dxa"/>
            <w:tcBorders/>
            <w:shd w:fill="CCEEFF" w:val="clear"/>
            <w:vAlign w:val="center"/>
          </w:tcPr>
          <w:p>
            <w:pPr>
              <w:pStyle w:val="TableContents"/>
              <w:bidi w:val="0"/>
              <w:spacing w:before="0" w:after="0"/>
              <w:ind w:left="0" w:right="0" w:hanging="0"/>
              <w:jc w:val="left"/>
              <w:rPr/>
            </w:pPr>
            <w:r>
              <w:rPr/>
              <w:t> </w:t>
            </w:r>
          </w:p>
        </w:tc>
        <w:tc>
          <w:tcPr>
            <w:tcW w:w="115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center"/>
              <w:rPr/>
            </w:pPr>
            <w:r>
              <w:rPr/>
              <w:t>​</w:t>
            </w:r>
          </w:p>
        </w:tc>
      </w:tr>
      <w:tr>
        <w:trPr/>
        <w:tc>
          <w:tcPr>
            <w:tcW w:w="1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 sales</w:t>
            </w:r>
          </w:p>
        </w:tc>
        <w:tc>
          <w:tcPr>
            <w:tcW w:w="326" w:type="dxa"/>
            <w:tcBorders/>
            <w:vAlign w:val="center"/>
          </w:tcPr>
          <w:p>
            <w:pPr>
              <w:pStyle w:val="TableContents"/>
              <w:bidi w:val="0"/>
              <w:spacing w:before="0" w:after="0"/>
              <w:ind w:left="0" w:right="0" w:hanging="0"/>
              <w:jc w:val="left"/>
              <w:rPr/>
            </w:pPr>
            <w:r>
              <w:rPr/>
              <w:t> </w:t>
            </w:r>
          </w:p>
        </w:tc>
        <w:tc>
          <w:tcPr>
            <w:tcW w:w="11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(39,271,801)</w:t>
            </w:r>
          </w:p>
        </w:tc>
        <w:tc>
          <w:tcPr>
            <w:tcW w:w="32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w:t>
            </w:r>
          </w:p>
        </w:tc>
        <w:tc>
          <w:tcPr>
            <w:tcW w:w="326" w:type="dxa"/>
            <w:tcBorders/>
            <w:vAlign w:val="center"/>
          </w:tcPr>
          <w:p>
            <w:pPr>
              <w:pStyle w:val="TableContents"/>
              <w:bidi w:val="0"/>
              <w:spacing w:before="0" w:after="0"/>
              <w:ind w:left="0" w:right="0" w:hanging="0"/>
              <w:jc w:val="left"/>
              <w:rPr/>
            </w:pPr>
            <w:r>
              <w:rPr/>
              <w:t> </w:t>
            </w:r>
          </w:p>
        </w:tc>
        <w:tc>
          <w:tcPr>
            <w:tcW w:w="11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(44,587,572)</w:t>
            </w:r>
          </w:p>
        </w:tc>
        <w:tc>
          <w:tcPr>
            <w:tcW w:w="32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w:t>
            </w:r>
          </w:p>
        </w:tc>
        <w:tc>
          <w:tcPr>
            <w:tcW w:w="326" w:type="dxa"/>
            <w:tcBorders/>
            <w:vAlign w:val="center"/>
          </w:tcPr>
          <w:p>
            <w:pPr>
              <w:pStyle w:val="TableContents"/>
              <w:bidi w:val="0"/>
              <w:spacing w:before="0" w:after="0"/>
              <w:ind w:left="0" w:right="0" w:hanging="0"/>
              <w:jc w:val="left"/>
              <w:rPr/>
            </w:pPr>
            <w:r>
              <w:rPr/>
              <w:t> </w:t>
            </w:r>
          </w:p>
        </w:tc>
        <w:tc>
          <w:tcPr>
            <w:tcW w:w="11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(51,094,616)</w:t>
            </w:r>
          </w:p>
        </w:tc>
        <w:tc>
          <w:tcPr>
            <w:tcW w:w="326" w:type="dxa"/>
            <w:tcBorders/>
            <w:vAlign w:val="center"/>
          </w:tcPr>
          <w:p>
            <w:pPr>
              <w:pStyle w:val="TableContents"/>
              <w:bidi w:val="0"/>
              <w:spacing w:before="0" w:after="0"/>
              <w:ind w:left="0" w:right="0" w:hanging="0"/>
              <w:jc w:val="left"/>
              <w:rPr/>
            </w:pPr>
            <w:r>
              <w:rPr/>
              <w:t> </w:t>
            </w:r>
          </w:p>
        </w:tc>
        <w:tc>
          <w:tcPr>
            <w:tcW w:w="10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(6,999,934)</w:t>
            </w:r>
          </w:p>
        </w:tc>
        <w:tc>
          <w:tcPr>
            <w:tcW w:w="326"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w:t>
            </w:r>
          </w:p>
        </w:tc>
      </w:tr>
      <w:tr>
        <w:trPr/>
        <w:tc>
          <w:tcPr>
            <w:tcW w:w="1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sales</w:t>
            </w:r>
          </w:p>
        </w:tc>
        <w:tc>
          <w:tcPr>
            <w:tcW w:w="326" w:type="dxa"/>
            <w:tcBorders/>
            <w:shd w:fill="CCEEFF" w:val="clear"/>
            <w:vAlign w:val="center"/>
          </w:tcPr>
          <w:p>
            <w:pPr>
              <w:pStyle w:val="TableContents"/>
              <w:bidi w:val="0"/>
              <w:spacing w:before="0" w:after="0"/>
              <w:ind w:left="0" w:right="0" w:hanging="0"/>
              <w:jc w:val="left"/>
              <w:rPr/>
            </w:pPr>
            <w:r>
              <w:rPr/>
              <w:t> </w:t>
            </w:r>
          </w:p>
        </w:tc>
        <w:tc>
          <w:tcPr>
            <w:tcW w:w="11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(4,852,767)</w:t>
            </w:r>
          </w:p>
        </w:tc>
        <w:tc>
          <w:tcPr>
            <w:tcW w:w="326" w:type="dxa"/>
            <w:tcBorders/>
            <w:shd w:fill="CCEEFF" w:val="clear"/>
            <w:vAlign w:val="center"/>
          </w:tcPr>
          <w:p>
            <w:pPr>
              <w:pStyle w:val="TableContents"/>
              <w:bidi w:val="0"/>
              <w:spacing w:before="0"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CCEEFF" w:val="clear"/>
            <w:vAlign w:val="center"/>
          </w:tcPr>
          <w:p>
            <w:pPr>
              <w:pStyle w:val="TableContents"/>
              <w:bidi w:val="0"/>
              <w:spacing w:before="0" w:after="0"/>
              <w:ind w:left="0" w:right="0" w:hanging="0"/>
              <w:jc w:val="left"/>
              <w:rPr/>
            </w:pPr>
            <w:r>
              <w:rPr/>
              <w:t> </w:t>
            </w:r>
          </w:p>
        </w:tc>
        <w:tc>
          <w:tcPr>
            <w:tcW w:w="11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(7,978,565)</w:t>
            </w:r>
          </w:p>
        </w:tc>
        <w:tc>
          <w:tcPr>
            <w:tcW w:w="326" w:type="dxa"/>
            <w:tcBorders/>
            <w:shd w:fill="CCEEFF" w:val="clear"/>
            <w:vAlign w:val="center"/>
          </w:tcPr>
          <w:p>
            <w:pPr>
              <w:pStyle w:val="TableContents"/>
              <w:bidi w:val="0"/>
              <w:spacing w:before="0"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26" w:type="dxa"/>
            <w:tcBorders/>
            <w:shd w:fill="CCEEFF" w:val="clear"/>
            <w:vAlign w:val="center"/>
          </w:tcPr>
          <w:p>
            <w:pPr>
              <w:pStyle w:val="TableContents"/>
              <w:bidi w:val="0"/>
              <w:spacing w:before="0" w:after="0"/>
              <w:ind w:left="0" w:right="0" w:hanging="0"/>
              <w:jc w:val="left"/>
              <w:rPr/>
            </w:pPr>
            <w:r>
              <w:rPr/>
              <w:t> </w:t>
            </w:r>
          </w:p>
        </w:tc>
        <w:tc>
          <w:tcPr>
            <w:tcW w:w="11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(8,144,181)</w:t>
            </w:r>
          </w:p>
        </w:tc>
        <w:tc>
          <w:tcPr>
            <w:tcW w:w="326" w:type="dxa"/>
            <w:tcBorders/>
            <w:shd w:fill="CCEEFF" w:val="clear"/>
            <w:vAlign w:val="center"/>
          </w:tcPr>
          <w:p>
            <w:pPr>
              <w:pStyle w:val="TableContents"/>
              <w:bidi w:val="0"/>
              <w:spacing w:before="0" w:after="0"/>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(1,115,748)</w:t>
            </w:r>
          </w:p>
        </w:tc>
        <w:tc>
          <w:tcPr>
            <w:tcW w:w="326" w:type="dxa"/>
            <w:tcBorders/>
            <w:shd w:fill="CCEEFF" w:val="cle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1593"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cost of sales</w:t>
            </w:r>
          </w:p>
        </w:tc>
        <w:tc>
          <w:tcPr>
            <w:tcW w:w="326" w:type="dxa"/>
            <w:tcBorders/>
            <w:vAlign w:val="center"/>
          </w:tcPr>
          <w:p>
            <w:pPr>
              <w:pStyle w:val="TableContents"/>
              <w:bidi w:val="0"/>
              <w:spacing w:before="0" w:after="0"/>
              <w:ind w:left="0" w:right="0" w:hanging="0"/>
              <w:jc w:val="left"/>
              <w:rPr/>
            </w:pPr>
            <w:r>
              <w:rPr/>
              <w:t> </w:t>
            </w:r>
          </w:p>
        </w:tc>
        <w:tc>
          <w:tcPr>
            <w:tcW w:w="11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(44,124,568)</w:t>
            </w:r>
          </w:p>
        </w:tc>
        <w:tc>
          <w:tcPr>
            <w:tcW w:w="326" w:type="dxa"/>
            <w:tcBorders/>
            <w:vAlign w:val="center"/>
          </w:tcPr>
          <w:p>
            <w:pPr>
              <w:pStyle w:val="TableContents"/>
              <w:bidi w:val="0"/>
              <w:spacing w:before="0" w:after="0"/>
              <w:ind w:left="0" w:right="0" w:hanging="0"/>
              <w:jc w:val="righ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vAlign w:val="center"/>
          </w:tcPr>
          <w:p>
            <w:pPr>
              <w:pStyle w:val="TableContents"/>
              <w:bidi w:val="0"/>
              <w:spacing w:before="0" w:after="0"/>
              <w:ind w:left="0" w:right="0" w:hanging="0"/>
              <w:jc w:val="left"/>
              <w:rPr/>
            </w:pPr>
            <w:r>
              <w:rPr/>
              <w:t> </w:t>
            </w:r>
          </w:p>
        </w:tc>
        <w:tc>
          <w:tcPr>
            <w:tcW w:w="11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(52,566,137)</w:t>
            </w:r>
          </w:p>
        </w:tc>
        <w:tc>
          <w:tcPr>
            <w:tcW w:w="326" w:type="dxa"/>
            <w:tcBorders/>
            <w:vAlign w:val="center"/>
          </w:tcPr>
          <w:p>
            <w:pPr>
              <w:pStyle w:val="TableContents"/>
              <w:bidi w:val="0"/>
              <w:spacing w:before="0" w:after="0"/>
              <w:ind w:left="0" w:right="0" w:hanging="0"/>
              <w:jc w:val="righ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vAlign w:val="center"/>
          </w:tcPr>
          <w:p>
            <w:pPr>
              <w:pStyle w:val="TableContents"/>
              <w:bidi w:val="0"/>
              <w:spacing w:before="0" w:after="0"/>
              <w:ind w:left="0" w:right="0" w:hanging="0"/>
              <w:jc w:val="left"/>
              <w:rPr/>
            </w:pPr>
            <w:r>
              <w:rPr/>
              <w:t> </w:t>
            </w:r>
          </w:p>
        </w:tc>
        <w:tc>
          <w:tcPr>
            <w:tcW w:w="11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(59,238,797)</w:t>
            </w:r>
          </w:p>
        </w:tc>
        <w:tc>
          <w:tcPr>
            <w:tcW w:w="326" w:type="dxa"/>
            <w:tcBorders/>
            <w:vAlign w:val="center"/>
          </w:tcPr>
          <w:p>
            <w:pPr>
              <w:pStyle w:val="TableContents"/>
              <w:bidi w:val="0"/>
              <w:spacing w:before="0" w:after="0"/>
              <w:ind w:left="0" w:right="0" w:hanging="0"/>
              <w:jc w:val="left"/>
              <w:rPr/>
            </w:pPr>
            <w:r>
              <w:rPr/>
              <w:t> </w:t>
            </w:r>
          </w:p>
        </w:tc>
        <w:tc>
          <w:tcPr>
            <w:tcW w:w="10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(8,115,682)</w:t>
            </w:r>
          </w:p>
        </w:tc>
        <w:tc>
          <w:tcPr>
            <w:tcW w:w="326" w:type="dxa"/>
            <w:tcBorders/>
            <w:vAlign w:val="center"/>
          </w:tcPr>
          <w:p>
            <w:pPr>
              <w:pStyle w:val="TableContents"/>
              <w:bidi w:val="0"/>
              <w:spacing w:before="0" w:after="0"/>
              <w:ind w:left="0" w:right="0" w:hanging="0"/>
              <w:jc w:val="left"/>
              <w:rPr/>
            </w:pPr>
            <w:r>
              <w:rPr/>
              <w:t>​</w:t>
            </w:r>
          </w:p>
        </w:tc>
        <w:tc>
          <w:tcPr>
            <w:tcW w:w="67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incur cost of sales in relation to (i) vehicle sales, including parts, materials, processing fee, labor costs, manufacturing cost (including depreciation of assets associated with the production), losses on production related purchase commitments, warranty expenses, and inventory write-downs, and (ii) other sales, including parts, materials, labor costs, vehicle connectivity cost, and depreciation of assets that are associated with sales of service and others.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expenses consist primarily of (i) employee compensation, representing salaries, benefits and bonuses as well as share-based compensation expenses for our research and development staff and (ii) design and development expenses, which include, among others, consultation fees, outsourcing fees and expenses of testing materials. Our research and development expenses also include travel expenses, depreciation and amortization of equipment used in relation to our research and development activities, rental and related expenses with respect to laboratories and offices for research and development teams and others, which primarily consists of telecommunication expenses, office fees and freight charges.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research and development expenses are mainly driven by the number of our research and development employees, the stage and scale of our vehicle development and development of technology.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Selling, General and Administrative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selling, general and administrative expenses mainly include (i) employee compensation, including salaries, benefits and bonuses as well as share-based compensation expenses with respect to our sales, marketing and general corporate staff, (ii) marketing and promotional expenses, which primarily consist of marketing and advertising costs, (iii) rental and related expenses, which primarily consist of rental for physical stores and offices, (iv) professional service expenses, which consist of outsourcing fees primarily relating to legal and human resources and IT functions, design fees paid for physical stores and offices and fees paid to auditors, (v) depreciation and amortization expenses, primarily consisting of depreciation and amortization of leasehold improvements, IT equipment and software, among others, (vi) expenses of low value consumables, primarily consisting of, among others, IT consumables, office supplies, sample fees and IT-system related licenses, (vii) traveling expenses, and (viii) other expenses, which includes telecommunication expenses, utilities and other miscellaneous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selling, general and administrative expenses are significantly affected by the number of our non-research and development employees, marketing and promotion activities and the expansion of our sales and after-sales network, including NIO Houses, NIO Spaces and other leased properties.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Interest and Investment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and investment income primarily consists of interest and gain earned on cash deposits, short-term investment and long-term investment.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Gain on Extinguishment of Debt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Gain on extinguishment of debt consists of gain earned from repurchase of convertible notes.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expense consists of interest expense with respect to our indebtedness.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Share of Income of Equity Investees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 of income of equity investees primarily consists of our share of the losses, net of shares of gains of our investees in which, as of December 31, 2024, we held 1.0% to 51.0% in related equity interests. Our equity interests are accounted for using the equity method since we exercise significant influence but do not own a majority equity interest in or control those investees. For investees in which we held equity interest less than 20%, we can exercise significant influence over investees through participation and voting rights in the board of directors or investment committee. For investee in which we held equity interest of 51.0%, we cannot control the significant financial and operating decisions of this investee at our discretion according to the corporate government documents.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Income/(Loss),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income or losses primarily consist of foreign exchange gains or losses we incur based on movements between the U.S. dollar and the Renminbi. Other income also includes income from reimbursement from depository bank.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Income Tax Expense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Income tax expense primarily consists of current income tax expense, mainly attributable to intra-group income earned by our United States, German, UK, Hong Kong and PRC subsidiaries which are eliminated upon consolidation but were subject to tax in accordance with applicable tax law, and deferred income tax expense, recognized for the tax consequences attributable to differences between carrying amounts of existing assets and liabilities in the financial statements and their respective tax basis, and operating loss carry-forwards.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Taxation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Cayman Islands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incorporated in the Cayman Islands. The Cayman Islands currently has no form of income, corporate or capital gains tax. There are no other taxes likely to be material to us levied by the government of the Cayman Islands except for stamp duties which may be applicable on instruments executed in, or, after execution, brought within the jurisdiction of the Cayman Islands.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Hong Kong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Subsidiaries incorporated in Hong Kong are subject to 8.25% profit tax on the first HK$2 million taxable income and 16.5% profit tax on the remaining taxable income generated from operations in Hong Kong. There is no withholding tax in Hong Kong on remittance of dividends.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our PRC subsidiaries are subject to enterprise income tax on their taxable income in China at a statutory rate of 25%, except for our certain PRC subsidiaries that are qualified as high and new technology enterprises under the PRC Enterprise Income Tax Law and are eligible for a preferential enterprise income tax rate of 15%. The enterprise income tax is calculated based on the entity’s global income as determined under PRC tax laws and accounting standards.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products and services are primarily subject to value-added tax at a rate of 13% on the vehicles and charging piles, repair and maintenance services and charging services as well as 6% on services such as research and development services, in each case less any deductible value-added tax we have already paid or born. We are also subject to surcharges on value-added tax payments in accordance with PRC law.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Dividends paid by our PRC subsidiaries in China to our Hong Kong subsidiaries will be subject to a withholding tax rate of 10%, unless the Hong Kong entity satisfies all the requirements under the Arrangement Between the Mainland of China and the Hong Kong Special Administrative Region for the Avoidance of Double Taxation and the Prevention of Fiscal Evasion with Respect to Taxes on Income and Capital and receives approval from the tax authority. If our Hong Kong subsidiaries satisfy all the requirements under the tax arrangement and receive approval from the tax authority, then the dividends paid to the Hong Kong subsidiaries would be subject to withholding tax at the standard rate of 5%. Effective from November 1, 2015, the above-mentioned approval requirement has been abolished, but a Hong Kong entity is still required to file application package with the tax authority, and settle the overdue taxes if the preferential 5% tax rate is denied based on the subsequent review of the application package by the tax authority.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NIO Inc. or any of our subsidiaries outside of China were deemed to be a “resident enterprise” under the PRC Enterprise Income Tax Law, it would be subject to enterprise income tax on its worldwide income at a rate of 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PRC Enterprise Income Tax Law, research and development expenses incurred by an enterprise in the course of carrying out research and development activities that have not formed intangible assets and are included in the profit and loss account for the current year. Besides deducting the actual amount of research and development expenses incurred, an enterprise is allowed an additional 100% deduction of the amount in calculating its taxable income for the relevant year. For research and development expenses that have formed intangible assets, the tax amortization is based on 200% of the costs of the intangible assets.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 summary of recently issued accounting pronouncements, see Note 3 to our consolidated financial statements included elsewhere in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a summary of our consolidated results of operations for the periods indicated. This information should be read together with our consolidated financial statements and related notes included elsewhere in this annual report. The operating results in any year are not necessarily indicative of the results that may be expected for any future periods.</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4869"/>
        <w:gridCol w:w="326"/>
        <w:gridCol w:w="1019"/>
        <w:gridCol w:w="326"/>
        <w:gridCol w:w="1019"/>
        <w:gridCol w:w="326"/>
        <w:gridCol w:w="1019"/>
        <w:gridCol w:w="326"/>
        <w:gridCol w:w="975"/>
      </w:tblGrid>
      <w:tr>
        <w:trPr/>
        <w:tc>
          <w:tcPr>
            <w:tcW w:w="4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091815" cy="175260"/>
                      <wp:effectExtent l="0" t="0" r="0" b="0"/>
                      <wp:wrapNone/>
                      <wp:docPr id="53" name="Frame50"/>
                      <a:graphic xmlns:a="http://schemas.openxmlformats.org/drawingml/2006/main">
                        <a:graphicData uri="http://schemas.microsoft.com/office/word/2010/wordprocessingShape">
                          <wps:wsp>
                            <wps:cNvSpPr txBox="1"/>
                            <wps:spPr>
                              <a:xfrm>
                                <a:off x="0" y="0"/>
                                <a:ext cx="309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54"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7065" cy="175260"/>
                      <wp:effectExtent l="0" t="0" r="0" b="0"/>
                      <wp:wrapNone/>
                      <wp:docPr id="55" name="Frame52"/>
                      <a:graphic xmlns:a="http://schemas.openxmlformats.org/drawingml/2006/main">
                        <a:graphicData uri="http://schemas.microsoft.com/office/word/2010/wordprocessingShape">
                          <wps:wsp>
                            <wps:cNvSpPr txBox="1"/>
                            <wps:spPr>
                              <a:xfrm>
                                <a:off x="0" y="0"/>
                                <a:ext cx="647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56"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7065" cy="175260"/>
                      <wp:effectExtent l="0" t="0" r="0" b="0"/>
                      <wp:wrapNone/>
                      <wp:docPr id="57" name="Frame54"/>
                      <a:graphic xmlns:a="http://schemas.openxmlformats.org/drawingml/2006/main">
                        <a:graphicData uri="http://schemas.microsoft.com/office/word/2010/wordprocessingShape">
                          <wps:wsp>
                            <wps:cNvSpPr txBox="1"/>
                            <wps:spPr>
                              <a:xfrm>
                                <a:off x="0" y="0"/>
                                <a:ext cx="647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58"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7065" cy="175260"/>
                      <wp:effectExtent l="0" t="0" r="0" b="0"/>
                      <wp:wrapNone/>
                      <wp:docPr id="59" name="Frame56"/>
                      <a:graphic xmlns:a="http://schemas.openxmlformats.org/drawingml/2006/main">
                        <a:graphicData uri="http://schemas.microsoft.com/office/word/2010/wordprocessingShape">
                          <wps:wsp>
                            <wps:cNvSpPr txBox="1"/>
                            <wps:spPr>
                              <a:xfrm>
                                <a:off x="0" y="0"/>
                                <a:ext cx="647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0"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19125" cy="175260"/>
                      <wp:effectExtent l="0" t="0" r="0" b="0"/>
                      <wp:wrapNone/>
                      <wp:docPr id="61" name="Frame58"/>
                      <a:graphic xmlns:a="http://schemas.openxmlformats.org/drawingml/2006/main">
                        <a:graphicData uri="http://schemas.microsoft.com/office/word/2010/wordprocessingShape">
                          <wps:wsp>
                            <wps:cNvSpPr txBox="1"/>
                            <wps:spPr>
                              <a:xfrm>
                                <a:off x="0" y="0"/>
                                <a:ext cx="619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69"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1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4869"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232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869"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0205"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4869"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010"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869"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Revenues:</w:t>
            </w:r>
            <w:r>
              <w:rPr>
                <w:rFonts w:ascii="Times New Roman;Times;serif" w:hAnsi="Times New Roman;Times;serif"/>
                <w:b/>
                <w:sz w:val="12"/>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75" w:type="dxa"/>
            <w:tcBorders/>
            <w:shd w:fill="CCEEFF" w:val="clear"/>
            <w:vAlign w:val="center"/>
          </w:tcPr>
          <w:p>
            <w:pPr>
              <w:pStyle w:val="TableContents"/>
              <w:bidi w:val="0"/>
              <w:spacing w:before="0" w:after="0"/>
              <w:ind w:left="0" w:right="0" w:hanging="0"/>
              <w:jc w:val="right"/>
              <w:rPr/>
            </w:pPr>
            <w:r>
              <w:rPr/>
              <w:t>  </w:t>
            </w:r>
          </w:p>
        </w:tc>
      </w:tr>
      <w:tr>
        <w:trPr/>
        <w:tc>
          <w:tcPr>
            <w:tcW w:w="486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Vehicle sales</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45,506,581</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49,257,270</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58,234,086</w:t>
            </w:r>
          </w:p>
        </w:tc>
        <w:tc>
          <w:tcPr>
            <w:tcW w:w="326" w:type="dxa"/>
            <w:tcBorders/>
            <w:vAlign w:val="center"/>
          </w:tcPr>
          <w:p>
            <w:pPr>
              <w:pStyle w:val="TableContents"/>
              <w:bidi w:val="0"/>
              <w:spacing w:before="0" w:after="0"/>
              <w:ind w:left="0" w:right="0" w:hanging="0"/>
              <w:jc w:val="left"/>
              <w:rPr/>
            </w:pPr>
            <w:r>
              <w:rPr/>
              <w:t> </w:t>
            </w:r>
          </w:p>
        </w:tc>
        <w:tc>
          <w:tcPr>
            <w:tcW w:w="97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7,978,037</w:t>
            </w:r>
          </w:p>
        </w:tc>
      </w:tr>
      <w:tr>
        <w:trPr/>
        <w:tc>
          <w:tcPr>
            <w:tcW w:w="4869"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Other sales</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3,761,980</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6,360,663</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7,497,473</w:t>
            </w:r>
          </w:p>
        </w:tc>
        <w:tc>
          <w:tcPr>
            <w:tcW w:w="326" w:type="dxa"/>
            <w:tcBorders/>
            <w:shd w:fill="CCEEFF" w:val="clear"/>
            <w:vAlign w:val="center"/>
          </w:tcPr>
          <w:p>
            <w:pPr>
              <w:pStyle w:val="TableContents"/>
              <w:bidi w:val="0"/>
              <w:spacing w:before="0" w:after="0"/>
              <w:ind w:left="0" w:right="0" w:hanging="0"/>
              <w:jc w:val="left"/>
              <w:rPr/>
            </w:pPr>
            <w:r>
              <w:rPr/>
              <w:t> </w:t>
            </w:r>
          </w:p>
        </w:tc>
        <w:tc>
          <w:tcPr>
            <w:tcW w:w="9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1,027,150</w:t>
            </w:r>
          </w:p>
        </w:tc>
      </w:tr>
      <w:tr>
        <w:trPr/>
        <w:tc>
          <w:tcPr>
            <w:tcW w:w="4869"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revenues</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49,268,561</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55,617,933</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65,731,559</w:t>
            </w:r>
          </w:p>
        </w:tc>
        <w:tc>
          <w:tcPr>
            <w:tcW w:w="326" w:type="dxa"/>
            <w:tcBorders/>
            <w:vAlign w:val="center"/>
          </w:tcPr>
          <w:p>
            <w:pPr>
              <w:pStyle w:val="TableContents"/>
              <w:bidi w:val="0"/>
              <w:spacing w:before="0" w:after="0"/>
              <w:ind w:left="0" w:right="0" w:hanging="0"/>
              <w:jc w:val="left"/>
              <w:rPr/>
            </w:pPr>
            <w:r>
              <w:rPr/>
              <w:t> </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9,005,187</w:t>
            </w:r>
          </w:p>
        </w:tc>
      </w:tr>
      <w:tr>
        <w:trPr/>
        <w:tc>
          <w:tcPr>
            <w:tcW w:w="4869"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Cost of sales:</w:t>
            </w:r>
            <w:r>
              <w:rPr>
                <w:rFonts w:ascii="Times New Roman;Times;serif" w:hAnsi="Times New Roman;Times;serif"/>
                <w:sz w:val="12"/>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5" w:type="dxa"/>
            <w:tcBorders/>
            <w:shd w:fill="CCEEFF" w:val="clear"/>
            <w:vAlign w:val="center"/>
          </w:tcPr>
          <w:p>
            <w:pPr>
              <w:pStyle w:val="TableContents"/>
              <w:bidi w:val="0"/>
              <w:spacing w:before="0" w:after="0"/>
              <w:ind w:left="0" w:right="0" w:hanging="0"/>
              <w:jc w:val="right"/>
              <w:rPr/>
            </w:pPr>
            <w:r>
              <w:rPr/>
              <w:t>​</w:t>
            </w:r>
          </w:p>
        </w:tc>
      </w:tr>
      <w:tr>
        <w:trPr/>
        <w:tc>
          <w:tcPr>
            <w:tcW w:w="486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Vehicle sales</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(39,271,801)</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(44,587,572)</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(51,094,616)</w:t>
            </w:r>
          </w:p>
        </w:tc>
        <w:tc>
          <w:tcPr>
            <w:tcW w:w="326" w:type="dxa"/>
            <w:tcBorders/>
            <w:vAlign w:val="center"/>
          </w:tcPr>
          <w:p>
            <w:pPr>
              <w:pStyle w:val="TableContents"/>
              <w:bidi w:val="0"/>
              <w:spacing w:before="0" w:after="0"/>
              <w:ind w:left="0" w:right="0" w:hanging="0"/>
              <w:jc w:val="left"/>
              <w:rPr/>
            </w:pPr>
            <w:r>
              <w:rPr/>
              <w:t> </w:t>
            </w:r>
          </w:p>
        </w:tc>
        <w:tc>
          <w:tcPr>
            <w:tcW w:w="97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(6,999,934)</w:t>
            </w:r>
          </w:p>
        </w:tc>
      </w:tr>
      <w:tr>
        <w:trPr/>
        <w:tc>
          <w:tcPr>
            <w:tcW w:w="48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sales</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(4,852,767)</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(7,978,565)</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(8,144,181)</w:t>
            </w:r>
          </w:p>
        </w:tc>
        <w:tc>
          <w:tcPr>
            <w:tcW w:w="326" w:type="dxa"/>
            <w:tcBorders/>
            <w:shd w:fill="CCEEFF" w:val="clear"/>
            <w:vAlign w:val="center"/>
          </w:tcPr>
          <w:p>
            <w:pPr>
              <w:pStyle w:val="TableContents"/>
              <w:bidi w:val="0"/>
              <w:spacing w:before="0" w:after="0"/>
              <w:ind w:left="0" w:right="0" w:hanging="0"/>
              <w:jc w:val="left"/>
              <w:rPr/>
            </w:pPr>
            <w:r>
              <w:rPr/>
              <w:t> </w:t>
            </w:r>
          </w:p>
        </w:tc>
        <w:tc>
          <w:tcPr>
            <w:tcW w:w="9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(1,115,748)</w:t>
            </w:r>
          </w:p>
        </w:tc>
      </w:tr>
      <w:tr>
        <w:trPr/>
        <w:tc>
          <w:tcPr>
            <w:tcW w:w="4869"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cost of sales</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(44,124,568)</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(52,566,137)</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(59,238,797)</w:t>
            </w:r>
          </w:p>
        </w:tc>
        <w:tc>
          <w:tcPr>
            <w:tcW w:w="326" w:type="dxa"/>
            <w:tcBorders/>
            <w:vAlign w:val="center"/>
          </w:tcPr>
          <w:p>
            <w:pPr>
              <w:pStyle w:val="TableContents"/>
              <w:bidi w:val="0"/>
              <w:spacing w:before="0" w:after="0"/>
              <w:ind w:left="0" w:right="0" w:hanging="0"/>
              <w:jc w:val="left"/>
              <w:rPr/>
            </w:pPr>
            <w:r>
              <w:rPr/>
              <w:t> </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(8,115,682)</w:t>
            </w:r>
          </w:p>
        </w:tc>
      </w:tr>
      <w:tr>
        <w:trPr/>
        <w:tc>
          <w:tcPr>
            <w:tcW w:w="48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5,143,993</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3,051,796</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6,492,762</w:t>
            </w:r>
          </w:p>
        </w:tc>
        <w:tc>
          <w:tcPr>
            <w:tcW w:w="326" w:type="dxa"/>
            <w:tcBorders/>
            <w:shd w:fill="CCEEFF" w:val="clear"/>
            <w:vAlign w:val="center"/>
          </w:tcPr>
          <w:p>
            <w:pPr>
              <w:pStyle w:val="TableContents"/>
              <w:bidi w:val="0"/>
              <w:spacing w:before="0" w:after="0"/>
              <w:ind w:left="0" w:right="0" w:hanging="0"/>
              <w:jc w:val="left"/>
              <w:rPr/>
            </w:pPr>
            <w:r>
              <w:rPr/>
              <w:t> </w:t>
            </w:r>
          </w:p>
        </w:tc>
        <w:tc>
          <w:tcPr>
            <w:tcW w:w="9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889,505</w:t>
            </w:r>
          </w:p>
        </w:tc>
      </w:tr>
      <w:tr>
        <w:trPr/>
        <w:tc>
          <w:tcPr>
            <w:tcW w:w="4869"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75" w:type="dxa"/>
            <w:tcBorders/>
            <w:vAlign w:val="center"/>
          </w:tcPr>
          <w:p>
            <w:pPr>
              <w:pStyle w:val="TableContents"/>
              <w:bidi w:val="0"/>
              <w:spacing w:before="0" w:after="0"/>
              <w:ind w:left="0" w:right="0" w:hanging="0"/>
              <w:jc w:val="right"/>
              <w:rPr/>
            </w:pPr>
            <w:r>
              <w:rPr/>
              <w:t>​</w:t>
            </w:r>
          </w:p>
        </w:tc>
      </w:tr>
      <w:tr>
        <w:trPr/>
        <w:tc>
          <w:tcPr>
            <w:tcW w:w="4869"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w:t>
            </w:r>
            <w:r>
              <w:rPr>
                <w:rFonts w:ascii="Times New Roman;Times;serif" w:hAnsi="Times New Roman;Times;serif"/>
                <w:sz w:val="12"/>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(10,836,261)</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(13,431,399)</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(13,037,304)</w:t>
            </w:r>
          </w:p>
        </w:tc>
        <w:tc>
          <w:tcPr>
            <w:tcW w:w="326" w:type="dxa"/>
            <w:tcBorders/>
            <w:shd w:fill="CCEEFF" w:val="clear"/>
            <w:vAlign w:val="center"/>
          </w:tcPr>
          <w:p>
            <w:pPr>
              <w:pStyle w:val="TableContents"/>
              <w:bidi w:val="0"/>
              <w:spacing w:before="0" w:after="0"/>
              <w:ind w:left="0" w:right="0" w:hanging="0"/>
              <w:jc w:val="left"/>
              <w:rPr/>
            </w:pPr>
            <w:r>
              <w:rPr/>
              <w:t> </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(1,786,103)</w:t>
            </w:r>
          </w:p>
        </w:tc>
      </w:tr>
      <w:tr>
        <w:trPr/>
        <w:tc>
          <w:tcPr>
            <w:tcW w:w="4869"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Selling, general and administrative</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(10,537,119)</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(12,884,556)</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(15,741,057)</w:t>
            </w:r>
          </w:p>
        </w:tc>
        <w:tc>
          <w:tcPr>
            <w:tcW w:w="326" w:type="dxa"/>
            <w:tcBorders/>
            <w:vAlign w:val="center"/>
          </w:tcPr>
          <w:p>
            <w:pPr>
              <w:pStyle w:val="TableContents"/>
              <w:bidi w:val="0"/>
              <w:spacing w:before="0" w:after="0"/>
              <w:ind w:left="0" w:right="0" w:hanging="0"/>
              <w:jc w:val="left"/>
              <w:rPr/>
            </w:pPr>
            <w:r>
              <w:rPr/>
              <w:t> </w:t>
            </w:r>
          </w:p>
        </w:tc>
        <w:tc>
          <w:tcPr>
            <w:tcW w:w="97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(2,156,516)</w:t>
            </w:r>
          </w:p>
        </w:tc>
      </w:tr>
      <w:tr>
        <w:trPr/>
        <w:tc>
          <w:tcPr>
            <w:tcW w:w="48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operating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588,728</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608,975</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411,526</w:t>
            </w:r>
          </w:p>
        </w:tc>
        <w:tc>
          <w:tcPr>
            <w:tcW w:w="326" w:type="dxa"/>
            <w:tcBorders/>
            <w:shd w:fill="CCEEFF" w:val="clear"/>
            <w:vAlign w:val="center"/>
          </w:tcPr>
          <w:p>
            <w:pPr>
              <w:pStyle w:val="TableContents"/>
              <w:bidi w:val="0"/>
              <w:spacing w:before="0" w:after="0"/>
              <w:ind w:left="0" w:right="0" w:hanging="0"/>
              <w:jc w:val="left"/>
              <w:rPr/>
            </w:pPr>
            <w:r>
              <w:rPr/>
              <w:t>​</w:t>
            </w:r>
          </w:p>
        </w:tc>
        <w:tc>
          <w:tcPr>
            <w:tcW w:w="9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56,379</w:t>
            </w:r>
          </w:p>
        </w:tc>
      </w:tr>
      <w:tr>
        <w:trPr/>
        <w:tc>
          <w:tcPr>
            <w:tcW w:w="4869"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operating expenses</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(20,784,652)</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(25,706,980)</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(28,366,835)</w:t>
            </w:r>
          </w:p>
        </w:tc>
        <w:tc>
          <w:tcPr>
            <w:tcW w:w="326" w:type="dxa"/>
            <w:tcBorders/>
            <w:vAlign w:val="center"/>
          </w:tcPr>
          <w:p>
            <w:pPr>
              <w:pStyle w:val="TableContents"/>
              <w:bidi w:val="0"/>
              <w:spacing w:before="0" w:after="0"/>
              <w:ind w:left="0" w:right="0" w:hanging="0"/>
              <w:jc w:val="left"/>
              <w:rPr/>
            </w:pPr>
            <w:r>
              <w:rPr/>
              <w:t> </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(3,886,240)</w:t>
            </w:r>
          </w:p>
        </w:tc>
      </w:tr>
      <w:tr>
        <w:trPr/>
        <w:tc>
          <w:tcPr>
            <w:tcW w:w="486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from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(15,640,659)</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(22,655,184)</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(21,874,073)</w:t>
            </w:r>
          </w:p>
        </w:tc>
        <w:tc>
          <w:tcPr>
            <w:tcW w:w="326" w:type="dxa"/>
            <w:tcBorders/>
            <w:shd w:fill="CCEEFF" w:val="clear"/>
            <w:vAlign w:val="center"/>
          </w:tcPr>
          <w:p>
            <w:pPr>
              <w:pStyle w:val="TableContents"/>
              <w:bidi w:val="0"/>
              <w:spacing w:before="0" w:after="0"/>
              <w:ind w:left="0" w:right="0" w:hanging="0"/>
              <w:jc w:val="left"/>
              <w:rPr/>
            </w:pPr>
            <w:r>
              <w:rPr/>
              <w:t> </w:t>
            </w:r>
          </w:p>
        </w:tc>
        <w:tc>
          <w:tcPr>
            <w:tcW w:w="9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(2,996,735)</w:t>
            </w:r>
          </w:p>
        </w:tc>
      </w:tr>
      <w:tr>
        <w:trPr/>
        <w:tc>
          <w:tcPr>
            <w:tcW w:w="486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and investment income</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1,358,719</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2,210,018</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853,728</w:t>
            </w:r>
          </w:p>
        </w:tc>
        <w:tc>
          <w:tcPr>
            <w:tcW w:w="326" w:type="dxa"/>
            <w:tcBorders/>
            <w:vAlign w:val="center"/>
          </w:tcPr>
          <w:p>
            <w:pPr>
              <w:pStyle w:val="TableContents"/>
              <w:bidi w:val="0"/>
              <w:spacing w:before="0" w:after="0"/>
              <w:ind w:left="0" w:right="0" w:hanging="0"/>
              <w:jc w:val="left"/>
              <w:rPr/>
            </w:pPr>
            <w:r>
              <w:rPr/>
              <w:t> </w:t>
            </w:r>
          </w:p>
        </w:tc>
        <w:tc>
          <w:tcPr>
            <w:tcW w:w="97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116,960</w:t>
            </w:r>
          </w:p>
        </w:tc>
      </w:tr>
      <w:tr>
        <w:trPr/>
        <w:tc>
          <w:tcPr>
            <w:tcW w:w="48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(333,216)</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(403,530)</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(798,363)</w:t>
            </w:r>
          </w:p>
        </w:tc>
        <w:tc>
          <w:tcPr>
            <w:tcW w:w="326" w:type="dxa"/>
            <w:tcBorders/>
            <w:shd w:fill="CCEEFF" w:val="clear"/>
            <w:vAlign w:val="center"/>
          </w:tcPr>
          <w:p>
            <w:pPr>
              <w:pStyle w:val="TableContents"/>
              <w:bidi w:val="0"/>
              <w:spacing w:before="0" w:after="0"/>
              <w:ind w:left="0" w:right="0" w:hanging="0"/>
              <w:jc w:val="left"/>
              <w:rPr/>
            </w:pPr>
            <w:r>
              <w:rPr/>
              <w:t> </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(109,375)</w:t>
            </w:r>
          </w:p>
        </w:tc>
      </w:tr>
      <w:tr>
        <w:trPr/>
        <w:tc>
          <w:tcPr>
            <w:tcW w:w="486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Gain/(loss) on extinguishment of debt</w:t>
            </w:r>
          </w:p>
        </w:tc>
        <w:tc>
          <w:tcPr>
            <w:tcW w:w="326"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138,332</w:t>
            </w:r>
          </w:p>
        </w:tc>
        <w:tc>
          <w:tcPr>
            <w:tcW w:w="326"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170,193</w:t>
            </w:r>
          </w:p>
        </w:tc>
        <w:tc>
          <w:tcPr>
            <w:tcW w:w="326"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(4,480)</w:t>
            </w:r>
          </w:p>
        </w:tc>
        <w:tc>
          <w:tcPr>
            <w:tcW w:w="326"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(614)</w:t>
            </w:r>
          </w:p>
        </w:tc>
      </w:tr>
      <w:tr>
        <w:trPr/>
        <w:tc>
          <w:tcPr>
            <w:tcW w:w="48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 of income/(loss) of equity investees</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377,775</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64,394</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(503,193)</w:t>
            </w:r>
          </w:p>
        </w:tc>
        <w:tc>
          <w:tcPr>
            <w:tcW w:w="326" w:type="dxa"/>
            <w:tcBorders/>
            <w:shd w:fill="CCEEFF" w:val="clear"/>
            <w:vAlign w:val="center"/>
          </w:tcPr>
          <w:p>
            <w:pPr>
              <w:pStyle w:val="TableContents"/>
              <w:bidi w:val="0"/>
              <w:spacing w:before="0" w:after="0"/>
              <w:ind w:left="0" w:right="0" w:hanging="0"/>
              <w:jc w:val="left"/>
              <w:rPr/>
            </w:pPr>
            <w:r>
              <w:rPr/>
              <w:t> </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(68,937)</w:t>
            </w:r>
          </w:p>
        </w:tc>
      </w:tr>
      <w:tr>
        <w:trPr/>
        <w:tc>
          <w:tcPr>
            <w:tcW w:w="486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(loss)/income, net</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(282,952)</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155,191</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(98,143)</w:t>
            </w:r>
          </w:p>
        </w:tc>
        <w:tc>
          <w:tcPr>
            <w:tcW w:w="326" w:type="dxa"/>
            <w:tcBorders/>
            <w:vAlign w:val="center"/>
          </w:tcPr>
          <w:p>
            <w:pPr>
              <w:pStyle w:val="TableContents"/>
              <w:bidi w:val="0"/>
              <w:spacing w:before="0" w:after="0"/>
              <w:ind w:left="0" w:right="0" w:hanging="0"/>
              <w:jc w:val="left"/>
              <w:rPr/>
            </w:pPr>
            <w:r>
              <w:rPr/>
              <w:t> </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(13,446)</w:t>
            </w:r>
          </w:p>
        </w:tc>
      </w:tr>
      <w:tr>
        <w:trPr/>
        <w:tc>
          <w:tcPr>
            <w:tcW w:w="486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before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(14,382,001)</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(20,458,918)</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(22,424,524)</w:t>
            </w:r>
          </w:p>
        </w:tc>
        <w:tc>
          <w:tcPr>
            <w:tcW w:w="326" w:type="dxa"/>
            <w:tcBorders/>
            <w:shd w:fill="CCEEFF" w:val="clear"/>
            <w:vAlign w:val="center"/>
          </w:tcPr>
          <w:p>
            <w:pPr>
              <w:pStyle w:val="TableContents"/>
              <w:bidi w:val="0"/>
              <w:spacing w:before="0" w:after="0"/>
              <w:ind w:left="0" w:right="0" w:hanging="0"/>
              <w:jc w:val="left"/>
              <w:rPr/>
            </w:pPr>
            <w:r>
              <w:rPr/>
              <w:t>​</w:t>
            </w:r>
          </w:p>
        </w:tc>
        <w:tc>
          <w:tcPr>
            <w:tcW w:w="9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(3,072,147)</w:t>
            </w:r>
          </w:p>
        </w:tc>
      </w:tr>
      <w:tr>
        <w:trPr/>
        <w:tc>
          <w:tcPr>
            <w:tcW w:w="486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(expense)/benefit</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(55,103)</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(260,835)</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22,815</w:t>
            </w:r>
          </w:p>
        </w:tc>
        <w:tc>
          <w:tcPr>
            <w:tcW w:w="326" w:type="dxa"/>
            <w:tcBorders/>
            <w:vAlign w:val="center"/>
          </w:tcPr>
          <w:p>
            <w:pPr>
              <w:pStyle w:val="TableContents"/>
              <w:bidi w:val="0"/>
              <w:spacing w:before="0" w:after="0"/>
              <w:ind w:left="0" w:right="0" w:hanging="0"/>
              <w:jc w:val="left"/>
              <w:rPr/>
            </w:pPr>
            <w:r>
              <w:rPr/>
              <w:t>​</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3,126</w:t>
            </w:r>
          </w:p>
        </w:tc>
      </w:tr>
      <w:tr>
        <w:trPr/>
        <w:tc>
          <w:tcPr>
            <w:tcW w:w="486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(14,437,104)</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(20,719,753)</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(22,401,709)</w:t>
            </w:r>
          </w:p>
        </w:tc>
        <w:tc>
          <w:tcPr>
            <w:tcW w:w="326" w:type="dxa"/>
            <w:tcBorders/>
            <w:shd w:fill="CCEEFF" w:val="clear"/>
            <w:vAlign w:val="center"/>
          </w:tcPr>
          <w:p>
            <w:pPr>
              <w:pStyle w:val="TableContents"/>
              <w:bidi w:val="0"/>
              <w:spacing w:before="0" w:after="0"/>
              <w:ind w:left="0" w:right="0" w:hanging="0"/>
              <w:jc w:val="left"/>
              <w:rPr/>
            </w:pPr>
            <w:r>
              <w:rPr/>
              <w:t>​</w:t>
            </w:r>
          </w:p>
        </w:tc>
        <w:tc>
          <w:tcPr>
            <w:tcW w:w="9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(3,069,021)</w:t>
            </w:r>
          </w:p>
        </w:tc>
      </w:tr>
      <w:tr>
        <w:trPr/>
        <w:tc>
          <w:tcPr>
            <w:tcW w:w="4869"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comprehensive income/(loss)</w:t>
            </w:r>
          </w:p>
        </w:tc>
        <w:tc>
          <w:tcPr>
            <w:tcW w:w="326"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pPr>
            <w:r>
              <w:rPr/>
              <w:t>​</w:t>
            </w:r>
          </w:p>
        </w:tc>
      </w:tr>
      <w:tr>
        <w:trPr/>
        <w:tc>
          <w:tcPr>
            <w:tcW w:w="48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unrealized gains/(losses) related to available-for-sale debt securities,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746,336</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(770,560)</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pPr>
            <w:r>
              <w:rPr/>
              <w:t>—</w:t>
            </w:r>
          </w:p>
        </w:tc>
      </w:tr>
      <w:tr>
        <w:trPr/>
        <w:tc>
          <w:tcPr>
            <w:tcW w:w="486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 net of nil tax</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717,274</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11,514</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149,668</w:t>
            </w:r>
          </w:p>
        </w:tc>
        <w:tc>
          <w:tcPr>
            <w:tcW w:w="326" w:type="dxa"/>
            <w:tcBorders/>
            <w:vAlign w:val="center"/>
          </w:tcPr>
          <w:p>
            <w:pPr>
              <w:pStyle w:val="TableContents"/>
              <w:bidi w:val="0"/>
              <w:spacing w:before="0" w:after="0"/>
              <w:ind w:left="0" w:right="0" w:hanging="0"/>
              <w:jc w:val="left"/>
              <w:rPr/>
            </w:pPr>
            <w:r>
              <w:rPr/>
              <w:t>​</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20,504</w:t>
            </w:r>
          </w:p>
        </w:tc>
      </w:tr>
      <w:tr>
        <w:trPr/>
        <w:tc>
          <w:tcPr>
            <w:tcW w:w="486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other comprehensive income/(loss)</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1,463,610</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(759,046)</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149,668</w:t>
            </w:r>
          </w:p>
        </w:tc>
        <w:tc>
          <w:tcPr>
            <w:tcW w:w="326" w:type="dxa"/>
            <w:tcBorders/>
            <w:shd w:fill="CCEEFF" w:val="clear"/>
            <w:vAlign w:val="center"/>
          </w:tcPr>
          <w:p>
            <w:pPr>
              <w:pStyle w:val="TableContents"/>
              <w:bidi w:val="0"/>
              <w:spacing w:before="0" w:after="0"/>
              <w:ind w:left="0" w:right="0" w:hanging="0"/>
              <w:jc w:val="left"/>
              <w:rPr/>
            </w:pPr>
            <w:r>
              <w:rPr/>
              <w:t>​</w:t>
            </w:r>
          </w:p>
        </w:tc>
        <w:tc>
          <w:tcPr>
            <w:tcW w:w="9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20,504</w:t>
            </w:r>
          </w:p>
        </w:tc>
      </w:tr>
      <w:tr>
        <w:trPr/>
        <w:tc>
          <w:tcPr>
            <w:tcW w:w="4869"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comprehensive loss</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(12,973,494)</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(21,478,799)</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(22,252,041)</w:t>
            </w:r>
          </w:p>
        </w:tc>
        <w:tc>
          <w:tcPr>
            <w:tcW w:w="326" w:type="dxa"/>
            <w:tcBorders/>
            <w:vAlign w:val="center"/>
          </w:tcPr>
          <w:p>
            <w:pPr>
              <w:pStyle w:val="TableContents"/>
              <w:bidi w:val="0"/>
              <w:spacing w:before="0" w:after="0"/>
              <w:ind w:left="0" w:right="0" w:hanging="0"/>
              <w:jc w:val="left"/>
              <w:rPr/>
            </w:pPr>
            <w:r>
              <w:rPr/>
              <w:t>​</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(3,048,517)</w:t>
            </w:r>
          </w:p>
        </w:tc>
      </w:tr>
      <w:tr>
        <w:trPr/>
        <w:tc>
          <w:tcPr>
            <w:tcW w:w="48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on redeemable non-controlling interests to redemption value</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(279,355)</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(303,163)</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(347,516)</w:t>
            </w:r>
          </w:p>
        </w:tc>
        <w:tc>
          <w:tcPr>
            <w:tcW w:w="326" w:type="dxa"/>
            <w:tcBorders/>
            <w:shd w:fill="CCEEFF" w:val="clear"/>
            <w:vAlign w:val="center"/>
          </w:tcPr>
          <w:p>
            <w:pPr>
              <w:pStyle w:val="TableContents"/>
              <w:bidi w:val="0"/>
              <w:spacing w:before="0" w:after="0"/>
              <w:ind w:left="0" w:right="0" w:hanging="0"/>
              <w:jc w:val="left"/>
              <w:rPr/>
            </w:pPr>
            <w:r>
              <w:rPr/>
              <w:t> </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(47,609)</w:t>
            </w:r>
          </w:p>
        </w:tc>
      </w:tr>
      <w:tr>
        <w:trPr/>
        <w:tc>
          <w:tcPr>
            <w:tcW w:w="486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loss/(profit) attributable to non-controlling interests</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157,014</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(124,051)</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91,533</w:t>
            </w:r>
          </w:p>
        </w:tc>
        <w:tc>
          <w:tcPr>
            <w:tcW w:w="326" w:type="dxa"/>
            <w:tcBorders/>
            <w:vAlign w:val="center"/>
          </w:tcPr>
          <w:p>
            <w:pPr>
              <w:pStyle w:val="TableContents"/>
              <w:bidi w:val="0"/>
              <w:spacing w:before="0" w:after="0"/>
              <w:ind w:left="0" w:right="0" w:hanging="0"/>
              <w:jc w:val="left"/>
              <w:rPr/>
            </w:pPr>
            <w:r>
              <w:rPr/>
              <w:t> </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12,540</w:t>
            </w:r>
          </w:p>
        </w:tc>
      </w:tr>
      <w:tr>
        <w:trPr/>
        <w:tc>
          <w:tcPr>
            <w:tcW w:w="48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(income)/loss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(151,299)</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156,026</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869"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Comprehensive loss attributable to ordinary shareholders of NIO Inc.</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(13,247,134)</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(21,749,987)</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(22,508,024)</w:t>
            </w:r>
          </w:p>
        </w:tc>
        <w:tc>
          <w:tcPr>
            <w:tcW w:w="326" w:type="dxa"/>
            <w:tcBorders/>
            <w:vAlign w:val="center"/>
          </w:tcPr>
          <w:p>
            <w:pPr>
              <w:pStyle w:val="TableContents"/>
              <w:bidi w:val="0"/>
              <w:spacing w:before="0" w:after="0"/>
              <w:ind w:left="0" w:right="0" w:hanging="0"/>
              <w:jc w:val="left"/>
              <w:rPr/>
            </w:pPr>
            <w:r>
              <w:rPr/>
              <w:t> </w:t>
            </w:r>
          </w:p>
        </w:tc>
        <w:tc>
          <w:tcPr>
            <w:tcW w:w="9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(3,083,586)</w:t>
            </w:r>
          </w:p>
        </w:tc>
      </w:tr>
    </w:tbl>
    <w:p>
      <w:pPr>
        <w:pStyle w:val="TextBody"/>
        <w:bidi w:val="0"/>
        <w:spacing w:before="0" w:after="200"/>
        <w:ind w:left="0" w:right="0" w:hanging="0"/>
        <w:jc w:val="left"/>
        <w:rPr>
          <w:rFonts w:ascii="Times New Roman;Times;serif" w:hAnsi="Times New Roman;Times;serif"/>
          <w:sz w:val="16"/>
        </w:rPr>
      </w:pPr>
      <w:r>
        <w:rPr>
          <w:rFonts w:ascii="Times New Roman;Times;serif" w:hAnsi="Times New Roman;Times;serif"/>
          <w:sz w:val="16"/>
        </w:rPr>
        <w:t>Notes:</w:t>
      </w:r>
    </w:p>
    <w:tbl>
      <w:tblPr>
        <w:tblW w:w="5072" w:type="dxa"/>
        <w:jc w:val="left"/>
        <w:tblInd w:w="0" w:type="dxa"/>
        <w:tblLayout w:type="fixed"/>
        <w:tblCellMar>
          <w:top w:w="0" w:type="dxa"/>
          <w:left w:w="0" w:type="dxa"/>
          <w:bottom w:w="0" w:type="dxa"/>
          <w:right w:w="0" w:type="dxa"/>
        </w:tblCellMar>
      </w:tblPr>
      <w:tblGrid>
        <w:gridCol w:w="331"/>
        <w:gridCol w:w="474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47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We currently generate revenues from vehicle sales and other sales.</w:t>
            </w:r>
          </w:p>
        </w:tc>
      </w:tr>
    </w:tbl>
    <w:tbl>
      <w:tblPr>
        <w:tblW w:w="7517" w:type="dxa"/>
        <w:jc w:val="left"/>
        <w:tblInd w:w="0" w:type="dxa"/>
        <w:tblLayout w:type="fixed"/>
        <w:tblCellMar>
          <w:top w:w="0" w:type="dxa"/>
          <w:left w:w="0" w:type="dxa"/>
          <w:bottom w:w="0" w:type="dxa"/>
          <w:right w:w="0" w:type="dxa"/>
        </w:tblCellMar>
      </w:tblPr>
      <w:tblGrid>
        <w:gridCol w:w="331"/>
        <w:gridCol w:w="718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7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Share-based compensation expenses were allocated in cost of sales and operating expenses as follows:</w:t>
            </w:r>
          </w:p>
        </w:tc>
      </w:tr>
    </w:tbl>
    <w:p>
      <w:pPr>
        <w:pStyle w:val="TextBody"/>
        <w:bidi w:val="0"/>
        <w:spacing w:before="0" w:after="0"/>
        <w:ind w:left="0" w:right="0" w:hanging="0"/>
        <w:jc w:val="both"/>
        <w:rPr/>
      </w:pPr>
      <w:r>
        <w:rPr/>
        <w:t>​</w:t>
      </w:r>
    </w:p>
    <w:tbl>
      <w:tblPr>
        <w:tblW w:w="8719" w:type="dxa"/>
        <w:jc w:val="left"/>
        <w:tblInd w:w="0" w:type="dxa"/>
        <w:tblLayout w:type="fixed"/>
        <w:tblCellMar>
          <w:top w:w="0" w:type="dxa"/>
          <w:left w:w="0" w:type="dxa"/>
          <w:bottom w:w="0" w:type="dxa"/>
          <w:right w:w="0" w:type="dxa"/>
        </w:tblCellMar>
      </w:tblPr>
      <w:tblGrid>
        <w:gridCol w:w="3736"/>
        <w:gridCol w:w="326"/>
        <w:gridCol w:w="931"/>
        <w:gridCol w:w="326"/>
        <w:gridCol w:w="931"/>
        <w:gridCol w:w="326"/>
        <w:gridCol w:w="931"/>
        <w:gridCol w:w="326"/>
        <w:gridCol w:w="88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372360" cy="175260"/>
                      <wp:effectExtent l="0" t="0" r="0" b="0"/>
                      <wp:wrapNone/>
                      <wp:docPr id="62" name="Frame59"/>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63"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91185" cy="175260"/>
                      <wp:effectExtent l="0" t="0" r="0" b="0"/>
                      <wp:wrapNone/>
                      <wp:docPr id="64" name="Frame6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65"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91185" cy="175260"/>
                      <wp:effectExtent l="0" t="0" r="0" b="0"/>
                      <wp:wrapNone/>
                      <wp:docPr id="66" name="Frame6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67"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91185" cy="175260"/>
                      <wp:effectExtent l="0" t="0" r="0" b="0"/>
                      <wp:wrapNone/>
                      <wp:docPr id="68" name="Frame6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69"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62610" cy="175260"/>
                      <wp:effectExtent l="0" t="0" r="0" b="0"/>
                      <wp:wrapNone/>
                      <wp:docPr id="70" name="Frame6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center"/>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66,914</w:t>
            </w:r>
          </w:p>
        </w:tc>
        <w:tc>
          <w:tcPr>
            <w:tcW w:w="326" w:type="dxa"/>
            <w:tcBorders/>
            <w:shd w:fill="CCEEFF" w:val="clear"/>
            <w:vAlign w:val="center"/>
          </w:tcPr>
          <w:p>
            <w:pPr>
              <w:pStyle w:val="TableContents"/>
              <w:bidi w:val="0"/>
              <w:spacing w:before="0" w:after="0"/>
              <w:ind w:left="0" w:right="0" w:hanging="0"/>
              <w:jc w:val="center"/>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83,972</w:t>
            </w:r>
          </w:p>
        </w:tc>
        <w:tc>
          <w:tcPr>
            <w:tcW w:w="326" w:type="dxa"/>
            <w:tcBorders/>
            <w:shd w:fill="CCEEFF" w:val="clear"/>
            <w:vAlign w:val="center"/>
          </w:tcPr>
          <w:p>
            <w:pPr>
              <w:pStyle w:val="TableContents"/>
              <w:bidi w:val="0"/>
              <w:spacing w:before="0" w:after="0"/>
              <w:ind w:left="0" w:right="0" w:hanging="0"/>
              <w:jc w:val="center"/>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71,779</w:t>
            </w:r>
          </w:p>
        </w:tc>
        <w:tc>
          <w:tcPr>
            <w:tcW w:w="326" w:type="dxa"/>
            <w:tcBorders/>
            <w:shd w:fill="CCEEFF" w:val="clear"/>
            <w:vAlign w:val="center"/>
          </w:tcPr>
          <w:p>
            <w:pPr>
              <w:pStyle w:val="TableContents"/>
              <w:bidi w:val="0"/>
              <w:spacing w:before="0" w:after="0"/>
              <w:ind w:left="0" w:right="0" w:hanging="0"/>
              <w:jc w:val="center"/>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9,834</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1,323,370</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1,517,206</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1,296,136</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177,570</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905,612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767,863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560,597</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76,801</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2,295,896</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2,369,041</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1,928,512</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264,205</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40"/>
              <w:jc w:val="both"/>
              <w:rPr>
                <w:rFonts w:ascii="Times New Roman;Times;serif" w:hAnsi="Times New Roman;Times;serif"/>
                <w:sz w:val="16"/>
              </w:rPr>
            </w:pPr>
            <w:r>
              <w:rPr>
                <w:rFonts w:ascii="Times New Roman;Times;serif" w:hAnsi="Times New Roman;Times;serif"/>
                <w:sz w:val="16"/>
              </w:rPr>
              <w:t>(3)</w:t>
            </w:r>
          </w:p>
        </w:tc>
        <w:tc>
          <w:tcPr>
            <w:tcW w:w="9922" w:type="dxa"/>
            <w:tcBorders/>
            <w:vAlign w:val="center"/>
          </w:tcPr>
          <w:p>
            <w:pPr>
              <w:pStyle w:val="TableContents"/>
              <w:bidi w:val="0"/>
              <w:spacing w:before="0" w:after="240"/>
              <w:jc w:val="both"/>
              <w:rPr>
                <w:rFonts w:ascii="Times New Roman;Times;serif" w:hAnsi="Times New Roman;Times;serif"/>
                <w:sz w:val="16"/>
              </w:rPr>
            </w:pPr>
            <w:r>
              <w:rPr>
                <w:rFonts w:ascii="Times New Roman;Times;serif" w:hAnsi="Times New Roman;Times;serif"/>
                <w:sz w:val="16"/>
              </w:rPr>
              <w:t>Other sales mainly consist of revenues from (a) parts, accessories and after-sales vehicle services, including repair, maintenance, service package, extended warranty services and other vehicle services, (b) provision of power solutions, including sale of charging piles, provision of battery charging and swapping services, battery upgrade service, BaaS battery buy-out service and other power solution services, (c) others, which mainly consist of revenues from sales of used cars, auto financing services, technical services, lifestyle product merchandise, automotive regulatory credits and other products and services.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Year Ended December 31, 2024 Compared to Year Ended December 31, 2023</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Revenues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revenues increased by 18.2% from RMB55,617.9 million in 2023 to RMB65,731.6 million (US$9,005.2 million) in 2024, primarily attributable to (i) an increase in vehicle sales by RMB8,976.8 million, as a result of an increase in vehicle delivery volume by 38.7%, partially offset by a decrease in the average selling price of our vehicles mainly due to changes in product mix, and (ii) an increase in other revenues by RMB1,497.1 million from sales of parts, accessories and after-sales vehicle services and provision of power solutions, as a result of continued growth in the number of our users, partially offset by (iii) the decrease in revenue from sales of used cars by RMB587.8 million.</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Cost of sales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cost of sales increased by 12.7% from RMB52,566.1 million in 2023 to RMB59,238.8 million (US$8,115.7 million) in 2024, primarily attributable to (i) an increase in cost of vehicle sales by RMB6,507.0 million, as a result of an increase in vehicle delivery volume by 38.7%, partially offset by lower material cost per vehicle and changes in our product mix, and (ii) an increase in cost of provision of power solutions and parts, accessories and after-sales vehicle services by RMB840.1 million, as a result of higher depreciation and operating cost from the increased investment in our power and service network, partially offset by (iii) the decrease in cost of used car sales of RMB746.4 million, as a result of decreased used car sales volume.</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Gross Profit and Gross Margin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gross profit increased by 112.8% from RMB3,051.8 million in 2023 to RMB6,492.8 million (US$889.5 million) in 2024. The increase of gross profit compared to 2023 was mainly driven by (i) the increase in profit from vehicle sales of RMB2,469.8 million primarily due to an increase in vehicle delivery volume by 38.7%, and (ii) the increase in profit from sales of parts, accessories and after-sales vehicle services with RMB850.1 million.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Gross margin in 2024 was 9.9%, compared with 5.5% in 2023. The increase of gross margin as compared to 2023 was mainly driven by the increase of vehicle margin.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Vehicle margin in 2024 was 12.3%, compared with 9.5% in 2023. Vehicle margin is the margin of new vehicle sales, which is calculated based on revenues and cost of sales derived from new vehicle sales only. The increase of vehicle margin as compared to 2023 was mainly driven by decreased material cost per vehicle, which is partially offset by changes in our product mix.</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Other sales margin in 2024 was negative 8.6%, compared with negative 25.4% in 2023, which was mainly driven by the increase of sales of parts, accessories and after-sales vehicle services with relatively high sales margin.</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Research and development expenses decreased by 2.9% from RMB13,431.4 million in 2023 to RMB13,037.3 million (US$1,786.1 million) in 2024, primarily due to decreased design and development costs of RMB457.6 million and decreased personnel costs in research and development functions of RMB169.3 million resulting from different stages of development for new products and technologies, partially offset by the incremental depreciation and amortization expenses of RMB270.3 million.</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Selling, general and administrative expenses increased by 22.2% from RMB12,884.6 million in 2023 to RMB15,741.1 million (US$2,156.5 million) in 2024, primarily due to (i) increased employee compensation expense of RMB1,475.9 million driven by an increase in sales functions personnel, and (ii) increased marketing and promotional expenses of RMB766.4 million due to the increase in sales and marketing activities for new brands and products.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Loss from Operations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As a result of the foregoing, we incurred a loss from operations of RMB21,874.1 million (US$2,996.7 million) in 2024, representing a decrease of 3.4% as compared to a loss of RMB22,655.2 million in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Interest and investment income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recorded interest and investment income of RMB853.7 million (US$117.0 million) in 2024, representing a decrease of 61.4% as compared to RMB2,210.0 million in 2023, primarily due to the fair value change of our equity investments.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Interest Expenses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interest expenses increased from RMB403.5 million in 2023 to RMB798.4 million (US$109.4 million) in 2024, primarily due to the issuance of 2029 Notes and the 2030 Notes in September 2023 and the increased other financing arrangements.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Share of Income/(Loss) of Equity Investees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recorded share of loss of equity investees of RMB503.2 million (US$68.9 million) in 2024, as compared to share of income of equity investees of RMB64.4 million in 2023, primarily due to the share of losses recorded from our equity investments measured under equity method in 2024.</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Other (Loss)/Income, Net</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recorded other losses of RMB98.1 million (US$13.4 million) in 2024, compared with other income of RMB155.2 million in 2023, primarily due to an increase in foreign exchange loss of RMB253.2 million from the revaluation impact of overseas Renminbi-related assets as a result of the depreciation of Renminbi against U.S. dollars in 2024.</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Income Tax (Expense)/Benefit</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recorded income tax benefit of RMB22.8 million (US$3.1 million) in 2024, as compared to income tax expense of RMB260.8 million in 2023, primarily due to the reversion of deferred tax liabilities in connection with the fair value change of our equity investments.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Net Loss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As a result of the foregoing, we incurred a net loss of RMB22,401.7 million (US$3,069.0 million) in 2024, representing an increase of 8.1% as compared to a net loss of RMB20,719.8 million in 2023.</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Year Ended December 31, 2023 Compared to Year Ended December 31, 2022</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 xml:space="preserve">Revenues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revenues increased by 12.9% from RMB49,268.6 million in 2022 to RMB55,617.9 million in 2023, primarily attributable to (i) an increase of vehicle sales by RMB3,750.7 million, as a result of an increase in vehicle delivery volume by 30.7% mainly due to a more diversified product mix offered to our users, and partially offset by a decrease in the average selling price of our vehicles by 15.7% also mainly due to changes in product mix, (ii) an increase in other revenues by RMB2,655.4 million from sales of parts, accessories and after-sales vehicle services, provision of power solutions and other sales, as a result of continued growth in the number of our users, and partially offset by (iii) the decrease in revenue from sales of automotive regulatory credits by RMB56.7 million mainly due to decreased sales of credits with lower selling prices.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Cost of sales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cost of sales increased by 19.1% from RMB44,124.6 million in 2022 to RMB52,566.1 million in 2023, primarily attributable to an increase in cost of vehicle sales by RMB5,315.8 million and an increase of cost of provision of power solutions and parts, accessories and after-sales vehicle services by RMB2,124.1 million, which was mainly due to (i) an increase of vehicle delivery volume by 30.7% in 2023, (ii) partially offset by lower material cost per vehicle and the inventory provisions, accelerated depreciation on production facilities, and losses on purchase commitments for the previous generation of ES8, ES6 and EC6 recorded in 2022 (RMB985.4 million in total) and (iii) higher depreciation and operating cost from the expanded investment in our power and service network.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Gross Profit and Gross Margin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gross profit decreased by 40.7% from RMB5,144.0 million in 2022 to RMB3,051.8 million in 2023. The decrease of gross profit compared to 2022 was mainly driven by (i) the decrease of profit from vehicle sales with RMB1,565.1 million primarily due to lower average selling price as a result of changes in product mix, (ii) the decrease of profit from provision of power solutions with RMB697.1 million as a result of the expanded power network, (iii) and partially offset by the increase of profit from sales of parts, accessories and after-sales vehicle services with RMB332.9 million.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Gross margin in 2023 was 5.5%, compared with 10.4% in 2022. The decrease of gross margin as compared to 2022 was mainly driven by the decrease of vehicle margin.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Vehicle margin in 2023 was 9.5%, compared with 13.7% in 2022. Vehicle margin is the margin of new vehicle sales, which is calculated based on revenues and cost of sales derived from new vehicle sales only. The decrease of vehicle margin as compared to 2022 was mainly driven by lower average selling price primarily due to changes in product mix.</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Other sales margin in 2023 was negative 25.4%, compared with negative 29.0% in 2022, which was mainly driven by the increase of sales of parts, accessories and after-sales vehicle services with high sales margin.</w:t>
      </w:r>
    </w:p>
    <w:p>
      <w:pPr>
        <w:pStyle w:val="TextBody"/>
        <w:bidi w:val="0"/>
        <w:spacing w:before="200" w:after="200"/>
        <w:ind w:left="0" w:right="0" w:hanging="0"/>
        <w:jc w:val="both"/>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Research and development expenses increased by 23.9% from RMB10,836.3 million in 2022 to RMB13,431.4 million in 2023, primarily due to increased personnel costs in research and development functions of RMB2,313.4 million.</w:t>
      </w:r>
    </w:p>
    <w:p>
      <w:pPr>
        <w:pStyle w:val="TextBody"/>
        <w:bidi w:val="0"/>
        <w:spacing w:before="200" w:after="200"/>
        <w:ind w:left="0" w:right="0" w:hanging="0"/>
        <w:jc w:val="both"/>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Selling, general and administrative expenses increased by 22.3% from RMB10,537.1 million in 2022 to RMB12,884.6 million in 2023, primarily due to (i) increased employee compensation expense of RMB1,397.3 million due to an increase in sales and general corporate functions, and (ii) increased marketing and promotional expenses of RMB867.0 million due to the increase in sales and marketing activities.</w:t>
      </w:r>
    </w:p>
    <w:p>
      <w:pPr>
        <w:pStyle w:val="TextBody"/>
        <w:bidi w:val="0"/>
        <w:spacing w:before="200" w:after="200"/>
        <w:ind w:left="0" w:right="0" w:hanging="0"/>
        <w:jc w:val="both"/>
        <w:rPr>
          <w:rFonts w:ascii="Times New Roman;Times;serif" w:hAnsi="Times New Roman;Times;serif"/>
          <w:i/>
          <w:sz w:val="20"/>
        </w:rPr>
      </w:pPr>
      <w:r>
        <w:rPr>
          <w:rFonts w:ascii="Times New Roman;Times;serif" w:hAnsi="Times New Roman;Times;serif"/>
          <w:i/>
          <w:sz w:val="20"/>
        </w:rPr>
        <w:t>Loss from Operations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As a result of the foregoing, we incurred a loss from operations of RMB22,655.2 million in 2023, representing an increase of 44.8% as compared to a loss of RMB15,640.7 million in 2022.</w:t>
      </w:r>
    </w:p>
    <w:p>
      <w:pPr>
        <w:pStyle w:val="TextBody"/>
        <w:bidi w:val="0"/>
        <w:spacing w:before="200" w:after="200"/>
        <w:ind w:left="0" w:right="0" w:hanging="0"/>
        <w:jc w:val="both"/>
        <w:rPr>
          <w:rFonts w:ascii="Times New Roman;Times;serif" w:hAnsi="Times New Roman;Times;serif"/>
          <w:i/>
          <w:sz w:val="20"/>
        </w:rPr>
      </w:pPr>
      <w:r>
        <w:rPr>
          <w:rFonts w:ascii="Times New Roman;Times;serif" w:hAnsi="Times New Roman;Times;serif"/>
          <w:i/>
          <w:sz w:val="20"/>
        </w:rPr>
        <w:t>Interest and investment income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recorded interest and investment income of RMB2,210.0 million in 2023, representing an increase of 62.7% as compared to RMB1,358.7 million in 2022, primarily due to the recycling of an unrealized gain from other comprehensive income to investment income of RMB977.3 million related to an equity investment previously accounted for as an available-for-sale debt investment.</w:t>
      </w:r>
    </w:p>
    <w:p>
      <w:pPr>
        <w:pStyle w:val="TextBody"/>
        <w:bidi w:val="0"/>
        <w:spacing w:before="200" w:after="200"/>
        <w:ind w:left="0" w:right="0" w:hanging="0"/>
        <w:jc w:val="both"/>
        <w:rPr>
          <w:rFonts w:ascii="Times New Roman;Times;serif" w:hAnsi="Times New Roman;Times;serif"/>
          <w:i/>
          <w:sz w:val="20"/>
        </w:rPr>
      </w:pPr>
      <w:r>
        <w:rPr>
          <w:rFonts w:ascii="Times New Roman;Times;serif" w:hAnsi="Times New Roman;Times;serif"/>
          <w:i/>
          <w:sz w:val="20"/>
        </w:rPr>
        <w:t>Interest Expenses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interest expenses increased from RMB333.2 million in 2022 to RMB403.5 million in 2023, primarily because the principal amount of convertible notes outstanding was higher in 2023 due to the issuance of the 2029 Notes and the 2030 Notes.</w:t>
      </w:r>
    </w:p>
    <w:p>
      <w:pPr>
        <w:pStyle w:val="TextBody"/>
        <w:bidi w:val="0"/>
        <w:spacing w:before="200" w:after="200"/>
        <w:ind w:left="0" w:right="0" w:hanging="0"/>
        <w:jc w:val="both"/>
        <w:rPr>
          <w:rFonts w:ascii="Times New Roman;Times;serif" w:hAnsi="Times New Roman;Times;serif"/>
          <w:i/>
          <w:sz w:val="20"/>
        </w:rPr>
      </w:pPr>
      <w:r>
        <w:rPr>
          <w:rFonts w:ascii="Times New Roman;Times;serif" w:hAnsi="Times New Roman;Times;serif"/>
          <w:i/>
          <w:sz w:val="20"/>
        </w:rPr>
        <w:t>Gain on extinguishment of debt</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gain on extinguishment of debt was RMB170.2 million in 2023, compared with RMB138.3 million in 2022, which was attributed to the gain from the repurchase of a portion of the 2026 Notes and 2027 Notes with a carrying amount of RMB1,822.0 million in 2023 and RMB1,739.3 million, respectively.</w:t>
      </w:r>
    </w:p>
    <w:p>
      <w:pPr>
        <w:pStyle w:val="TextBody"/>
        <w:bidi w:val="0"/>
        <w:spacing w:before="200" w:after="200"/>
        <w:ind w:left="0" w:right="0" w:hanging="0"/>
        <w:jc w:val="both"/>
        <w:rPr>
          <w:rFonts w:ascii="Times New Roman;Times;serif" w:hAnsi="Times New Roman;Times;serif"/>
          <w:i/>
          <w:sz w:val="20"/>
        </w:rPr>
      </w:pPr>
      <w:r>
        <w:rPr>
          <w:rFonts w:ascii="Times New Roman;Times;serif" w:hAnsi="Times New Roman;Times;serif"/>
          <w:i/>
          <w:sz w:val="20"/>
        </w:rPr>
        <w:t>Share of Income of Equity Investees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recorded share of income of equity investees of RMB64.4 million in 2023, compared with RMB377.8 million in 2022, primarily due to the decreased share of income recorded from our equity investments measured under equity method due to decreased earnings of equity investees in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Other Income/(Loss), Net</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recorded other income of RMB155.2 million in 2023, compared with other losses of RMB283.0 million in 2022, primarily due to a decrease in foreign exchange loss of RMB463.3 million from the revaluation impact of overseas Renminbi-related assets as a result of the appreciation of Renminbi against U.S. dollars in 2023.</w:t>
      </w:r>
    </w:p>
    <w:p>
      <w:pPr>
        <w:pStyle w:val="TextBody"/>
        <w:bidi w:val="0"/>
        <w:spacing w:before="200" w:after="200"/>
        <w:ind w:left="0" w:right="0" w:hanging="0"/>
        <w:jc w:val="both"/>
        <w:rPr>
          <w:rFonts w:ascii="Times New Roman;Times;serif" w:hAnsi="Times New Roman;Times;serif"/>
          <w:i/>
          <w:sz w:val="20"/>
        </w:rPr>
      </w:pPr>
      <w:r>
        <w:rPr>
          <w:rFonts w:ascii="Times New Roman;Times;serif" w:hAnsi="Times New Roman;Times;serif"/>
          <w:i/>
          <w:sz w:val="20"/>
        </w:rPr>
        <w:t>Income Tax Expense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income tax expense increased from RMB55.1 million in 2022 to RMB260.8 million in 2023, primarily due to the recognition of an income tax expense of RMB206.7 million in 2023 in connection with recycling of an unrealized gain from other comprehensive income to investment income of RMB977.3 million for the available-for-sale debt investment referred to above.</w:t>
      </w:r>
    </w:p>
    <w:p>
      <w:pPr>
        <w:pStyle w:val="TextBody"/>
        <w:bidi w:val="0"/>
        <w:spacing w:before="200" w:after="200"/>
        <w:ind w:left="0" w:right="0" w:hanging="0"/>
        <w:jc w:val="both"/>
        <w:rPr>
          <w:rFonts w:ascii="Times New Roman;Times;serif" w:hAnsi="Times New Roman;Times;serif"/>
          <w:i/>
          <w:sz w:val="20"/>
        </w:rPr>
      </w:pPr>
      <w:r>
        <w:rPr>
          <w:rFonts w:ascii="Times New Roman;Times;serif" w:hAnsi="Times New Roman;Times;serif"/>
          <w:i/>
          <w:sz w:val="20"/>
        </w:rPr>
        <w:t>Net Loss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As a result of the foregoing, we incurred a net loss of RMB20,719.8 million in 2023, representing an increase of 43.5% as compared to a net loss of RMB14,437.1 million in 2022.</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 xml:space="preserve">Liquidity and Capital Resources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Cash Flows and Working Capital</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had net cash used in operating activities of RMB3,866.0 million in 2022, net cash used in operating activities of RMB1,381.5 million in 2023, and net cash used in operating activities of RMB7,849.2 million (US$1,075.3 million) in 2024.</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As of December 31, 2024, we had a total of RMB41,884.9 million (US$5,738.2 million) in cash and cash equivalents, restricted cash (including non-current restricted cash) and short-term investments. As of December 31, 2024, 79.0% of our cash and cash equivalents and restricted cash (including non-current restricted cash) and short-term investments were denominated in Renminbi and held in PRC and Hong Kong and the other cash and cash equivalents and restricted cash (including non-current restricted cash) and short-term investments were mainly denominated in US$ and held in the PRC, Hong Kong and the United States. Our cash and cash equivalents consist primarily of cash on hand, time deposits and highly liquid investments placed with banks, which are unrestricted as to withdrawal and use, and which have original maturities of three months or less.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As of December 31, 2024, we had bank credit quotas with an aggregate amount of RMB73,772.8 million (US$10,106.8 million), which consists of non-collateral based bank credit quotas of RMB15,441.3 million (US$2,115.4 million) and collateral-based bank credit quotas of RMB58,331.5 million (US$7,991.4 million). Out of the total non-collateral based bank credit quotas, RMB7,104.5 million (US$973.3 million), RMB2,537.0 million (US$347.6 million), and RMB330.0 million (US$45.2 million) were used for bank borrowing, issuance of letters of guarantee, and bank’s acceptance notes, respectively. Out of the total collateral-based bank credit quotas, RMB2,058.6 million (US$282.0 million) and RMB16,658.7 million (US$2,282.2 million) were used for issuance of letters of guarantee and bank’s acceptance notes, respectively.</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As of December 31, 2024, we had RMB9,127.2 million (US$1,250.4 million) and RMB11,440.8 million (US$1,567.4 million) in total short-term and long-term borrowings outstanding, respectively. The borrowings outstanding primarily consisted of the 2026 Notes, 2027 Notes, 2029 Notes and 2030 Notes, portions of the asset-backed notes, and our short-term and long-term bank debt.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 January 2021, we issued US$750 million aggregate principal amount of 0.00% convertible senior notes due 2026, or the 2026 Notes, and US$750 million aggregate principal amount of 0.50% convertible senior notes due 2027, or the 2027 Notes. The 2026 Notes and the 2027 Notes are unsecured debt. The 2026 Notes will not bear interest, and the principal amount of the 2026 Notes will not accrete. The 2027 Notes will bear interest at a rate of 0.50% per year. The 2026 Notes will mature on February 1, 2026 and the 2027 Notes will mature on February 1, 2027, unless repurchased, redeemed or converted in accordance with their terms prior to such date. Prior to August 1, 2025, in the case of the 2026 Notes, and August 1, 2026, in the case of the 2027 Notes, the 2026 Notes and the 2027 Notes, as applicable, will be convertible at the option of the holders only upon satisfaction of certain conditions and during certain periods. Holders may convert their 2026 Notes or 2027 Notes, as applicable, at their option at any time on or after August 1, 2025, in the case of the 2026 Notes, or August 1, 2026, in the case of the 2027 Notes, until the close of business on the second scheduled trading day immediately preceding the relevant maturity date. Upon conversion, we will pay or deliver to such converting holders, as the case may be, cash, ADSs, or a combination of cash and ADSs, at our election. The initial conversion rate of the 2026 Notes is 10.7458 ADSs per US$1,000 principal amount of such 2026 Notes. The initial conversion rate of the 2027 Notes is 10.7458 ADSs per US$1,000 principal amount of such 2027 Notes. The relevant conversion rate for such series of the 2026 Notes and the 2027 Notes is subject to adjustment upon the occurrence of certain events. Holders of the 2026 Notes and the 2027 Notes may require us to repurchase all or part of their 2026 Notes and 2027 Notes for cash on February 1, 2024, in the case of the 2026 Notes, and February 1, 2025, in the case of the 2027 Notes, or in the event of certain fundamental changes, at a repurchase price equal to 100% of the principal amount of the 2026 Notes or the 2027 Notes to be repurchased, plus accrued and unpaid interest, if any, to, but excluding, the relevant repurchase date.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In addition, on or after February 6, 2024, in the case of the 2026 Notes, and February 6, 2025, in the case of the 2027 Notes, until the 20th scheduled trading day immediately prior to the relevant maturity date, we may redeem the 2026 Notes or the 2027 Notes, as applicable for cash subject to certain conditions, at a redemption price equal to 100% of the principal amount of the 2026 Notes or the 2027 Notes to be redeemed, plus accrued and unpaid interest, if any, to, but excluding, the relevant optional redemption date. Furthermore, we may redeem all but not part of the 2026 Notes or the 2027 Notes in the event of certain changes in the tax laws. Satisfying the obligations of the 2026 Notes and the 2027 Notes could adversely affect the amount or timing of any distributions to our shareholders. We may choose to satisfy, repurchase, or refinance the 2026 Notes or the 2027 Notes through public or private equity or debt financings if we deem such financings available on favorable terms. In 2022, we repurchased an aggregate principal amount of US$192.9 million of 2026 Notes for a total cash consideration of US$170.5 million. In September 2023, shortly after the pricing of the 2029 Notes and the 2030 Notes, we repurchased an aggregate principal amount of US$255.6 million of the 2026 Notes for a total cash consideration of US$249.9 million and an aggregate principal amount of US$244.4 million of the 2027 Notes for a total cash consideration of US$222.0 million. In February 2024, we completed the repurchase right offer relating to the 2026 Notes. US$300.5 million in aggregate principal amount of the 2026 Notes were validly surrendered and not withdrawn prior to the expiration of the repurchase right offer. In November and December 2024, we entered into and completed separate, privately negotiated transactions with a limited number of holders of the 2027 Notes resulting in the exchange of US$127.1 million principal amount of the 2027 Notes into ADSs. In these exchange transactions, we delivered to the participating holders 27.7 million ADSs. The exchange prices ranged from 207.0 to 227.6 ADSs per US$1,000 principal amount of the 2027 Notes. We did not receive any cash proceeds from the issuance of the ADSs upon exchange. Concurrently, CHJ Limited, one of our wholly-owned subsidiaries, surrendered 27.7 million Class A ordinary shares held by it to us for cancellation at no consideration. On January 31, 2025, we completed the repurchase right offer relating to the 2027 Notes. US$378.3 million aggregate principal amount of the 2027 Notes were validly surrendered and not withdrawn prior to the expiration of the repurchase right offer. Following settlement of the repurchase, US$213,000 aggregate principal amount of the 2027 Notes remained outstanding and continues to be subject to the existing terms of the indenture and the 2027 Notes.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In September 2023, we issued US$500 million aggregate principal amount of 3.875% convertible senior notes due 2029, or the 2029 Notes, and US$500 million aggregate principal amount of 4.625% convertible senior notes due 2030, or the 2030 Notes. We granted the initial purchasers in the notes offering an option to purchase up to an additional US$75 million in aggregate principal amount of the 2029 Notes and up to an additional US$75 million in aggregate principal amount of the 2030 Notes. The initial purchasers exercised in full the option to purchase from us an aggregate of US$75 million principal amount of the 2029 Notes and US$75 million principal amount of the 2030 Notes. The 2029 Notes and the 2030 Notes are unsecured debt. The 2029 Notes will bear interest at a rate of 3.875% per year, and the 2030 Notes will bear interest at a rate of 4.625% per year. The 2029 Notes will mature on October 15, 2029 and the 2030 Notes will mature on October 15, 2030, unless repurchased, redeemed or converted in accordance with their terms prior to such date. The holders of the 2029 Notes and the 2030 Notes shall have the right, at such holder’s option, to convert all or any portion of their 2029 Notes or 2030 Notes, as applicable, at any time prior to the close of business on the second scheduled trading day immediately preceding the relevant maturity date.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Upon conversion, we will pay or deliver to such converting holders, as the case may be, cash, ADSs, or a combination of cash and ADSs, at our election. The initial conversion rate of the 2029 Notes is 89.9685 ADSs per US$1,000 principal amount of such 2029 Notes. The initial conversion rate of the 2030 Notes is 89.9685 ADSs per US$1,000 principal amount of such 2030 Notes. The relevant conversion rate for such series of the 2029 Notes and the 2030 Notes is subject to adjustment upon the occurrence of certain events.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Holders of the 2029 Notes and 2030 Notes may require us to repurchase all or any portion of their 2029 Notes and 2030 Notes for cash on October 15, 2027, in the case of the 2029 Notes, and October 15, 2028, in the case of 2030 Notes, or in the event of certain fundamental changes, at a repurchase price equal to 100% of the principal amount of the 2029 Notes or the 2030 Notes to be repurchased plus accrued and unpaid interest, if any, to, but excluding, the repurchase date. In addition, on or after October 22, 2027, in the case of the 2029 Notes, and October 22, 2028, in the case of the 2030 Notes, until the 20th scheduled trading day immediately prior to the relevant maturity date, we may redeem all or part of the 2029 Notes and 2030 Notes, as applicable for cash subject to certain conditions, at a redemption price equal to 100% of the principal amount of the 2029 Notes or the 2030 Notes to be redeemed, plus accrued and unpaid interest, if any, to, but excluding, the optional redemption date. Furthermore, we may redeem all but not part of the 2029 Notes or the 2030 Notes in the event of certain changes in the tax laws. Satisfying the obligations of the 2029 Notes and the 2030 Notes could adversely affect the amount or timing of any distributions to our shareholders. We may choose to satisfy, repurchase, or refinance the 2029 Notes or the 2030 Notes through public or private equity or debt financings if we deem such financings available on favorable terms.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Based on the outstanding principal amount of the 2026 Notes, the 2027 Notes, the 2029 Notes and the 2030 Notes, and the highest conversion rate under each indenture, the maximum number of ADSs that would be issued in connection with the outstanding convertible notes is approximately 134.5 million.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principal sources of liquidity have been proceeds from issuances of equity securities, our notes offerings, our bank credit quotas and cash flow from business operations. We have been applying a variety of methods to manage our working capital. We use just-in-time, pull-production system to control the inventory level of the components. Meanwhile, payment methods for our suppliers can be a combination of cash and notes payable.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have been incurring losses since inception. We incurred operating cash outflow for the year ended December 31, 2024 and our current liabilities exceeded current assets as of December 31, 2024. Therefore, our ability to continue as a going concern is largely dependent on the successful implementation of our management’s business plan to mitigate these adverse conditions, which includes growing our revenue by increasing the sales volume of electric vehicles, maintaining a reasonable working capital turnover rate by managing collection of receivables and settlement of payables, and raising funds from banks under available credit quotas and other sources when needed. We have prepared a cash flows forecast covering the twelve months from the date of issuance of the consolidated financial statements after giving consideration to our business plan as noted above and the evaluation of the probability of the successful implementation of such business plan. We have concluded it is probable that the business plan will be effectively implemented, and our available cash and cash equivalents, restricted cash and short-term investments, cash generated from operating activities and funds from available credit quotas and other sources will be sufficient to support our continuous operations and necessary capital expenditures, and to meet our payment obligations when liabilities fall due within the twelve months from the date of issuance of the consolidated financial statements.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However, we may decide to enhance our liquidity position or increase our cash reserve for future expansions and acquisitions through additional capital and/or finance funding.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a summary of our cash flows for the periods indicated.</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4513"/>
        <w:gridCol w:w="326"/>
        <w:gridCol w:w="1045"/>
        <w:gridCol w:w="326"/>
        <w:gridCol w:w="1134"/>
        <w:gridCol w:w="326"/>
        <w:gridCol w:w="1134"/>
        <w:gridCol w:w="326"/>
        <w:gridCol w:w="1075"/>
      </w:tblGrid>
      <w:tr>
        <w:trPr/>
        <w:tc>
          <w:tcPr>
            <w:tcW w:w="45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865755" cy="175260"/>
                      <wp:effectExtent l="0" t="0" r="0" b="0"/>
                      <wp:wrapNone/>
                      <wp:docPr id="71" name="Frame68"/>
                      <a:graphic xmlns:a="http://schemas.openxmlformats.org/drawingml/2006/main">
                        <a:graphicData uri="http://schemas.microsoft.com/office/word/2010/wordprocessingShape">
                          <wps:wsp>
                            <wps:cNvSpPr txBox="1"/>
                            <wps:spPr>
                              <a:xfrm>
                                <a:off x="0" y="0"/>
                                <a:ext cx="2865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2"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63575" cy="175260"/>
                      <wp:effectExtent l="0" t="0" r="0" b="0"/>
                      <wp:wrapNone/>
                      <wp:docPr id="73" name="Frame70"/>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74"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720090" cy="175260"/>
                      <wp:effectExtent l="0" t="0" r="0" b="0"/>
                      <wp:wrapNone/>
                      <wp:docPr id="75" name="Frame72"/>
                      <a:graphic xmlns:a="http://schemas.openxmlformats.org/drawingml/2006/main">
                        <a:graphicData uri="http://schemas.microsoft.com/office/word/2010/wordprocessingShape">
                          <wps:wsp>
                            <wps:cNvSpPr txBox="1"/>
                            <wps:spPr>
                              <a:xfrm>
                                <a:off x="0" y="0"/>
                                <a:ext cx="720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76"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720090" cy="175260"/>
                      <wp:effectExtent l="0" t="0" r="0" b="0"/>
                      <wp:wrapNone/>
                      <wp:docPr id="77" name="Frame74"/>
                      <a:graphic xmlns:a="http://schemas.openxmlformats.org/drawingml/2006/main">
                        <a:graphicData uri="http://schemas.microsoft.com/office/word/2010/wordprocessingShape">
                          <wps:wsp>
                            <wps:cNvSpPr txBox="1"/>
                            <wps:spPr>
                              <a:xfrm>
                                <a:off x="0" y="0"/>
                                <a:ext cx="720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78"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82625" cy="175260"/>
                      <wp:effectExtent l="0" t="0" r="0" b="0"/>
                      <wp:wrapNone/>
                      <wp:docPr id="79" name="Frame76"/>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1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366"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451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113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253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51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113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113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10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0205"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451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366"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51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Summary of Consolidated Cash Flow Data:</w:t>
            </w:r>
          </w:p>
        </w:tc>
        <w:tc>
          <w:tcPr>
            <w:tcW w:w="326" w:type="dxa"/>
            <w:tcBorders/>
            <w:shd w:fill="CCEEFF" w:val="clear"/>
            <w:vAlign w:val="center"/>
          </w:tcPr>
          <w:p>
            <w:pPr>
              <w:pStyle w:val="TableContents"/>
              <w:bidi w:val="0"/>
              <w:spacing w:before="0" w:after="0"/>
              <w:ind w:left="0" w:right="0" w:hanging="0"/>
              <w:jc w:val="left"/>
              <w:rPr/>
            </w:pPr>
            <w:r>
              <w:rPr/>
              <w:t> </w:t>
            </w:r>
          </w:p>
        </w:tc>
        <w:tc>
          <w:tcPr>
            <w:tcW w:w="104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3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3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75" w:type="dxa"/>
            <w:tcBorders/>
            <w:shd w:fill="CCEEFF" w:val="clear"/>
            <w:vAlign w:val="center"/>
          </w:tcPr>
          <w:p>
            <w:pPr>
              <w:pStyle w:val="TableContents"/>
              <w:bidi w:val="0"/>
              <w:spacing w:before="0" w:after="0"/>
              <w:ind w:left="0" w:right="0" w:hanging="0"/>
              <w:jc w:val="right"/>
              <w:rPr/>
            </w:pPr>
            <w:r>
              <w:rPr/>
              <w:t>  </w:t>
            </w:r>
          </w:p>
        </w:tc>
      </w:tr>
      <w:tr>
        <w:trPr/>
        <w:tc>
          <w:tcPr>
            <w:tcW w:w="45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 before movements in working capital</w:t>
            </w:r>
          </w:p>
        </w:tc>
        <w:tc>
          <w:tcPr>
            <w:tcW w:w="326" w:type="dxa"/>
            <w:tcBorders/>
            <w:vAlign w:val="center"/>
          </w:tcPr>
          <w:p>
            <w:pPr>
              <w:pStyle w:val="TableContents"/>
              <w:bidi w:val="0"/>
              <w:spacing w:before="0" w:after="0"/>
              <w:ind w:left="0" w:right="0" w:hanging="0"/>
              <w:jc w:val="left"/>
              <w:rPr/>
            </w:pPr>
            <w:r>
              <w:rPr/>
              <w:t>​</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(8,116,982)</w:t>
            </w:r>
          </w:p>
        </w:tc>
        <w:tc>
          <w:tcPr>
            <w:tcW w:w="326" w:type="dxa"/>
            <w:tcBorders/>
            <w:vAlign w:val="center"/>
          </w:tcPr>
          <w:p>
            <w:pPr>
              <w:pStyle w:val="TableContents"/>
              <w:bidi w:val="0"/>
              <w:spacing w:before="0" w:after="0"/>
              <w:ind w:left="0" w:right="0" w:hanging="0"/>
              <w:jc w:val="left"/>
              <w:rPr/>
            </w:pPr>
            <w:r>
              <w:rPr/>
              <w:t>​</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(14,466,984)</w:t>
            </w:r>
          </w:p>
        </w:tc>
        <w:tc>
          <w:tcPr>
            <w:tcW w:w="326" w:type="dxa"/>
            <w:tcBorders/>
            <w:vAlign w:val="center"/>
          </w:tcPr>
          <w:p>
            <w:pPr>
              <w:pStyle w:val="TableContents"/>
              <w:bidi w:val="0"/>
              <w:spacing w:before="0" w:after="0"/>
              <w:ind w:left="0" w:right="0" w:hanging="0"/>
              <w:jc w:val="left"/>
              <w:rPr/>
            </w:pPr>
            <w:r>
              <w:rPr/>
              <w:t>​</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(11,461,099)</w:t>
            </w:r>
          </w:p>
        </w:tc>
        <w:tc>
          <w:tcPr>
            <w:tcW w:w="326" w:type="dxa"/>
            <w:tcBorders/>
            <w:vAlign w:val="center"/>
          </w:tcPr>
          <w:p>
            <w:pPr>
              <w:pStyle w:val="TableContents"/>
              <w:bidi w:val="0"/>
              <w:spacing w:before="0" w:after="0"/>
              <w:ind w:left="0" w:right="0" w:hanging="0"/>
              <w:jc w:val="left"/>
              <w:rPr/>
            </w:pPr>
            <w:r>
              <w:rPr/>
              <w:t>​</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(1,570,166)</w:t>
            </w:r>
          </w:p>
        </w:tc>
      </w:tr>
      <w:tr>
        <w:trPr/>
        <w:tc>
          <w:tcPr>
            <w:tcW w:w="45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4,250,974</w:t>
            </w:r>
          </w:p>
        </w:tc>
        <w:tc>
          <w:tcPr>
            <w:tcW w:w="326" w:type="dxa"/>
            <w:tcBorders/>
            <w:shd w:fill="CCEEFF" w:val="clear"/>
            <w:vAlign w:val="center"/>
          </w:tcPr>
          <w:p>
            <w:pPr>
              <w:pStyle w:val="TableContents"/>
              <w:bidi w:val="0"/>
              <w:spacing w:before="0" w:after="0"/>
              <w:ind w:left="0" w:right="0" w:hanging="0"/>
              <w:jc w:val="left"/>
              <w:rPr/>
            </w:pPr>
            <w:r>
              <w:rPr/>
              <w:t>​</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13,085,438</w:t>
            </w:r>
          </w:p>
        </w:tc>
        <w:tc>
          <w:tcPr>
            <w:tcW w:w="326" w:type="dxa"/>
            <w:tcBorders/>
            <w:shd w:fill="CCEEFF" w:val="clear"/>
            <w:vAlign w:val="center"/>
          </w:tcPr>
          <w:p>
            <w:pPr>
              <w:pStyle w:val="TableContents"/>
              <w:bidi w:val="0"/>
              <w:spacing w:before="0" w:after="0"/>
              <w:ind w:left="0" w:right="0" w:hanging="0"/>
              <w:jc w:val="left"/>
              <w:rPr/>
            </w:pPr>
            <w:r>
              <w:rPr/>
              <w:t>​</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3,611,931</w:t>
            </w:r>
          </w:p>
        </w:tc>
        <w:tc>
          <w:tcPr>
            <w:tcW w:w="326" w:type="dxa"/>
            <w:tcBorders/>
            <w:shd w:fill="CCEEFF" w:val="clear"/>
            <w:vAlign w:val="center"/>
          </w:tcPr>
          <w:p>
            <w:pPr>
              <w:pStyle w:val="TableContents"/>
              <w:bidi w:val="0"/>
              <w:spacing w:before="0" w:after="0"/>
              <w:ind w:left="0" w:right="0" w:hanging="0"/>
              <w:jc w:val="left"/>
              <w:rPr/>
            </w:pPr>
            <w:r>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494,832</w:t>
            </w:r>
          </w:p>
        </w:tc>
      </w:tr>
      <w:tr>
        <w:trPr/>
        <w:tc>
          <w:tcPr>
            <w:tcW w:w="45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(3,866,008)</w:t>
            </w:r>
          </w:p>
        </w:tc>
        <w:tc>
          <w:tcPr>
            <w:tcW w:w="326"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(1,381,546)</w:t>
            </w:r>
          </w:p>
        </w:tc>
        <w:tc>
          <w:tcPr>
            <w:tcW w:w="326"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(7,849,168)</w:t>
            </w:r>
          </w:p>
        </w:tc>
        <w:tc>
          <w:tcPr>
            <w:tcW w:w="326" w:type="dxa"/>
            <w:tcBorders/>
            <w:vAlign w:val="center"/>
          </w:tcPr>
          <w:p>
            <w:pPr>
              <w:pStyle w:val="TableContents"/>
              <w:bidi w:val="0"/>
              <w:spacing w:before="0" w:after="0"/>
              <w:ind w:left="0" w:right="0" w:hanging="0"/>
              <w:jc w:val="left"/>
              <w:rPr/>
            </w:pPr>
            <w:r>
              <w:rPr/>
              <w:t> </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(1,075,334)</w:t>
            </w:r>
          </w:p>
        </w:tc>
      </w:tr>
      <w:tr>
        <w:trPr/>
        <w:tc>
          <w:tcPr>
            <w:tcW w:w="45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10,385,017</w:t>
            </w:r>
          </w:p>
        </w:tc>
        <w:tc>
          <w:tcPr>
            <w:tcW w:w="326" w:type="dxa"/>
            <w:tcBorders/>
            <w:shd w:fill="CCEEFF" w:val="clear"/>
            <w:vAlign w:val="center"/>
          </w:tcPr>
          <w:p>
            <w:pPr>
              <w:pStyle w:val="TableContents"/>
              <w:bidi w:val="0"/>
              <w:spacing w:before="0" w:after="0"/>
              <w:ind w:left="0" w:right="0" w:hanging="0"/>
              <w:jc w:val="left"/>
              <w:rPr/>
            </w:pPr>
            <w:r>
              <w:rPr/>
              <w:t> </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(10,885,375)</w:t>
            </w:r>
          </w:p>
        </w:tc>
        <w:tc>
          <w:tcPr>
            <w:tcW w:w="326" w:type="dxa"/>
            <w:tcBorders/>
            <w:shd w:fill="CCEEFF" w:val="clear"/>
            <w:vAlign w:val="center"/>
          </w:tcPr>
          <w:p>
            <w:pPr>
              <w:pStyle w:val="TableContents"/>
              <w:bidi w:val="0"/>
              <w:spacing w:before="0" w:after="0"/>
              <w:ind w:left="0" w:right="0" w:hanging="0"/>
              <w:jc w:val="left"/>
              <w:rPr/>
            </w:pPr>
            <w:r>
              <w:rPr/>
              <w:t> </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(4,958,493)</w:t>
            </w:r>
          </w:p>
        </w:tc>
        <w:tc>
          <w:tcPr>
            <w:tcW w:w="326" w:type="dxa"/>
            <w:tcBorders/>
            <w:shd w:fill="CCEEFF" w:val="clear"/>
            <w:vAlign w:val="center"/>
          </w:tcPr>
          <w:p>
            <w:pPr>
              <w:pStyle w:val="TableContents"/>
              <w:bidi w:val="0"/>
              <w:spacing w:before="0" w:after="0"/>
              <w:ind w:left="0" w:right="0" w:hanging="0"/>
              <w:jc w:val="left"/>
              <w:rPr/>
            </w:pPr>
            <w:r>
              <w:rPr/>
              <w:t> </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(679,310)</w:t>
            </w:r>
          </w:p>
        </w:tc>
      </w:tr>
      <w:tr>
        <w:trPr/>
        <w:tc>
          <w:tcPr>
            <w:tcW w:w="45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in)/provided by financing activities</w:t>
            </w:r>
          </w:p>
        </w:tc>
        <w:tc>
          <w:tcPr>
            <w:tcW w:w="326" w:type="dxa"/>
            <w:tcBorders/>
            <w:vAlign w:val="center"/>
          </w:tcPr>
          <w:p>
            <w:pPr>
              <w:pStyle w:val="TableContents"/>
              <w:bidi w:val="0"/>
              <w:spacing w:before="0" w:after="0"/>
              <w:ind w:left="0" w:right="0" w:hanging="0"/>
              <w:jc w:val="left"/>
              <w:rPr/>
            </w:pPr>
            <w:r>
              <w:rPr/>
              <w:t>​</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(1,616,384)</w:t>
            </w:r>
          </w:p>
        </w:tc>
        <w:tc>
          <w:tcPr>
            <w:tcW w:w="326"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27,662,881</w:t>
            </w:r>
          </w:p>
        </w:tc>
        <w:tc>
          <w:tcPr>
            <w:tcW w:w="326"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1,772,483</w:t>
            </w:r>
          </w:p>
        </w:tc>
        <w:tc>
          <w:tcPr>
            <w:tcW w:w="326" w:type="dxa"/>
            <w:tcBorders/>
            <w:vAlign w:val="center"/>
          </w:tcPr>
          <w:p>
            <w:pPr>
              <w:pStyle w:val="TableContents"/>
              <w:bidi w:val="0"/>
              <w:spacing w:before="0" w:after="0"/>
              <w:ind w:left="0" w:right="0" w:hanging="0"/>
              <w:jc w:val="left"/>
              <w:rPr/>
            </w:pPr>
            <w:r>
              <w:rPr/>
              <w:t> </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242,829</w:t>
            </w:r>
          </w:p>
        </w:tc>
      </w:tr>
      <w:tr>
        <w:trPr/>
        <w:tc>
          <w:tcPr>
            <w:tcW w:w="45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Effects of exchange rate changes on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(121,896)</w:t>
            </w:r>
          </w:p>
        </w:tc>
        <w:tc>
          <w:tcPr>
            <w:tcW w:w="326" w:type="dxa"/>
            <w:tcBorders/>
            <w:shd w:fill="CCEEFF" w:val="clear"/>
            <w:vAlign w:val="center"/>
          </w:tcPr>
          <w:p>
            <w:pPr>
              <w:pStyle w:val="TableContents"/>
              <w:bidi w:val="0"/>
              <w:spacing w:before="0" w:after="0"/>
              <w:ind w:left="0" w:right="0" w:hanging="0"/>
              <w:jc w:val="left"/>
              <w:rPr/>
            </w:pPr>
            <w:r>
              <w:rPr/>
              <w:t> </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70,254</w:t>
            </w:r>
          </w:p>
        </w:tc>
        <w:tc>
          <w:tcPr>
            <w:tcW w:w="326" w:type="dxa"/>
            <w:tcBorders/>
            <w:shd w:fill="CCEEFF" w:val="clear"/>
            <w:vAlign w:val="center"/>
          </w:tcPr>
          <w:p>
            <w:pPr>
              <w:pStyle w:val="TableContents"/>
              <w:bidi w:val="0"/>
              <w:spacing w:before="0" w:after="0"/>
              <w:ind w:left="0" w:right="0" w:hanging="0"/>
              <w:jc w:val="left"/>
              <w:rPr/>
            </w:pPr>
            <w:r>
              <w:rPr/>
              <w:t> </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161,039</w:t>
            </w:r>
          </w:p>
        </w:tc>
        <w:tc>
          <w:tcPr>
            <w:tcW w:w="326" w:type="dxa"/>
            <w:tcBorders/>
            <w:shd w:fill="CCEEFF" w:val="clear"/>
            <w:vAlign w:val="center"/>
          </w:tcPr>
          <w:p>
            <w:pPr>
              <w:pStyle w:val="TableContents"/>
              <w:bidi w:val="0"/>
              <w:spacing w:before="0" w:after="0"/>
              <w:ind w:left="0" w:right="0" w:hanging="0"/>
              <w:jc w:val="left"/>
              <w:rPr/>
            </w:pPr>
            <w:r>
              <w:rPr/>
              <w:t> </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22,064</w:t>
            </w:r>
          </w:p>
        </w:tc>
      </w:tr>
      <w:tr>
        <w:trPr/>
        <w:tc>
          <w:tcPr>
            <w:tcW w:w="45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increase/(decrease)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10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4,780,729</w:t>
            </w:r>
          </w:p>
        </w:tc>
        <w:tc>
          <w:tcPr>
            <w:tcW w:w="326" w:type="dxa"/>
            <w:tcBorders/>
            <w:vAlign w:val="center"/>
          </w:tcPr>
          <w:p>
            <w:pPr>
              <w:pStyle w:val="TableContents"/>
              <w:bidi w:val="0"/>
              <w:spacing w:before="0" w:after="0"/>
              <w:ind w:left="0" w:right="0" w:hanging="0"/>
              <w:jc w:val="left"/>
              <w:rPr/>
            </w:pPr>
            <w:r>
              <w:rPr/>
              <w:t> </w:t>
            </w:r>
          </w:p>
        </w:tc>
        <w:tc>
          <w:tcPr>
            <w:tcW w:w="11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15,466,214</w:t>
            </w:r>
          </w:p>
        </w:tc>
        <w:tc>
          <w:tcPr>
            <w:tcW w:w="326" w:type="dxa"/>
            <w:tcBorders/>
            <w:vAlign w:val="center"/>
          </w:tcPr>
          <w:p>
            <w:pPr>
              <w:pStyle w:val="TableContents"/>
              <w:bidi w:val="0"/>
              <w:spacing w:before="0" w:after="0"/>
              <w:ind w:left="0" w:right="0" w:hanging="0"/>
              <w:jc w:val="left"/>
              <w:rPr/>
            </w:pPr>
            <w:r>
              <w:rPr/>
              <w:t> </w:t>
            </w:r>
          </w:p>
        </w:tc>
        <w:tc>
          <w:tcPr>
            <w:tcW w:w="11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(10,874,139)</w:t>
            </w:r>
          </w:p>
        </w:tc>
        <w:tc>
          <w:tcPr>
            <w:tcW w:w="326" w:type="dxa"/>
            <w:tcBorders/>
            <w:vAlign w:val="center"/>
          </w:tcPr>
          <w:p>
            <w:pPr>
              <w:pStyle w:val="TableContents"/>
              <w:bidi w:val="0"/>
              <w:spacing w:before="0" w:after="0"/>
              <w:ind w:left="0" w:right="0" w:hanging="0"/>
              <w:jc w:val="left"/>
              <w:rPr/>
            </w:pPr>
            <w:r>
              <w:rPr/>
              <w:t> </w:t>
            </w:r>
          </w:p>
        </w:tc>
        <w:tc>
          <w:tcPr>
            <w:tcW w:w="10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(1,489,751)</w:t>
            </w:r>
          </w:p>
        </w:tc>
      </w:tr>
      <w:tr>
        <w:trPr/>
        <w:tc>
          <w:tcPr>
            <w:tcW w:w="45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beginning of the year</w:t>
            </w:r>
          </w:p>
        </w:tc>
        <w:tc>
          <w:tcPr>
            <w:tcW w:w="326"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18,374,564</w:t>
            </w:r>
          </w:p>
        </w:tc>
        <w:tc>
          <w:tcPr>
            <w:tcW w:w="326" w:type="dxa"/>
            <w:tcBorders/>
            <w:shd w:fill="CCEEFF" w:val="clear"/>
            <w:vAlign w:val="center"/>
          </w:tcPr>
          <w:p>
            <w:pPr>
              <w:pStyle w:val="TableContents"/>
              <w:bidi w:val="0"/>
              <w:spacing w:before="0" w:after="0"/>
              <w:ind w:left="0" w:right="0" w:hanging="0"/>
              <w:jc w:val="left"/>
              <w:rPr/>
            </w:pPr>
            <w:r>
              <w:rPr/>
              <w:t> </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23,155,293</w:t>
            </w:r>
          </w:p>
        </w:tc>
        <w:tc>
          <w:tcPr>
            <w:tcW w:w="326" w:type="dxa"/>
            <w:tcBorders/>
            <w:shd w:fill="CCEEFF" w:val="clear"/>
            <w:vAlign w:val="center"/>
          </w:tcPr>
          <w:p>
            <w:pPr>
              <w:pStyle w:val="TableContents"/>
              <w:bidi w:val="0"/>
              <w:spacing w:before="0" w:after="0"/>
              <w:ind w:left="0" w:right="0" w:hanging="0"/>
              <w:jc w:val="left"/>
              <w:rPr/>
            </w:pPr>
            <w:r>
              <w:rPr/>
              <w:t> </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38,621,507</w:t>
            </w:r>
          </w:p>
        </w:tc>
        <w:tc>
          <w:tcPr>
            <w:tcW w:w="326" w:type="dxa"/>
            <w:tcBorders/>
            <w:shd w:fill="CCEEFF" w:val="clear"/>
            <w:vAlign w:val="center"/>
          </w:tcPr>
          <w:p>
            <w:pPr>
              <w:pStyle w:val="TableContents"/>
              <w:bidi w:val="0"/>
              <w:spacing w:before="0" w:after="0"/>
              <w:ind w:left="0" w:right="0" w:hanging="0"/>
              <w:jc w:val="left"/>
              <w:rPr/>
            </w:pPr>
            <w:r>
              <w:rPr/>
              <w:t> </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5,291,125</w:t>
            </w:r>
          </w:p>
        </w:tc>
      </w:tr>
      <w:tr>
        <w:trPr/>
        <w:tc>
          <w:tcPr>
            <w:tcW w:w="45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end of the year</w:t>
            </w:r>
          </w:p>
        </w:tc>
        <w:tc>
          <w:tcPr>
            <w:tcW w:w="326" w:type="dxa"/>
            <w:tcBorders/>
            <w:vAlign w:val="center"/>
          </w:tcPr>
          <w:p>
            <w:pPr>
              <w:pStyle w:val="TableContents"/>
              <w:bidi w:val="0"/>
              <w:spacing w:before="0" w:after="0"/>
              <w:ind w:left="0" w:right="0" w:hanging="0"/>
              <w:jc w:val="left"/>
              <w:rPr/>
            </w:pPr>
            <w:r>
              <w:rPr/>
              <w:t>​</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23,155,293</w:t>
            </w:r>
          </w:p>
        </w:tc>
        <w:tc>
          <w:tcPr>
            <w:tcW w:w="326"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38,621,507</w:t>
            </w:r>
          </w:p>
        </w:tc>
        <w:tc>
          <w:tcPr>
            <w:tcW w:w="326"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27,747,368</w:t>
            </w:r>
          </w:p>
        </w:tc>
        <w:tc>
          <w:tcPr>
            <w:tcW w:w="326" w:type="dxa"/>
            <w:tcBorders/>
            <w:vAlign w:val="center"/>
          </w:tcPr>
          <w:p>
            <w:pPr>
              <w:pStyle w:val="TableContents"/>
              <w:bidi w:val="0"/>
              <w:spacing w:before="0" w:after="0"/>
              <w:ind w:left="0" w:right="0" w:hanging="0"/>
              <w:jc w:val="left"/>
              <w:rPr/>
            </w:pPr>
            <w:r>
              <w:rPr/>
              <w:t> </w:t>
            </w:r>
          </w:p>
        </w:tc>
        <w:tc>
          <w:tcPr>
            <w:tcW w:w="1075"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3,801,374</w:t>
            </w:r>
          </w:p>
        </w:tc>
      </w:tr>
    </w:tbl>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Operating Activities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was RMB7,849.2 million (US$1,075.3 million) in 2024, as compared to a net loss of RMB22,401.7 million. The difference was primarily attributable to (i) non-cash items of RMB10,940.6 million, which primarily consisted of depreciation and amortization of RMB5,875.5 million, share-based compensation expenses of RMB1,928.5 million, and amortization of right-of-use assets of RMB1,825.2 million, and (ii) a net increase in changes in operating assets and liabilities by RMB3,611.9 million, which was primarily attributable to an increase in trade and notes payable of RMB4,717.2 million, a decrease in trade and notes receivable of RMB2,985.8 million, and a decrease in other non-current assets of RMB1,385.1 million, partially offset by an increase in amounts due from related parties of RMB5,980.9 million.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was RMB1,381.5 million in 2023, as compared to a net loss of RMB20,719.8 million. The difference was primarily attributable to (i) non-cash items of RMB6,252.8 million, which primarily consisted of depreciation and amortization of RMB3,378.0 million, share-based compensation expenses of RMB2,369.0 million, amortization of right-of-use assets of RMB1,529.5 million, and (ii) a net increase in changes in operating assets and liabilities by RMB13,085.4 million, which was primarily attributable to an increase in trade and notes payable of RMB4,870.8 million, a decrease in inventory of RMB2,895.5 million, a decrease in other non-current assets of RMB2,600.0 million.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was RMB3,866.0 million in 2022, as compared to a net loss of RMB14,437.1 million. The difference was primarily attributable to (i) non-cash items of RMB6,320.1 million, which primarily consisted of depreciation and amortization of RMB2,852.3 million, share-based compensation expenses of RMB2,295.9 million, amortization of right-of-use assets of RMB1,141.7 million, and (ii) a net increase in changes in operating assets and liabilities by RMB4,251.0 million, which was primarily attributable to an increase in trade and notes payable of RMB11,650.9 million, an increase in accruals and other liabilities of RMB4,119.4 million, an increase in other non-current liabilities of RMB1,620.9 million, which was partially offset by, among other things, an increase in inventory of RMB6,257.5 million, trade and notes receivable of RMB2,303.4 million and prepayments and other current assets of RMB1,239.9 million.</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Investing Activities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was RMB4,958.5 million (US$679.3 million) in 2024, primarily attributable to purchase of short-term investments of RMB45,957.6 million, and (ii) purchase of property, plant and equipment and intangible assets of RMB9,142.3 million, partially offset by proceeds from maturities of short-term investments of RMB50,413.9 million.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was RMB10,885.4 million in 2023, primarily attributable to (i) purchase of short-term investments of RMB43,899.1 million, and (ii) purchase of property, plant and equipment and intangible assets of RMB14,340.8 million, inclusive of VAT input, partially offset by proceeds from maturities of short-term investments of RMB47,753.6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Net cash provided by investing activities was RMB10,385.0 million in 2022, primarily attributable to proceeds from maturities of short-term investments of RMB106,658.2 million, partially offset by (i) purchase of short-term investments of RMB87,631.7 million, (ii) purchase of property, plant and equipment and intangible assets of RMB6,972.9 million, and (iii) purchase of held to maturity debt investments of RMB1,830.0 million.</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Financing Activities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Net cash provided by financing activities was RMB1,772.5 million (US$242.8 million) in 2024, primarily attributable to proceeds from borrowings from third parties of RMB9,218.9 million and capital injection from redeemable non-controlling interests of RMB3,295.5 million, partially offset by repayments of borrowings from third parties of RMB7,512.8 million and repurchase of convertible senior notes of RMB3,302.2 million.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Net cash provided by financing activities was RMB27,662.9 million in 2023, primarily attributable to (i) proceeds from issuance of ordinary shares to CYVN Investments, net of RMB20,962.3 million, (ii) proceeds from issuance of convertible senior notes of RMB8,120.8 million, and (iii) proceeds from borrowings from third parties of RMB8,014.4 million, partially offset by repayments of borrowings from third parties of RMB6,096.0 million and repurchase of convertible senior notes of RMB3,387.6 million.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Net cash used in financing activities was RMB1,616.4 million in 2022, primarily attributable to repayments of borrowings from third parties of RMB7,347.9 million and repurchase of convertible senior notes of RMB1,202.4 million, partially offset by proceeds from borrowings from third parties of RMB6,918.6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 xml:space="preserve">Material Cash Requirements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material cash requirements as of December 31, 2024 primarily include our capital commitments, operating and financing lease obligations, short-term and long-term borrowings, and convertible notes, as below:</w:t>
      </w:r>
    </w:p>
    <w:p>
      <w:pPr>
        <w:pStyle w:val="TextBody"/>
        <w:bidi w:val="0"/>
        <w:spacing w:before="200" w:after="20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95"/>
        <w:gridCol w:w="326"/>
        <w:gridCol w:w="1036"/>
        <w:gridCol w:w="326"/>
        <w:gridCol w:w="1291"/>
        <w:gridCol w:w="326"/>
        <w:gridCol w:w="1036"/>
        <w:gridCol w:w="326"/>
        <w:gridCol w:w="931"/>
        <w:gridCol w:w="326"/>
        <w:gridCol w:w="1486"/>
      </w:tblGrid>
      <w:tr>
        <w:trPr/>
        <w:tc>
          <w:tcPr>
            <w:tcW w:w="2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774825" cy="175895"/>
                      <wp:effectExtent l="0" t="0" r="0" b="0"/>
                      <wp:wrapNone/>
                      <wp:docPr id="80" name="Frame77"/>
                      <a:graphic xmlns:a="http://schemas.openxmlformats.org/drawingml/2006/main">
                        <a:graphicData uri="http://schemas.microsoft.com/office/word/2010/wordprocessingShape">
                          <wps:wsp>
                            <wps:cNvSpPr txBox="1"/>
                            <wps:spPr>
                              <a:xfrm>
                                <a:off x="0" y="0"/>
                                <a:ext cx="177482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895"/>
                      <wp:effectExtent l="0" t="0" r="0" b="0"/>
                      <wp:wrapNone/>
                      <wp:docPr id="81" name="Frame78"/>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57860" cy="175895"/>
                      <wp:effectExtent l="0" t="0" r="0" b="0"/>
                      <wp:wrapNone/>
                      <wp:docPr id="82" name="Frame79"/>
                      <a:graphic xmlns:a="http://schemas.openxmlformats.org/drawingml/2006/main">
                        <a:graphicData uri="http://schemas.microsoft.com/office/word/2010/wordprocessingShape">
                          <wps:wsp>
                            <wps:cNvSpPr txBox="1"/>
                            <wps:spPr>
                              <a:xfrm>
                                <a:off x="0" y="0"/>
                                <a:ext cx="6578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895"/>
                      <wp:effectExtent l="0" t="0" r="0" b="0"/>
                      <wp:wrapNone/>
                      <wp:docPr id="83" name="Frame80"/>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819785" cy="175895"/>
                      <wp:effectExtent l="0" t="0" r="0" b="0"/>
                      <wp:wrapNone/>
                      <wp:docPr id="84" name="Frame81"/>
                      <a:graphic xmlns:a="http://schemas.openxmlformats.org/drawingml/2006/main">
                        <a:graphicData uri="http://schemas.microsoft.com/office/word/2010/wordprocessingShape">
                          <wps:wsp>
                            <wps:cNvSpPr txBox="1"/>
                            <wps:spPr>
                              <a:xfrm>
                                <a:off x="0" y="0"/>
                                <a:ext cx="8197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895"/>
                      <wp:effectExtent l="0" t="0" r="0" b="0"/>
                      <wp:wrapNone/>
                      <wp:docPr id="85" name="Frame82"/>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57860" cy="175895"/>
                      <wp:effectExtent l="0" t="0" r="0" b="0"/>
                      <wp:wrapNone/>
                      <wp:docPr id="86" name="Frame83"/>
                      <a:graphic xmlns:a="http://schemas.openxmlformats.org/drawingml/2006/main">
                        <a:graphicData uri="http://schemas.microsoft.com/office/word/2010/wordprocessingShape">
                          <wps:wsp>
                            <wps:cNvSpPr txBox="1"/>
                            <wps:spPr>
                              <a:xfrm>
                                <a:off x="0" y="0"/>
                                <a:ext cx="6578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895"/>
                      <wp:effectExtent l="0" t="0" r="0" b="0"/>
                      <wp:wrapNone/>
                      <wp:docPr id="87" name="Frame84"/>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91185" cy="175895"/>
                      <wp:effectExtent l="0" t="0" r="0" b="0"/>
                      <wp:wrapNone/>
                      <wp:docPr id="88" name="Frame85"/>
                      <a:graphic xmlns:a="http://schemas.openxmlformats.org/drawingml/2006/main">
                        <a:graphicData uri="http://schemas.microsoft.com/office/word/2010/wordprocessingShape">
                          <wps:wsp>
                            <wps:cNvSpPr txBox="1"/>
                            <wps:spPr>
                              <a:xfrm>
                                <a:off x="0" y="0"/>
                                <a:ext cx="5911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895"/>
                      <wp:effectExtent l="0" t="0" r="0" b="0"/>
                      <wp:wrapNone/>
                      <wp:docPr id="89" name="Frame86"/>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943610" cy="175895"/>
                      <wp:effectExtent l="0" t="0" r="0" b="0"/>
                      <wp:wrapNone/>
                      <wp:docPr id="90" name="Frame87"/>
                      <a:graphic xmlns:a="http://schemas.openxmlformats.org/drawingml/2006/main">
                        <a:graphicData uri="http://schemas.microsoft.com/office/word/2010/wordprocessingShape">
                          <wps:wsp>
                            <wps:cNvSpPr txBox="1"/>
                            <wps:spPr>
                              <a:xfrm>
                                <a:off x="0" y="0"/>
                                <a:ext cx="943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795"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7084" w:type="dxa"/>
            <w:gridSpan w:val="9"/>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Payment due by period</w:t>
            </w:r>
          </w:p>
        </w:tc>
      </w:tr>
      <w:tr>
        <w:trPr/>
        <w:tc>
          <w:tcPr>
            <w:tcW w:w="2795"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1" w:after="1"/>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Less than 1 year</w:t>
            </w:r>
          </w:p>
        </w:tc>
        <w:tc>
          <w:tcPr>
            <w:tcW w:w="326" w:type="dxa"/>
            <w:tcBorders/>
            <w:vAlign w:val="center"/>
          </w:tcPr>
          <w:p>
            <w:pPr>
              <w:pStyle w:val="TableContents"/>
              <w:bidi w:val="0"/>
              <w:spacing w:before="1"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1-3 years</w:t>
            </w:r>
          </w:p>
        </w:tc>
        <w:tc>
          <w:tcPr>
            <w:tcW w:w="326" w:type="dxa"/>
            <w:tcBorders/>
            <w:vAlign w:val="center"/>
          </w:tcPr>
          <w:p>
            <w:pPr>
              <w:pStyle w:val="TableContents"/>
              <w:bidi w:val="0"/>
              <w:spacing w:before="1"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3-5 years</w:t>
            </w:r>
          </w:p>
        </w:tc>
        <w:tc>
          <w:tcPr>
            <w:tcW w:w="326" w:type="dxa"/>
            <w:tcBorders/>
            <w:vAlign w:val="center"/>
          </w:tcPr>
          <w:p>
            <w:pPr>
              <w:pStyle w:val="TableContents"/>
              <w:bidi w:val="0"/>
              <w:spacing w:before="1" w:after="1"/>
              <w:ind w:left="0" w:right="0" w:hanging="0"/>
              <w:jc w:val="left"/>
              <w:rPr/>
            </w:pPr>
            <w:r>
              <w:rPr/>
              <w:t>    </w:t>
            </w:r>
          </w:p>
        </w:tc>
        <w:tc>
          <w:tcPr>
            <w:tcW w:w="1486"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More than 5 years</w:t>
            </w:r>
          </w:p>
        </w:tc>
      </w:tr>
      <w:tr>
        <w:trPr/>
        <w:tc>
          <w:tcPr>
            <w:tcW w:w="10205"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2795"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 </w:t>
            </w:r>
          </w:p>
        </w:tc>
        <w:tc>
          <w:tcPr>
            <w:tcW w:w="7084" w:type="dxa"/>
            <w:gridSpan w:val="9"/>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 RMB thousands)</w:t>
            </w:r>
          </w:p>
        </w:tc>
      </w:tr>
      <w:tr>
        <w:trPr/>
        <w:tc>
          <w:tcPr>
            <w:tcW w:w="2795"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Capital commitments</w:t>
            </w:r>
          </w:p>
        </w:tc>
        <w:tc>
          <w:tcPr>
            <w:tcW w:w="326"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6,423,831</w:t>
            </w:r>
          </w:p>
        </w:tc>
        <w:tc>
          <w:tcPr>
            <w:tcW w:w="326" w:type="dxa"/>
            <w:tcBorders/>
            <w:shd w:fill="CCEEFF" w:val="clear"/>
            <w:vAlign w:val="center"/>
          </w:tcPr>
          <w:p>
            <w:pPr>
              <w:pStyle w:val="TableContents"/>
              <w:bidi w:val="0"/>
              <w:spacing w:before="1" w:after="1"/>
              <w:ind w:left="0" w:right="0" w:hanging="0"/>
              <w:jc w:val="left"/>
              <w:rPr/>
            </w:pPr>
            <w:r>
              <w:rPr/>
              <w:t>​</w:t>
            </w:r>
          </w:p>
        </w:tc>
        <w:tc>
          <w:tcPr>
            <w:tcW w:w="129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6,212,240</w:t>
            </w:r>
          </w:p>
        </w:tc>
        <w:tc>
          <w:tcPr>
            <w:tcW w:w="326"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146,147</w:t>
            </w:r>
          </w:p>
        </w:tc>
        <w:tc>
          <w:tcPr>
            <w:tcW w:w="326" w:type="dxa"/>
            <w:tcBorders/>
            <w:shd w:fill="CCEEFF" w:val="clear"/>
            <w:vAlign w:val="center"/>
          </w:tcPr>
          <w:p>
            <w:pPr>
              <w:pStyle w:val="TableContents"/>
              <w:bidi w:val="0"/>
              <w:spacing w:before="1" w:after="1"/>
              <w:ind w:left="0" w:right="0" w:hanging="0"/>
              <w:jc w:val="left"/>
              <w:rPr/>
            </w:pPr>
            <w:r>
              <w:rPr/>
              <w:t>​</w:t>
            </w:r>
          </w:p>
        </w:tc>
        <w:tc>
          <w:tcPr>
            <w:tcW w:w="9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65,444</w:t>
            </w:r>
          </w:p>
        </w:tc>
        <w:tc>
          <w:tcPr>
            <w:tcW w:w="326" w:type="dxa"/>
            <w:tcBorders/>
            <w:shd w:fill="CCEEFF" w:val="clear"/>
            <w:vAlign w:val="center"/>
          </w:tcPr>
          <w:p>
            <w:pPr>
              <w:pStyle w:val="TableContents"/>
              <w:bidi w:val="0"/>
              <w:spacing w:before="1" w:after="1"/>
              <w:ind w:left="0" w:right="0" w:hanging="0"/>
              <w:jc w:val="left"/>
              <w:rPr/>
            </w:pPr>
            <w:r>
              <w:rPr/>
              <w:t>​</w:t>
            </w:r>
          </w:p>
        </w:tc>
        <w:tc>
          <w:tcPr>
            <w:tcW w:w="1486" w:type="dxa"/>
            <w:tcBorders/>
            <w:shd w:fill="CCEEFF" w:val="clear"/>
            <w:vAlign w:val="center"/>
          </w:tcPr>
          <w:p>
            <w:pPr>
              <w:pStyle w:val="TableContents"/>
              <w:bidi w:val="0"/>
              <w:spacing w:before="1" w:after="1"/>
              <w:ind w:left="0" w:right="0" w:hanging="0"/>
              <w:jc w:val="right"/>
              <w:rPr/>
            </w:pPr>
            <w:r>
              <w:rPr/>
              <w:t>—</w:t>
            </w:r>
          </w:p>
        </w:tc>
      </w:tr>
      <w:tr>
        <w:trPr/>
        <w:tc>
          <w:tcPr>
            <w:tcW w:w="2795"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Operating lease obligations</w:t>
            </w:r>
          </w:p>
        </w:tc>
        <w:tc>
          <w:tcPr>
            <w:tcW w:w="326" w:type="dxa"/>
            <w:tcBorders/>
            <w:vAlign w:val="center"/>
          </w:tcPr>
          <w:p>
            <w:pPr>
              <w:pStyle w:val="TableContents"/>
              <w:bidi w:val="0"/>
              <w:spacing w:before="1" w:after="1"/>
              <w:ind w:left="0" w:right="0" w:hanging="0"/>
              <w:jc w:val="left"/>
              <w:rPr/>
            </w:pPr>
            <w:r>
              <w:rPr/>
              <w:t> </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16,859,377</w:t>
            </w:r>
          </w:p>
        </w:tc>
        <w:tc>
          <w:tcPr>
            <w:tcW w:w="326" w:type="dxa"/>
            <w:tcBorders/>
            <w:vAlign w:val="center"/>
          </w:tcPr>
          <w:p>
            <w:pPr>
              <w:pStyle w:val="TableContents"/>
              <w:bidi w:val="0"/>
              <w:spacing w:before="1" w:after="1"/>
              <w:ind w:left="0" w:right="0" w:hanging="0"/>
              <w:jc w:val="left"/>
              <w:rPr/>
            </w:pPr>
            <w:r>
              <w:rPr/>
              <w:t> </w:t>
            </w:r>
          </w:p>
        </w:tc>
        <w:tc>
          <w:tcPr>
            <w:tcW w:w="12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2,531,918</w:t>
            </w:r>
          </w:p>
        </w:tc>
        <w:tc>
          <w:tcPr>
            <w:tcW w:w="326" w:type="dxa"/>
            <w:tcBorders/>
            <w:vAlign w:val="center"/>
          </w:tcPr>
          <w:p>
            <w:pPr>
              <w:pStyle w:val="TableContents"/>
              <w:bidi w:val="0"/>
              <w:spacing w:before="1" w:after="1"/>
              <w:ind w:left="0" w:right="0" w:hanging="0"/>
              <w:jc w:val="left"/>
              <w:rPr/>
            </w:pPr>
            <w:r>
              <w:rPr/>
              <w:t> </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4,206,054</w:t>
            </w:r>
          </w:p>
        </w:tc>
        <w:tc>
          <w:tcPr>
            <w:tcW w:w="326" w:type="dxa"/>
            <w:tcBorders/>
            <w:vAlign w:val="center"/>
          </w:tcPr>
          <w:p>
            <w:pPr>
              <w:pStyle w:val="TableContents"/>
              <w:bidi w:val="0"/>
              <w:spacing w:before="1" w:after="1"/>
              <w:ind w:left="0" w:right="0" w:hanging="0"/>
              <w:jc w:val="left"/>
              <w:rPr/>
            </w:pPr>
            <w:r>
              <w:rPr/>
              <w:t> </w:t>
            </w:r>
          </w:p>
        </w:tc>
        <w:tc>
          <w:tcPr>
            <w:tcW w:w="9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2,732,702</w:t>
            </w:r>
          </w:p>
        </w:tc>
        <w:tc>
          <w:tcPr>
            <w:tcW w:w="326" w:type="dxa"/>
            <w:tcBorders/>
            <w:vAlign w:val="center"/>
          </w:tcPr>
          <w:p>
            <w:pPr>
              <w:pStyle w:val="TableContents"/>
              <w:bidi w:val="0"/>
              <w:spacing w:before="1" w:after="1"/>
              <w:ind w:left="0" w:right="0" w:hanging="0"/>
              <w:jc w:val="left"/>
              <w:rPr/>
            </w:pPr>
            <w:r>
              <w:rPr/>
              <w:t> </w:t>
            </w:r>
          </w:p>
        </w:tc>
        <w:tc>
          <w:tcPr>
            <w:tcW w:w="14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7,388,703</w:t>
            </w:r>
          </w:p>
        </w:tc>
      </w:tr>
      <w:tr>
        <w:trPr/>
        <w:tc>
          <w:tcPr>
            <w:tcW w:w="2795"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Finance lease obligations</w:t>
            </w:r>
          </w:p>
        </w:tc>
        <w:tc>
          <w:tcPr>
            <w:tcW w:w="326" w:type="dxa"/>
            <w:tcBorders/>
            <w:shd w:fill="CCEEFF" w:val="clear"/>
            <w:vAlign w:val="center"/>
          </w:tcPr>
          <w:p>
            <w:pPr>
              <w:pStyle w:val="TableContents"/>
              <w:bidi w:val="0"/>
              <w:spacing w:before="1" w:after="1"/>
              <w:ind w:left="0" w:right="0" w:hanging="0"/>
              <w:jc w:val="left"/>
              <w:rPr/>
            </w:pPr>
            <w:r>
              <w:rPr/>
              <w:t> </w:t>
            </w:r>
          </w:p>
        </w:tc>
        <w:tc>
          <w:tcPr>
            <w:tcW w:w="10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67,352</w:t>
            </w:r>
          </w:p>
        </w:tc>
        <w:tc>
          <w:tcPr>
            <w:tcW w:w="326" w:type="dxa"/>
            <w:tcBorders/>
            <w:shd w:fill="CCEEFF" w:val="clear"/>
            <w:vAlign w:val="center"/>
          </w:tcPr>
          <w:p>
            <w:pPr>
              <w:pStyle w:val="TableContents"/>
              <w:bidi w:val="0"/>
              <w:spacing w:before="1" w:after="1"/>
              <w:ind w:left="0" w:right="0" w:hanging="0"/>
              <w:jc w:val="left"/>
              <w:rPr/>
            </w:pPr>
            <w:r>
              <w:rPr/>
              <w:t> </w:t>
            </w:r>
          </w:p>
        </w:tc>
        <w:tc>
          <w:tcPr>
            <w:tcW w:w="129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16,993</w:t>
            </w:r>
          </w:p>
        </w:tc>
        <w:tc>
          <w:tcPr>
            <w:tcW w:w="326" w:type="dxa"/>
            <w:tcBorders/>
            <w:shd w:fill="CCEEFF" w:val="clear"/>
            <w:vAlign w:val="center"/>
          </w:tcPr>
          <w:p>
            <w:pPr>
              <w:pStyle w:val="TableContents"/>
              <w:bidi w:val="0"/>
              <w:spacing w:before="1" w:after="1"/>
              <w:ind w:left="0" w:right="0" w:hanging="0"/>
              <w:jc w:val="left"/>
              <w:rPr/>
            </w:pPr>
            <w:r>
              <w:rPr/>
              <w:t> </w:t>
            </w:r>
          </w:p>
        </w:tc>
        <w:tc>
          <w:tcPr>
            <w:tcW w:w="10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28,849</w:t>
            </w:r>
          </w:p>
        </w:tc>
        <w:tc>
          <w:tcPr>
            <w:tcW w:w="326" w:type="dxa"/>
            <w:tcBorders/>
            <w:shd w:fill="CCEEFF" w:val="clear"/>
            <w:vAlign w:val="center"/>
          </w:tcPr>
          <w:p>
            <w:pPr>
              <w:pStyle w:val="TableContents"/>
              <w:bidi w:val="0"/>
              <w:spacing w:before="1" w:after="1"/>
              <w:ind w:left="0" w:right="0" w:hanging="0"/>
              <w:jc w:val="left"/>
              <w:rPr/>
            </w:pPr>
            <w:r>
              <w:rPr/>
              <w:t> </w:t>
            </w:r>
          </w:p>
        </w:tc>
        <w:tc>
          <w:tcPr>
            <w:tcW w:w="9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13,025</w:t>
            </w:r>
          </w:p>
        </w:tc>
        <w:tc>
          <w:tcPr>
            <w:tcW w:w="326" w:type="dxa"/>
            <w:tcBorders/>
            <w:shd w:fill="CCEEFF" w:val="clear"/>
            <w:vAlign w:val="center"/>
          </w:tcPr>
          <w:p>
            <w:pPr>
              <w:pStyle w:val="TableContents"/>
              <w:bidi w:val="0"/>
              <w:spacing w:before="1" w:after="1"/>
              <w:ind w:left="0" w:right="0" w:hanging="0"/>
              <w:jc w:val="left"/>
              <w:rPr/>
            </w:pPr>
            <w:r>
              <w:rPr/>
              <w:t> </w:t>
            </w:r>
          </w:p>
        </w:tc>
        <w:tc>
          <w:tcPr>
            <w:tcW w:w="14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8,485</w:t>
            </w:r>
          </w:p>
        </w:tc>
      </w:tr>
      <w:tr>
        <w:trPr/>
        <w:tc>
          <w:tcPr>
            <w:tcW w:w="2795"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Short-term and long-term borrowings</w:t>
            </w:r>
          </w:p>
        </w:tc>
        <w:tc>
          <w:tcPr>
            <w:tcW w:w="326" w:type="dxa"/>
            <w:tcBorders/>
            <w:vAlign w:val="center"/>
          </w:tcPr>
          <w:p>
            <w:pPr>
              <w:pStyle w:val="TableContents"/>
              <w:bidi w:val="0"/>
              <w:spacing w:before="1" w:after="1"/>
              <w:ind w:left="0" w:right="0" w:hanging="0"/>
              <w:jc w:val="left"/>
              <w:rPr/>
            </w:pPr>
            <w:r>
              <w:rPr/>
              <w:t> </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8,094,670</w:t>
            </w:r>
          </w:p>
        </w:tc>
        <w:tc>
          <w:tcPr>
            <w:tcW w:w="326" w:type="dxa"/>
            <w:tcBorders/>
            <w:vAlign w:val="center"/>
          </w:tcPr>
          <w:p>
            <w:pPr>
              <w:pStyle w:val="TableContents"/>
              <w:bidi w:val="0"/>
              <w:spacing w:before="1" w:after="1"/>
              <w:ind w:left="0" w:right="0" w:hanging="0"/>
              <w:jc w:val="left"/>
              <w:rPr/>
            </w:pPr>
            <w:r>
              <w:rPr/>
              <w:t> </w:t>
            </w:r>
          </w:p>
        </w:tc>
        <w:tc>
          <w:tcPr>
            <w:tcW w:w="12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5,129,180</w:t>
            </w:r>
          </w:p>
        </w:tc>
        <w:tc>
          <w:tcPr>
            <w:tcW w:w="326" w:type="dxa"/>
            <w:tcBorders/>
            <w:vAlign w:val="center"/>
          </w:tcPr>
          <w:p>
            <w:pPr>
              <w:pStyle w:val="TableContents"/>
              <w:bidi w:val="0"/>
              <w:spacing w:before="1" w:after="1"/>
              <w:ind w:left="0" w:right="0" w:hanging="0"/>
              <w:jc w:val="left"/>
              <w:rPr/>
            </w:pPr>
            <w:r>
              <w:rPr/>
              <w:t> </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1,487,990</w:t>
            </w:r>
          </w:p>
        </w:tc>
        <w:tc>
          <w:tcPr>
            <w:tcW w:w="326" w:type="dxa"/>
            <w:tcBorders/>
            <w:vAlign w:val="center"/>
          </w:tcPr>
          <w:p>
            <w:pPr>
              <w:pStyle w:val="TableContents"/>
              <w:bidi w:val="0"/>
              <w:spacing w:before="1" w:after="1"/>
              <w:ind w:left="0" w:right="0" w:hanging="0"/>
              <w:jc w:val="left"/>
              <w:rPr/>
            </w:pPr>
            <w:r>
              <w:rPr/>
              <w:t> </w:t>
            </w:r>
          </w:p>
        </w:tc>
        <w:tc>
          <w:tcPr>
            <w:tcW w:w="9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877,500</w:t>
            </w:r>
          </w:p>
        </w:tc>
        <w:tc>
          <w:tcPr>
            <w:tcW w:w="326" w:type="dxa"/>
            <w:tcBorders/>
            <w:vAlign w:val="center"/>
          </w:tcPr>
          <w:p>
            <w:pPr>
              <w:pStyle w:val="TableContents"/>
              <w:bidi w:val="0"/>
              <w:spacing w:before="1" w:after="1"/>
              <w:ind w:left="0" w:right="0" w:hanging="0"/>
              <w:jc w:val="left"/>
              <w:rPr/>
            </w:pPr>
            <w:r>
              <w:rPr/>
              <w:t> </w:t>
            </w:r>
          </w:p>
        </w:tc>
        <w:tc>
          <w:tcPr>
            <w:tcW w:w="14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600,000</w:t>
            </w:r>
          </w:p>
        </w:tc>
      </w:tr>
      <w:tr>
        <w:trPr/>
        <w:tc>
          <w:tcPr>
            <w:tcW w:w="2795"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on borrowings</w:t>
            </w:r>
          </w:p>
        </w:tc>
        <w:tc>
          <w:tcPr>
            <w:tcW w:w="326"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346,716</w:t>
            </w:r>
          </w:p>
        </w:tc>
        <w:tc>
          <w:tcPr>
            <w:tcW w:w="326" w:type="dxa"/>
            <w:tcBorders/>
            <w:shd w:fill="CCEEFF" w:val="clear"/>
            <w:vAlign w:val="center"/>
          </w:tcPr>
          <w:p>
            <w:pPr>
              <w:pStyle w:val="TableContents"/>
              <w:bidi w:val="0"/>
              <w:spacing w:before="1" w:after="1"/>
              <w:ind w:left="0" w:right="0" w:hanging="0"/>
              <w:jc w:val="left"/>
              <w:rPr/>
            </w:pPr>
            <w:r>
              <w:rPr/>
              <w:t>​</w:t>
            </w:r>
          </w:p>
        </w:tc>
        <w:tc>
          <w:tcPr>
            <w:tcW w:w="129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134,139</w:t>
            </w:r>
          </w:p>
        </w:tc>
        <w:tc>
          <w:tcPr>
            <w:tcW w:w="326"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141,222</w:t>
            </w:r>
          </w:p>
        </w:tc>
        <w:tc>
          <w:tcPr>
            <w:tcW w:w="326" w:type="dxa"/>
            <w:tcBorders/>
            <w:shd w:fill="CCEEFF" w:val="clear"/>
            <w:vAlign w:val="center"/>
          </w:tcPr>
          <w:p>
            <w:pPr>
              <w:pStyle w:val="TableContents"/>
              <w:bidi w:val="0"/>
              <w:spacing w:before="1" w:after="1"/>
              <w:ind w:left="0" w:right="0" w:hanging="0"/>
              <w:jc w:val="left"/>
              <w:rPr/>
            </w:pPr>
            <w:r>
              <w:rPr/>
              <w:t>​</w:t>
            </w:r>
          </w:p>
        </w:tc>
        <w:tc>
          <w:tcPr>
            <w:tcW w:w="9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61,316</w:t>
            </w:r>
          </w:p>
        </w:tc>
        <w:tc>
          <w:tcPr>
            <w:tcW w:w="326" w:type="dxa"/>
            <w:tcBorders/>
            <w:shd w:fill="CCEEFF" w:val="clear"/>
            <w:vAlign w:val="center"/>
          </w:tcPr>
          <w:p>
            <w:pPr>
              <w:pStyle w:val="TableContents"/>
              <w:bidi w:val="0"/>
              <w:spacing w:before="1" w:after="1"/>
              <w:ind w:left="0" w:right="0" w:hanging="0"/>
              <w:jc w:val="left"/>
              <w:rPr/>
            </w:pPr>
            <w:r>
              <w:rPr/>
              <w:t>​</w:t>
            </w:r>
          </w:p>
        </w:tc>
        <w:tc>
          <w:tcPr>
            <w:tcW w:w="14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10,039</w:t>
            </w:r>
          </w:p>
        </w:tc>
      </w:tr>
      <w:tr>
        <w:trPr/>
        <w:tc>
          <w:tcPr>
            <w:tcW w:w="2795"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Convertible notes with principal and interest</w:t>
            </w:r>
          </w:p>
        </w:tc>
        <w:tc>
          <w:tcPr>
            <w:tcW w:w="326" w:type="dxa"/>
            <w:tcBorders/>
            <w:vAlign w:val="center"/>
          </w:tcPr>
          <w:p>
            <w:pPr>
              <w:pStyle w:val="TableContents"/>
              <w:bidi w:val="0"/>
              <w:spacing w:before="1"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12,248,458</w:t>
            </w:r>
          </w:p>
        </w:tc>
        <w:tc>
          <w:tcPr>
            <w:tcW w:w="326" w:type="dxa"/>
            <w:tcBorders/>
            <w:vAlign w:val="center"/>
          </w:tcPr>
          <w:p>
            <w:pPr>
              <w:pStyle w:val="TableContents"/>
              <w:bidi w:val="0"/>
              <w:spacing w:before="1" w:after="1"/>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3,081,409</w:t>
            </w:r>
          </w:p>
        </w:tc>
        <w:tc>
          <w:tcPr>
            <w:tcW w:w="326" w:type="dxa"/>
            <w:tcBorders/>
            <w:vAlign w:val="center"/>
          </w:tcPr>
          <w:p>
            <w:pPr>
              <w:pStyle w:val="TableContents"/>
              <w:bidi w:val="0"/>
              <w:spacing w:before="1"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4,842,552</w:t>
            </w:r>
          </w:p>
        </w:tc>
        <w:tc>
          <w:tcPr>
            <w:tcW w:w="326" w:type="dxa"/>
            <w:tcBorders/>
            <w:vAlign w:val="center"/>
          </w:tcPr>
          <w:p>
            <w:pPr>
              <w:pStyle w:val="TableContents"/>
              <w:bidi w:val="0"/>
              <w:spacing w:before="1"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4,324,497</w:t>
            </w:r>
          </w:p>
        </w:tc>
        <w:tc>
          <w:tcPr>
            <w:tcW w:w="326" w:type="dxa"/>
            <w:tcBorders/>
            <w:vAlign w:val="center"/>
          </w:tcPr>
          <w:p>
            <w:pPr>
              <w:pStyle w:val="TableContents"/>
              <w:bidi w:val="0"/>
              <w:spacing w:before="1" w:after="1"/>
              <w:ind w:left="0" w:right="0" w:hanging="0"/>
              <w:jc w:val="left"/>
              <w:rPr/>
            </w:pPr>
            <w:r>
              <w:rPr/>
              <w:t>​</w:t>
            </w:r>
          </w:p>
        </w:tc>
        <w:tc>
          <w:tcPr>
            <w:tcW w:w="1486"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r>
      <w:tr>
        <w:trPr/>
        <w:tc>
          <w:tcPr>
            <w:tcW w:w="2795" w:type="dxa"/>
            <w:tcBorders/>
            <w:shd w:fill="CCEEFF" w:val="cle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1"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44,040,404</w:t>
            </w:r>
          </w:p>
        </w:tc>
        <w:tc>
          <w:tcPr>
            <w:tcW w:w="326" w:type="dxa"/>
            <w:tcBorders/>
            <w:shd w:fill="CCEEFF" w:val="clear"/>
            <w:vAlign w:val="center"/>
          </w:tcPr>
          <w:p>
            <w:pPr>
              <w:pStyle w:val="TableContents"/>
              <w:bidi w:val="0"/>
              <w:spacing w:before="1" w:after="1"/>
              <w:ind w:left="0" w:right="0" w:hanging="0"/>
              <w:jc w:val="left"/>
              <w:rPr/>
            </w:pPr>
            <w:r>
              <w:rPr/>
              <w:t> </w:t>
            </w:r>
          </w:p>
        </w:tc>
        <w:tc>
          <w:tcPr>
            <w:tcW w:w="129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17,105,879</w:t>
            </w:r>
          </w:p>
        </w:tc>
        <w:tc>
          <w:tcPr>
            <w:tcW w:w="326" w:type="dxa"/>
            <w:tcBorders/>
            <w:shd w:fill="CCEEFF" w:val="clear"/>
            <w:vAlign w:val="center"/>
          </w:tcPr>
          <w:p>
            <w:pPr>
              <w:pStyle w:val="TableContents"/>
              <w:bidi w:val="0"/>
              <w:spacing w:before="1"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10,852,814</w:t>
            </w:r>
          </w:p>
        </w:tc>
        <w:tc>
          <w:tcPr>
            <w:tcW w:w="326" w:type="dxa"/>
            <w:tcBorders/>
            <w:shd w:fill="CCEEFF" w:val="clear"/>
            <w:vAlign w:val="center"/>
          </w:tcPr>
          <w:p>
            <w:pPr>
              <w:pStyle w:val="TableContents"/>
              <w:bidi w:val="0"/>
              <w:spacing w:before="1"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8,074,484</w:t>
            </w:r>
          </w:p>
        </w:tc>
        <w:tc>
          <w:tcPr>
            <w:tcW w:w="326" w:type="dxa"/>
            <w:tcBorders/>
            <w:shd w:fill="CCEEFF" w:val="clear"/>
            <w:vAlign w:val="center"/>
          </w:tcPr>
          <w:p>
            <w:pPr>
              <w:pStyle w:val="TableContents"/>
              <w:bidi w:val="0"/>
              <w:spacing w:before="1" w:after="1"/>
              <w:ind w:left="0" w:right="0" w:hanging="0"/>
              <w:jc w:val="left"/>
              <w:rPr/>
            </w:pPr>
            <w:r>
              <w:rPr/>
              <w:t> </w:t>
            </w:r>
          </w:p>
        </w:tc>
        <w:tc>
          <w:tcPr>
            <w:tcW w:w="1486"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8,007,227</w:t>
            </w:r>
          </w:p>
        </w:tc>
      </w:tr>
    </w:tbl>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capital commitments are commitments in relation to the purchase of property and equipment including leasehold improvements.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operating and finance lease obligations consist of leases in relation to certain manufacturing plant, offices and buildings and other properties for our sales and service network.</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short-term and long-term borrowings represent borrowings with maturity from eleven months to seven years.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convertible notes that remained outstanding as of December 31, 2024 represented (i) the 2026 Notes with outstanding principal amount of US$912,000 as of December 31, 2024, which will mature in February 2026, (ii) the 2027 Notes with outstanding principal amount of US$378.5 million as of December 31, 2024, which will mature in February 2027, (iii) the 2029 Notes with outstanding principal amount of US$575.0 million as of December 31, 2024, which will mature in October 2029 and (iv) the 2030 Notes with outstanding principal amount of US$575.0 million as of December 31, 2024, which will mature in October 2030. On January 31, 2025, we completed the repurchase right offer relating to the 2027 Notes with aggregate principal amount of US$378.3 million. Following settlement of the repurchase, US$213,000 aggregate principal amount of the 2027 Notes remained outstanding and continues to be subject to the existing terms of the indenture and the 2027 Notes.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intend to fund our existing and future material cash requirements with our existing cash balance. We will continue to make cash commitments, including capital expenditures, to support the growth of our business.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Other than those shown above, we did not have any significant capital and other commitments, long-term obligations, mortgages and charges or guarantees as of December 31, 2024. As of December 31, 2024, save as disclosed in our consolidated financial statements included elsewhere in this annual report, we did not have significant contingent liabilities. As of December 31, 2024, save as disclosed in this section, we did not have any significant bank overdrafts, loans and other similar indebtedness, liabilities under acceptances or acceptance credits, debentures, mortgages, charges hire purchase commitments or other outstanding material contingent liabilities.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Capital Expenditures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2022, 2023 and 2024, our capital expenditures were mainly used for the acquisition of property, plant and equipment which consisted primarily of charging and battery swap equipment, mold and tooling, production facilities, IT equipment, research and development equipment, leasehold improvements mainly for NIO Houses and NIO Spaces, delivery and servicing centers, Power Swap Stations and laboratories as well as equity investments. We made capital expenditures of RMB7,251.9 million, RMB14,762.5 million and RMB9,534.7 million (US$1,306.3 million) in 2022, 2023 and 2024, respectively. We expect our capital expenditures to continue to be significant in the foreseeable future as we expand our business, and that our level of capital expenditures will be significantly affected by user demand for our products and services. The fact that we have a limited operating history means we have limited historical data on the demand for our products and services. As a result, our future capital requirements may be uncertain and actual capital requirements may be different from those we currently anticipate. To the extent the proceeds of securities we have issued and cash flows from our business activities are insufficient to fund future capital requirements, we may need to seek equity or debt financing. We will continue to make capital expenditures to support the expected growth of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Holding Company Structure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NIO Inc. is a holding company with no material operations of its own. We conduct our operations in China primarily through our PRC subsidiaries, and, to a much lesser extent, the VIEs, and NIO Insurance Broker Co., Ltd., the subsidiary of Anhui NIO DT. As a result, our ability to pay dividends depends significantly upon dividends paid by our PRC subsidiaries. If our existing PRC subsidiaries or any newly formed ones incur debt on their own behalf in the future, the instruments governing their debt may restrict their ability to pay dividends to us. In addition, our wholly foreign-owned subsidiaries in China are permitted to pay dividends to us only out of their retained earnings, if any, as determined in accordance with PRC accounting standards and regulations. Under PRC law, each of our subsidiaries and the VIEs and their subsidiaries in China is required to set aside at least 10% of its after-tax profits each year, if any, to fund certain statutory reserve funds until such reserve funds reach 50% of its registered capital. In addition, each of our wholly foreign-owned subsidiaries in China may allocate a portion of its after-tax profits based on PRC accounting standards to enterprise expansion funds, staff bonuses and welfare funds at its discretion, and the VIEs may allocate a portion of their after-tax profits based on PRC accounting standards to a discretionary surplus fund at its discretion. The statutory reserve funds and the discretionary funds are not distributable as cash dividends. Remittance of dividends by a wholly foreign-owned company out of China is subject to examination by the banks designated by the SAFE. Our PRC subsidiaries have not paid dividends and will not be able to pay dividends until they generate accumulated profits and meet the requirements for statutory reserve funds. The VIEs did not have any material assets or liabilities as of December 31, 2024. In the future, we expect (i) Beijing NIO to focus on value-added telecommunications services, including, without limitation, performing internet services as well as holding certain related licenses; (ii) Anhui NIO AT to focus on assisted and intelligent driving services, including, without limitation, performing certain services as well as holding certain related licenses; and (iii) Anhui NIO DT to focus on insurance brokerage services, including, without limitation, performing insurance brokerage services as well as holding certain related licenses through its subsidiary.</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Other than the guarantees provided to Battery Asset Company in relation to the BaaS model as described in Note 2(r) to our consolidated financial statements included elsewhere in this annual report, we have not entered into any off-balance sheet financial guarantees or other off-balance sheet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 xml:space="preserve">Research and Development, Patents and Licenses, etc.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See “Item 4. Information on the Company—B. Business Overview—Intellectual Property.”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Trend Information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Other than as disclosed elsewhere in this annual report, we are not aware of any trends, uncertainties, demands, commitments or events for the current fiscal year that are reasonably likely to have a material effect on our net revenues, income, profitability, liquidity or capital resources, or that would cause the disclosed financial information to be not necessarily indicative of future operating results or financial conditions.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Critical Accounting Estimates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prepare our consolidated financial statements in accordance with U.S. GAAP, which requires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financial statements that require estimation but are not deemed critical, as defined above. Changes in estimates used in these and other items could have a material impact on our financial statements. For a detailed discussion of our significant accounting policies and related judgments, see Note 2 to our consolidated financial statements included elsewhere in this annual report.</w:t>
      </w:r>
    </w:p>
    <w:p>
      <w:pPr>
        <w:pStyle w:val="TextBody"/>
        <w:bidi w:val="0"/>
        <w:spacing w:before="0" w:after="200"/>
        <w:ind w:left="0" w:right="0" w:firstLine="360"/>
        <w:jc w:val="both"/>
        <w:rPr>
          <w:rFonts w:ascii="Times New Roman;Times;serif" w:hAnsi="Times New Roman;Times;serif"/>
          <w:b/>
          <w:i/>
          <w:sz w:val="20"/>
        </w:rPr>
      </w:pPr>
      <w:r>
        <w:rPr>
          <w:rFonts w:ascii="Times New Roman;Times;serif" w:hAnsi="Times New Roman;Times;serif"/>
          <w:b/>
          <w:i/>
          <w:sz w:val="20"/>
        </w:rPr>
        <w:t>Warranty liabilities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accrue a warranty reserve for all new vehicles that we sell, which includes our best estimate of the projected costs to repair or replace items under warranties. These estimates are based on actual claims incurred to date and an estimate of the nature, frequency and costs of future claims. These estimates are inherently uncertain given our relatively short history of sales, and changes to the historical or projected warranty experience may cause material changes to the warranty reserve when we accumulate more actual data and experience in the future.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portion of the warranty reserve expected to be incurred within the next 12 months is included within accruals and other liabilities, while the remaining balance is included within other non-current liabilities on the consolidated balance sheets. Warranty expense is recorded as a component of cost of revenues in the consolidated statements of comprehensive loss.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do not consider standard warranty as being a separate performance obligation as it is intended to provide assurance that a product complies with agreed-upon specifications and is not viewed as a distinct obligation. Accordingly, standard warranty is accounted for in accordance with ASC 460, Guarantees.</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84" w:name="ITEM6DIRECTORSSENIORMANAGEMENTANDEMPLOYE"/>
      <w:bookmarkStart w:id="85" w:name="_5d1346e8_3d9c_4435_8cae_0345c6f3a676"/>
      <w:bookmarkEnd w:id="84"/>
      <w:bookmarkEnd w:id="85"/>
      <w:r>
        <w:rPr>
          <w:rFonts w:ascii="Times New Roman;Times;serif" w:hAnsi="Times New Roman;Times;serif"/>
          <w:b/>
          <w:sz w:val="20"/>
        </w:rPr>
        <w:t>ITEM 6.       DIRECTORS, SENIOR MANAGEMENT AND EMPLOYEES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Directors and Executive Officers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following table sets forth information regarding our executive officers and directors as of the date of this annual report. </w:t>
      </w:r>
    </w:p>
    <w:p>
      <w:pPr>
        <w:pStyle w:val="TextBody"/>
        <w:bidi w:val="0"/>
        <w:spacing w:before="0" w:after="0"/>
        <w:ind w:left="0" w:right="0" w:firstLine="720"/>
        <w:jc w:val="both"/>
        <w:rPr/>
      </w:pPr>
      <w:r>
        <w:rPr/>
        <w:t>​</w:t>
      </w:r>
    </w:p>
    <w:tbl>
      <w:tblPr>
        <w:tblW w:w="7225" w:type="dxa"/>
        <w:jc w:val="left"/>
        <w:tblInd w:w="0" w:type="dxa"/>
        <w:tblLayout w:type="fixed"/>
        <w:tblCellMar>
          <w:top w:w="0" w:type="dxa"/>
          <w:left w:w="0" w:type="dxa"/>
          <w:bottom w:w="28" w:type="dxa"/>
          <w:right w:w="0" w:type="dxa"/>
        </w:tblCellMar>
      </w:tblPr>
      <w:tblGrid>
        <w:gridCol w:w="2881"/>
        <w:gridCol w:w="326"/>
        <w:gridCol w:w="436"/>
        <w:gridCol w:w="326"/>
        <w:gridCol w:w="3256"/>
      </w:tblGrid>
      <w:tr>
        <w:trPr/>
        <w:tc>
          <w:tcPr>
            <w:tcW w:w="2881"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Directors and Executive Officers</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43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Age</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325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Position/Title</w:t>
            </w:r>
          </w:p>
        </w:tc>
      </w:tr>
      <w:tr>
        <w:trPr/>
        <w:tc>
          <w:tcPr>
            <w:tcW w:w="2881" w:type="dxa"/>
            <w:tcBorders>
              <w:top w:val="single" w:sz="8" w:space="0" w:color="000000"/>
            </w:tcBorders>
            <w:shd w:fill="CCEEFF" w:val="clear"/>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Bin Li</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436" w:type="dxa"/>
            <w:tcBorders>
              <w:top w:val="single" w:sz="8"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3256" w:type="dxa"/>
            <w:tcBorders>
              <w:top w:val="single" w:sz="8" w:space="0" w:color="000000"/>
            </w:tcBorders>
            <w:shd w:fill="CCEEFF" w:val="clear"/>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r>
      <w:tr>
        <w:trPr/>
        <w:tc>
          <w:tcPr>
            <w:tcW w:w="28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Lihong Qin</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4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32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and President</w:t>
            </w:r>
          </w:p>
        </w:tc>
      </w:tr>
      <w:tr>
        <w:trPr/>
        <w:tc>
          <w:tcPr>
            <w:tcW w:w="288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Feng Shen</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43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325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w:t>
            </w:r>
          </w:p>
        </w:tc>
      </w:tr>
      <w:tr>
        <w:trPr/>
        <w:tc>
          <w:tcPr>
            <w:tcW w:w="28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Xin Zhou</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4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32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w:t>
            </w:r>
          </w:p>
        </w:tc>
      </w:tr>
      <w:tr>
        <w:trPr/>
        <w:tc>
          <w:tcPr>
            <w:tcW w:w="288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Yu Qu</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43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325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8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Ganesh V. Iyer</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4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32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of NIO U.S.</w:t>
            </w:r>
          </w:p>
        </w:tc>
      </w:tr>
      <w:tr>
        <w:trPr/>
        <w:tc>
          <w:tcPr>
            <w:tcW w:w="288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Hai Wu</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43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325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28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Denny Ting Bun Lee</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4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32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288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Yu Long</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43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25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28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Yonggang Wen</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2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288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Eddy Georges Skaf</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43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25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Non-Executive Director</w:t>
            </w:r>
          </w:p>
        </w:tc>
      </w:tr>
      <w:tr>
        <w:trPr/>
        <w:tc>
          <w:tcPr>
            <w:tcW w:w="28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Nicholas Paul Collins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2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Non-Executive Director</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Mr. Bin Li </w:t>
      </w:r>
      <w:r>
        <w:rPr>
          <w:rFonts w:ascii="Times New Roman;Times;serif" w:hAnsi="Times New Roman;Times;serif"/>
          <w:sz w:val="20"/>
        </w:rPr>
        <w:t>is our founder and has served as chairman of the board since our inception and our chief executive officer since March 2018. Since February 2015, Mr. Li has served as a director of Dida Inc. (HKEX: 2559), an online shared mobility company. Since July 2021, Mr. Li has served as a director of Uxin Limited (Nasdaq: UXIN), a leading e-commerce platform for buying and selling used cars in China. In 2000, Mr. Li co-founded Beijing Bitauto E-Commerce Co., Ltd. and served as its director and president until 2006. From 2010 to 2020, Mr. Li served as chairman of the board of directors at Bitauto Holdings Limited (previously listed on NYSE with stock code BITA), a former NYSE-listed automobile service company and a leading automobile service provider in China. In 2002, Mr. Li co-founded Beijing Creative &amp; Interactive Digital Technology Co., Ltd. as the chairman of the board of directors and had served as its president and director. Mr. Li received his bachelor’s degree in sociology from Peking University.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Lihong Qin</w:t>
      </w:r>
      <w:r>
        <w:rPr>
          <w:rFonts w:ascii="Times New Roman;Times;serif" w:hAnsi="Times New Roman;Times;serif"/>
          <w:sz w:val="20"/>
        </w:rPr>
        <w:t xml:space="preserve"> is our co-founder and has served as our director and our president since our inception. Prior to joining us, Mr. Qin served as chief marketing officer and executive director at Longfor Properties Co., Ltd. (HKEX: 960), a leading company involved in property development and investment in China, from 2008 to 2014. He also served as deputy general manager at Anhui Chery Automobile Sales and Service Company from 2005 to 2008, as senior consultant and project manager at Roland Berger Strategy Consultants from 2003 to 2005. Mr. Qin received his bachelor’s degree and a master’s degree in law from Peking University in 1996 and 1999, respectively, and a master’s degree in public policy from Harvard University in 2001.</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Feng Shen</w:t>
      </w:r>
      <w:r>
        <w:rPr>
          <w:rFonts w:ascii="Times New Roman;Times;serif" w:hAnsi="Times New Roman;Times;serif"/>
          <w:sz w:val="20"/>
        </w:rPr>
        <w:t xml:space="preserve"> joined our company in December 2017, and currently serves as our executive vice president and chairman of quality management committee. Mr. Shen worked in several senior executive management roles, such as president of Polestar China and global chief technology officer at Polestar, president at Volvo Cars China R&amp;D Company, vice president of Volvo Cars Asia-Pacific Operation, and chairman at China-Sweden Traffic Safety Research Center from 2010 to 2017. Prior to that, Mr. Shen served in various roles, including powertrain manager and six-sigma quality management master, at Ford Motor Company (NYSE: F) from 1999 to 2010 in the United States and China. Mr. Shen received a bachelor’s degree in mathematics and mechanics and a master’s degree in applied mechanics from Fudan University in 1984 and 1987, respectively. He also received a doctoral degree in mechanical engineering from Auburn University in 1996.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Xin Zhou</w:t>
      </w:r>
      <w:r>
        <w:rPr>
          <w:rFonts w:ascii="Times New Roman;Times;serif" w:hAnsi="Times New Roman;Times;serif"/>
          <w:sz w:val="20"/>
        </w:rPr>
        <w:t xml:space="preserve"> joined our company in April 2015. He has served as the chairman of product committee since 2017, and currently serves as our executive vice president. Prior to joining our company, Mr. Zhou served as executive director at Qoros Automotive Co., Ltd. from September 2009 to April 2015. Prior to that, he was the engagement manager of McKinsey &amp; Co. from April 2007 to August 2009, and executive director of Lear Corp. (NYSE: LEA) from May 1998 to April 2007. From 1995 to 1998, Mr. Zhou worked at General Motors China Inc. Mr. Zhou received a bachelor’s degree in applied science from Fudan University in 1992 and a master’s degree in business administration from China Europe International Business School in 2008.</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Mr. Yu Qu </w:t>
      </w:r>
      <w:r>
        <w:rPr>
          <w:rFonts w:ascii="Times New Roman;Times;serif" w:hAnsi="Times New Roman;Times;serif"/>
          <w:sz w:val="20"/>
        </w:rPr>
        <w:t>joined our Company in October 2016, and currently serves as our Chief Financial Officer. Prior to joining NIO, Mr. Qu held various financial leadership roles at leading multinational companies including Lear Corporation and Johnson Controls, from 2013 to 2016. Before that, he worked at PricewaterhouseCoopers for ten years. Mr. Qu holds a bachelor’s degree in accounting from Peking University and a Master’s Degree in Accounting from Shanghai University of Finance and Economics.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Ganesh V. Iyer</w:t>
      </w:r>
      <w:r>
        <w:rPr>
          <w:rFonts w:ascii="Times New Roman;Times;serif" w:hAnsi="Times New Roman;Times;serif"/>
          <w:sz w:val="20"/>
        </w:rPr>
        <w:t xml:space="preserve"> joined our company in April 2016. He has served as the chief executive officer of NIO U.S. since December 2018. Mr. Iyer has over 35 years of experience delivering results in various industries including autonomous technology, hi-tech, manufacturing, and telecom. Mr. Iyer worked as vice president of Information Technology at Tesla Inc. (Nasdaq: TSLA) until 2016. Prior to Tesla, where he served as vice president of Information Technology, Mr. Iyer joined VMWare (NYSE: VMW) in 2010 and held senior information technology leadership roles at VMWare. Prior to VMWare, Mr. Iyer served as director of information technology at Juniper Networks (NYSE: JNPR) and WebEx and worked in consulting primarily at Electronic Data Systems. Mr. Iyer received a bachelor’s degree in chemical engineering from the University of Calicut in India.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Hai Wu</w:t>
      </w:r>
      <w:r>
        <w:rPr>
          <w:rFonts w:ascii="Times New Roman;Times;serif" w:hAnsi="Times New Roman;Times;serif"/>
          <w:sz w:val="20"/>
        </w:rPr>
        <w:t xml:space="preserve"> has served as our independent director since July 2016. Mr. Wu has served as a managing partner of Cenova Capital since May 2019. He has extensive experience in investments and management. Prior to Cenova Capital, Mr. Wu served as an executive director of China at Temasek Holdings Advisors (Beijing) Co., Ltd. since April 2014. Prior to that, Mr. Wu was the chief executive officer at Ramaxel Technology (Shenzhen) Limited from April 2012 to February 2014 and a managing director at CITIC Private Equity Funds Management Co., Ltd. from March 2010 to May 2012. Prior to that, Mr. Wu had served at Beijing Branch office of McKinsey &amp; Company for more than ten years and was appointed as the global director and managing partner until February 2010. He also served as a non-executive director of COFCO Meat Holdings Limited (HKEX: 1610) from September 2015 to December 2017. He received a bachelor’s degree in physiology from Peking University, a master’s degree in business administration from the Johnson School of Management, Cornell University and a doctoral degree in biomedical science from Rutgers University.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Denny Ting Bun Lee</w:t>
      </w:r>
      <w:r>
        <w:rPr>
          <w:rFonts w:ascii="Times New Roman;Times;serif" w:hAnsi="Times New Roman;Times;serif"/>
          <w:sz w:val="20"/>
        </w:rPr>
        <w:t xml:space="preserve"> has served as our independent director since September 2018. Mr. Lee currently serves as the chairman of the audit committees and an independent non-executive director of the boards of New Oriental Education &amp; Technology Group Inc. (NYSE: EDU; HKEX: 9901) and Jianpu Technology Inc. (OTCQB: AIJTY). From April 2002 to June 2022, Mr. Lee served as a director of NetEase, Inc., formerly known as NetEase.com, Inc., which is listed on the Nasdaq Global Select Market (Nasdaq: NTES) and the Hong Kong Stock Exchange (HKEX: 9999). He was the chief financial officer of NetEase.com, Inc. from April 2002 to June 2007 and its financial controller from November 2001 to April 2002. Prior to joining NetEase.com, Inc., Mr. Lee worked in the Hong Kong office of KPMG for more than ten years. Mr. Lee graduated from the Hong Kong Polytechnic University with a professional diploma in accounting and is a member of The Hong Kong Institute of Certified Public Accountants and The Chartered Association of Certified Accountants.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Ms. Yu Long</w:t>
      </w:r>
      <w:r>
        <w:rPr>
          <w:rFonts w:ascii="Times New Roman;Times;serif" w:hAnsi="Times New Roman;Times;serif"/>
          <w:sz w:val="20"/>
        </w:rPr>
        <w:t xml:space="preserve"> has served as our independent director since July 2021. Ms. Long currently serves as the Founding and Managing Partner of BAI Capital. She also serves as a member of Bertelsmann Group Management Committee and the governor of China Venture Capital and Private Equity Association. Formerly, Ms. Long was the chief executive officer of Bertelsmann China Corporate Center and the managing partner of Bertelsmann Asia Investments. Prior to that, she was a Principal at Bertelsmann Digital Media Investments. She joined the international media, services, and education company via the Bertelsmann Entrepreneurs Program in 2005. Ms. Long is a member of the World Economic Forum’s Young Global Leaders Advisory Council and its Global Agenda Council on the Future of Media, Entertainment &amp; Information and was a member of the Stanford Graduate School of Business Advisory Council from May 2015 to May 2021. Ms. Long serves as an independent director on the board of directors of Tapestry Inc. (NYSE: TPR, its portfolio includes Coach, Stuart Weitzman and Kate Spade) and an independent non-executive director of the boards of the Hongkong and Shanghai Banking Corporation Limited. Ms. Long received a bachelor’s degree in electrical engineering from University of Electronic Science and Technology in China and an MBA from Stanford Graduate School of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Yonggang Wen</w:t>
      </w:r>
      <w:r>
        <w:rPr>
          <w:rFonts w:ascii="Times New Roman;Times;serif" w:hAnsi="Times New Roman;Times;serif"/>
          <w:sz w:val="20"/>
        </w:rPr>
        <w:t xml:space="preserve"> has served as our independent director since November 2023. Mr. Wen currently serves as a Full Professor and President’s Chair of Computer Science and Engineering at Nanyang Technological University, Singapore. He is a Fellow of the Institute of Electrical and Electronics Engineers (IEEE, the world’s largest technical professional organization), a Fellow of Singapore Academy of Engineering, and a Distinguished Member of Association for Computing Machinery. He also serves as the Director of the Centre for Computational Technologies in Finance, and has been the Associate Provost (Graduate Education) and Dean of Graduate College at Nanyang Technological University since January 2024. Mr. Wen has served as a non-executive director of Red Dot Analytics Pte Ltd in Singapore since 2016. His career has been marked by pioneering work in applying learning-based techniques to system prototyping and performance optimization for large-scale networked computer systems. He has received numerous awards for his contributions, including the 2020 IEEE Industrial Technical Excellence Award, the 2019 Nanyang Research Award and the 2016 Nanyang Award in Innovation and Entrepreneurship. Professor Wen also has a strong record of leadership in academic and research roles, including serving as the Chair for IEEE ComSoc Multimedia Communication Technical Committee from 2014 to 2016 and the Editor in Chief of IEEE Transactions on Multimedia currently. Professor Wen received his PhD in electrical engineering and computer science from Massachusetts Institute of Technology in 2008.</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Eddy Georges Skaf</w:t>
      </w:r>
      <w:r>
        <w:rPr>
          <w:rFonts w:ascii="Times New Roman;Times;serif" w:hAnsi="Times New Roman;Times;serif"/>
          <w:sz w:val="20"/>
        </w:rPr>
        <w:t xml:space="preserve"> has served as our non-executive director since February 2024. Mr. Skaf has held the position of chief investment officer at CYVN Holdings L.L.C. since May 2023. He also acts as directors of a number of affiliates of CYVN Holdings L.L.C., including McLaren Group Holdings Limited, Forseven Limited, and CYVN Investments RSC Ltd. Previously, from August 2019 to May 2023, Mr. Skaf served as a senior advisor to Digital Infrastructure at Mubadala. Before this, he served as the chief strategy officer at Emirates Integrated Telecom Company (du) from August 2017 to May 2019. Mr. Skaf received his bachelor’s degree in computer and communication engineering from American University of Beirut in 1995, and his master’s degree of business administration in business administration and management and master’s degree of science in management information systems from Boston University in 2000.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Nicholas Paul Collins</w:t>
      </w:r>
      <w:r>
        <w:rPr>
          <w:rFonts w:ascii="Times New Roman;Times;serif" w:hAnsi="Times New Roman;Times;serif"/>
          <w:sz w:val="20"/>
        </w:rPr>
        <w:t xml:space="preserve"> has served as our non-executive director since February 2024. Mr. Collins has served as the chief executive officer of Forseven Limited since January 2024 and as the chief executive officer of McLaren Group Holdings Limited since April 2025. Prior to these roles, Mr. Collins worked at Jaguar Land Rover from March 2015 to December 2023 in various capacities, including a director of both Jaguar Land Rover Limited and Jaguar Land Rover Holdings Limited, and an executive director of vehicle programs at Jaguar Land Rover Limited. Mr. Collins began his career in the automotive industry in 1993 and has extensive experience in global product development, product and business strategy, and vehicle development and launch across Ford Motor Company and Jaguar Land Rover. Mr. Collins received his master’s degree in mechanical engineering from University of Nottingham in 1998, and an MBA from Henley Management College in 2004.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year ended December 31, 2024, we paid an aggregate of approximately US$2.8 million in cash to our directors and executive officers. For share incentive grants to our directors and executive officers, see “—Stock Incentive Plans.” We have not set aside or accrued any amount to provide pension, retirement or other similar benefits to our directors and executive officers. Our PRC subsidiaries and the VIEs are required by law to make contributions equal to certain percentages of each employee’s salary for his or her pension insurance, medical insurance, unemployment insurance and other statutory benefits and a housing provident fund.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We have entered into employment agreements with each of our executive officers. Under these agreements, each of our executive officers is employed for a specified time period. For the executive officers who joined our company prior to September 2018, we may terminate employment for cause, at any time, without advance notice or remuneration, for certain acts of such executive officer, such as conviction or plea of guilty to a felony or any crime involving moral turpitude, negligent or dishonest acts to our detriment, or misconduct or a failure to perform agreed duties. In such case of termination, we will provide severance payments to the executive officer as expressly required by applicable law of the jurisdiction where the executive officer is based.</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Each executive officer has agreed to hold, both during and after the termination or expiry of the executive officer’s employment agreement, in strict confidence and not to use, except as required in the performance of the executive officer’s duties in connection with the executive officer’s employment or pursuant to applicable law, any of our confidential information or trade secrets, any confidential information or trade secrets of our clients or prospective clients, or the confidential or proprietary information of any third party that we received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In addition, each executive officer has agreed to be bound by non-competition and non-solicitation restrictions during the term of the executive officer’s employment and typically for one year following the last date of employment. Specifically, each executive officer has agreed not to (i) approach our suppliers, clients, customers or contacts or other persons or entities introduced to the executive officer in the executive officer’s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with any of our competitors, without our express consent; or (iii) seek directly or indirectly, to solicit the services of any of our employees who we employed on or after the date of the executive officer’s termination, or in the year preceding such termination, without our express consent.</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We have also entered into indemnification agreements with each of our directors and each of our executive officers who joined our company prior to September 2018. Under these agreements, we agree to indemnify our directors and executive officers against certain liabilities and expenses incurred by such persons in connection with claims made by reason of their being a director or officer of our company.</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Stock Incentive Plans</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We adopted share incentive plans in 2015, 2016, 2017, 2018 and 2024, which we refer to as the 2015 Plan, the 2016 Plan, the 2017 Plan, the 2018 Plan and the 2024 Plan, respectively. The 2018 Plan expired on December 31, 2023. All of the others remain effective. The terms of the 2015 Plan, the 2016 Plan and the 2017 Plan are substantially similar, and the terms of the 2018 Plan and the 2024 Plan are substantially similar. The purpose of our stock incentive plans is to attract and retain the best available personnel, to provide additional incentives to our employees, directors and consultants and to promote the success of our business. Our board of directors believes that our long-term success is dependent upon our ability to attract and retain superior individuals who, by virtue of their ability and qualifications, make important contributions to our business.</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The maximum number of Class A ordinary shares which may be issued pursuant to all awards are 46,264,378 under the 2015 Plan, 18,000,000 under the 2016 Plan and 33,000,000 under the 2017 Plan. The maximum number of shares available for issuance pursuant to all awards under the 2018 Plan was initially 23,000,000 Class A ordinary shares, and the amount automatically increased at the beginning of each new year by the number of shares representing 1.5% of the then total issued and outstanding share capital of our company as of the end of the prior year during the term of the 2018 Plan. The maximum number of shares available for issuance pursuant to all awards under the 2024 Plan was initially 19,288,470 Class A ordinary shares, and the amount automatically increases at the beginning of each new year by the number of shares representing 1.2% of the then total issued and outstanding share capital of our company as of the last day of the immediately preceding fiscal year during the term of the 2024 Plan. In addition, any awards not granted under an earlier plan when it terminates are automatically added to the 2024 Plan. As of April 7, 2025, awards to purchase an aggregate amount of 115,271,729 Class A ordinary shares under the 2015 Plan, the 2016 Plan, the 2017 Plan, the 2018 Plan and the 2024 Plan had been granted and were outstanding, excluding awards that were forfeited or cancelled after the grant dates.</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The following paragraphs describe the principal terms of the 2015 Plan, the 2016 Plan and the 2017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Types of Awards</w:t>
      </w:r>
      <w:r>
        <w:rPr>
          <w:rFonts w:ascii="Times New Roman;Times;serif" w:hAnsi="Times New Roman;Times;serif"/>
          <w:sz w:val="20"/>
        </w:rPr>
        <w:t>. These three plans permit the awards of options, restricted shares, restricted share units, share appreciation rights, dividend equivalent right or other right or benefit under each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Plan Administration</w:t>
      </w:r>
      <w:r>
        <w:rPr>
          <w:rFonts w:ascii="Times New Roman;Times;serif" w:hAnsi="Times New Roman;Times;serif"/>
          <w:sz w:val="20"/>
        </w:rPr>
        <w:t>. Our board of directors or a committee of one or more members of the board of directors or officers administer these three plans. The committee or the full board of directors, as applicable, will determine the grantees to receive awards, the type and number of awards to be granted to each grantee, and the terms and conditions of each award grant.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Award Agreement</w:t>
      </w:r>
      <w:r>
        <w:rPr>
          <w:rFonts w:ascii="Times New Roman;Times;serif" w:hAnsi="Times New Roman;Times;serif"/>
          <w:sz w:val="20"/>
        </w:rPr>
        <w:t>. Awards granted under these three plans are evidenced by an award agreement that sets forth terms, conditions and limitations for each award, which may include the term of the award, the provisions applicable in the event that the grantee’s employment or service terminates, and our authority to unilaterally or bilaterally amend the award.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Eligibility</w:t>
      </w:r>
      <w:r>
        <w:rPr>
          <w:rFonts w:ascii="Times New Roman;Times;serif" w:hAnsi="Times New Roman;Times;serif"/>
          <w:sz w:val="20"/>
        </w:rPr>
        <w:t>. We may grant awards to our employees, consultants and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Vesting Schedule</w:t>
      </w:r>
      <w:r>
        <w:rPr>
          <w:rFonts w:ascii="Times New Roman;Times;serif" w:hAnsi="Times New Roman;Times;serif"/>
          <w:sz w:val="20"/>
        </w:rPr>
        <w:t>. Except as approved by the plan administrator, options to be issued to the grantees under these three plans shall be subject to a minimum four (4) year vesting schedule calling for vesting no earlier than the following, counting from the applicable grant date or vesting commencement date (as determined by the plan administrator) with respect to the total issued options: the option representing 25% of the Class A ordinary shares under the option shall vest at the end of the first twelve (12) months commencing from the vesting commencement date, with remaining portions vesting in equal monthly installments over the next thirty-six (36) months.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Exercise of Options</w:t>
      </w:r>
      <w:r>
        <w:rPr>
          <w:rFonts w:ascii="Times New Roman;Times;serif" w:hAnsi="Times New Roman;Times;serif"/>
          <w:sz w:val="20"/>
        </w:rPr>
        <w:t>. The plan administrator determines the exercise price for each award, which is stated in the relevant award agreement. Options that are vested and exercisable will terminate if they are not exercised prior to the time as the plan administrator determines at the time of grant. However, in the case of an option granted to an employee who, at the time the option is granted, owns (or, pursuant to Section 424(d) of the U.S. Code, is deemed to own) stock representing more than 10% of the total combined voting power of all classes of shares of us or our subsidiary or affiliate, the term of the option will not be longer than ten years from the date of grant under the 2017 Plan, or five years from the date of grant under the 2015 Plan and the 2016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Transfer Restrictions.</w:t>
      </w:r>
      <w:r>
        <w:rPr>
          <w:rFonts w:ascii="Times New Roman;Times;serif" w:hAnsi="Times New Roman;Times;serif"/>
          <w:sz w:val="20"/>
        </w:rPr>
        <w:t xml:space="preserve"> Awards shall be transferable, subject to applicable laws, (i) by will and by the laws of descent and distribution and (ii) during the lifetime of the grantee, to the extent and in the manner authorized by the plan administrator. Notwithstanding the foregoing, the grantee may designate one or more beneficiaries of the grantee’s award in the event of the grantee’s death on a beneficiary designation form provided by the plan administrator.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Termination and Amendment of the Plan.</w:t>
      </w:r>
      <w:r>
        <w:rPr>
          <w:rFonts w:ascii="Times New Roman;Times;serif" w:hAnsi="Times New Roman;Times;serif"/>
          <w:sz w:val="20"/>
        </w:rPr>
        <w:t xml:space="preserve"> Unless terminated earlier or extended before expiration, each of these three plans has a term of ten years. The board of directors has the authority to terminate, amend or modify any or all of these three plans;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no such amendment shall be made without the approval of our shareholders to the extent such approval is required by applicable laws or provisions of the stock incentive plans. However, without the prior written consent of the grantee, no such action may adversely affect any outstanding award previously granted pursuant to the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paragraphs describe the principal terms of the 2018 Plan before its expiration on December 31,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Types of Awards</w:t>
      </w:r>
      <w:r>
        <w:rPr>
          <w:rFonts w:ascii="Times New Roman;Times;serif" w:hAnsi="Times New Roman;Times;serif"/>
          <w:sz w:val="20"/>
        </w:rPr>
        <w:t>. The 2018 Plan permits the awards of options, restricted shares or any other type of awards that the committee grants.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Plan Administration</w:t>
      </w:r>
      <w:r>
        <w:rPr>
          <w:rFonts w:ascii="Times New Roman;Times;serif" w:hAnsi="Times New Roman;Times;serif"/>
          <w:sz w:val="20"/>
        </w:rPr>
        <w:t>. Our board of directors or a committee of one or more members of our board of directors shall administer the 2018 Plan. The committee or the full board of directors, as applicable, will determine the participants to receive awards, the type and number of awards to be granted to each participant, and the terms and conditions of each award grant.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Award Agreement</w:t>
      </w:r>
      <w:r>
        <w:rPr>
          <w:rFonts w:ascii="Times New Roman;Times;serif" w:hAnsi="Times New Roman;Times;serif"/>
          <w:sz w:val="20"/>
        </w:rPr>
        <w:t>. Awards granted under the 2018 Plan are evidenced by an award agreement that sets forth terms, conditions and limitations for each award, which may include the term of the award, the provisions applicable in the event that the grantee’s employment or service terminates, and our authority to unilaterally or bilaterally amend, modify, suspend, cancel or rescind the award.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Eligibility</w:t>
      </w:r>
      <w:r>
        <w:rPr>
          <w:rFonts w:ascii="Times New Roman;Times;serif" w:hAnsi="Times New Roman;Times;serif"/>
          <w:sz w:val="20"/>
        </w:rPr>
        <w:t>. We may grant awards to the employees, directors and consultants of our company. However, we may grant incentive share options only to our employees, parent and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Vesting Schedule</w:t>
      </w:r>
      <w:r>
        <w:rPr>
          <w:rFonts w:ascii="Times New Roman;Times;serif" w:hAnsi="Times New Roman;Times;serif"/>
          <w:sz w:val="20"/>
        </w:rPr>
        <w:t>. In general, the plan administrator determines the vesting schedule, which is specified in the relevant award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Exercise of Options</w:t>
      </w:r>
      <w:r>
        <w:rPr>
          <w:rFonts w:ascii="Times New Roman;Times;serif" w:hAnsi="Times New Roman;Times;serif"/>
          <w:sz w:val="20"/>
        </w:rPr>
        <w:t>. The plan administrator determines the exercise price for each award, which is stated in the award agreement. The vested portion of an option will expire if not exercised prior to the time as the plan administrator determines at the time of its grant. However, the maximum exercisable term is five years from the date of a grant.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Transfer Restrictions</w:t>
      </w:r>
      <w:r>
        <w:rPr>
          <w:rFonts w:ascii="Times New Roman;Times;serif" w:hAnsi="Times New Roman;Times;serif"/>
          <w:sz w:val="20"/>
        </w:rPr>
        <w:t>. Awards may not be transferred in any manner by the grantee other than by will or the laws of descent and distribution, except as otherwise determined by the plan administrator.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Termination and amendment</w:t>
      </w:r>
      <w:r>
        <w:rPr>
          <w:rFonts w:ascii="Times New Roman;Times;serif" w:hAnsi="Times New Roman;Times;serif"/>
          <w:sz w:val="20"/>
        </w:rPr>
        <w:t>. Unless terminated earlier, the 2018 Plan has a term of five years from January 1, 2019. Our board of directors has the authority to amend or terminate the plan. However, no such action may adversely affect in any material way any awards previously granted unless agreed by the grantee.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paragraphs describe the principal terms of the 2024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Types of Awards</w:t>
      </w:r>
      <w:r>
        <w:rPr>
          <w:rFonts w:ascii="Times New Roman;Times;serif" w:hAnsi="Times New Roman;Times;serif"/>
          <w:sz w:val="20"/>
        </w:rPr>
        <w:t>. The 2024 Plan permits the awards of options, restricted shares or any other type of awards that the committee grants.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Plan Administration</w:t>
      </w:r>
      <w:r>
        <w:rPr>
          <w:rFonts w:ascii="Times New Roman;Times;serif" w:hAnsi="Times New Roman;Times;serif"/>
          <w:sz w:val="20"/>
        </w:rPr>
        <w:t>. Our board of directors or a committee of one or more members of our board of directors shall administer the 2024 Plan. The committee or the full board of directors, as applicable, shall determine the participants to receive awards, the type and number of awards to be granted to each participant, and the terms and conditions of each award grant.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Award Agreement</w:t>
      </w:r>
      <w:r>
        <w:rPr>
          <w:rFonts w:ascii="Times New Roman;Times;serif" w:hAnsi="Times New Roman;Times;serif"/>
          <w:sz w:val="20"/>
        </w:rPr>
        <w:t>. Awards granted under the 2024 Plan are evidenced by an award agreement that sets forth terms, conditions and limitations for each award, which may include the term of the award, the provisions applicable in the event that the grantee’s employment or service terminates, and our authority to unilaterally or bilaterally amend, modify, suspend, cancel or rescind the award.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Eligibility</w:t>
      </w:r>
      <w:r>
        <w:rPr>
          <w:rFonts w:ascii="Times New Roman;Times;serif" w:hAnsi="Times New Roman;Times;serif"/>
          <w:sz w:val="20"/>
        </w:rPr>
        <w:t>. We may grant awards to the employees, directors and consultants of our company. However, we may grant incentive share options only to our employees, parent and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Vesting Schedule</w:t>
      </w:r>
      <w:r>
        <w:rPr>
          <w:rFonts w:ascii="Times New Roman;Times;serif" w:hAnsi="Times New Roman;Times;serif"/>
          <w:sz w:val="20"/>
        </w:rPr>
        <w:t>. In general, the plan administrator determines the vesting schedule, which is specified in the relevant award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Exercise of Options</w:t>
      </w:r>
      <w:r>
        <w:rPr>
          <w:rFonts w:ascii="Times New Roman;Times;serif" w:hAnsi="Times New Roman;Times;serif"/>
          <w:sz w:val="20"/>
        </w:rPr>
        <w:t>. The plan administrator determines the exercise price for each award, which is stated in the award agreement. The vested portion of an option will expire if not exercised prior to the time as the plan administrator determines at the time of its grant. However, the maximum exercisable term is ten years from the date of a grant.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Transfer Restrictions</w:t>
      </w:r>
      <w:r>
        <w:rPr>
          <w:rFonts w:ascii="Times New Roman;Times;serif" w:hAnsi="Times New Roman;Times;serif"/>
          <w:sz w:val="20"/>
        </w:rPr>
        <w:t>. Awards may not be transferred in any manner by the grantee other than by will or the laws of descent and distribution, except as otherwise determined by the plan administrator.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Termination and amendment</w:t>
      </w:r>
      <w:r>
        <w:rPr>
          <w:rFonts w:ascii="Times New Roman;Times;serif" w:hAnsi="Times New Roman;Times;serif"/>
          <w:sz w:val="20"/>
        </w:rPr>
        <w:t>. Unless terminated earlier, the 2024 Plan has a term of five years from February 7, 2024. Our board of directors has the authority to amend or terminate the plans. However, no such action may adversely affect in any material way any awards previously granted unless agreed by the grantee.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as of April 7, 2025, the awards granted under the 2015 Plan, the 2016 Plan, the 2017 Plan, the 2018 Plan and the 2024 Plan to several of our executive officers, excluding awards that were forfeited or cancelled after the relevant grant dates.</w:t>
      </w:r>
    </w:p>
    <w:p>
      <w:pPr>
        <w:pStyle w:val="TextBody"/>
        <w:bidi w:val="0"/>
        <w:spacing w:before="0" w:after="0"/>
        <w:ind w:left="0" w:right="0" w:firstLine="720"/>
        <w:jc w:val="both"/>
        <w:rPr/>
      </w:pPr>
      <w:r>
        <w:rPr/>
        <w:t>​</w:t>
      </w:r>
    </w:p>
    <w:tbl>
      <w:tblPr>
        <w:tblW w:w="8876" w:type="dxa"/>
        <w:jc w:val="left"/>
        <w:tblInd w:w="0" w:type="dxa"/>
        <w:tblLayout w:type="fixed"/>
        <w:tblCellMar>
          <w:top w:w="0" w:type="dxa"/>
          <w:left w:w="0" w:type="dxa"/>
          <w:bottom w:w="0" w:type="dxa"/>
          <w:right w:w="0" w:type="dxa"/>
        </w:tblCellMar>
      </w:tblPr>
      <w:tblGrid>
        <w:gridCol w:w="1591"/>
        <w:gridCol w:w="326"/>
        <w:gridCol w:w="1441"/>
        <w:gridCol w:w="326"/>
        <w:gridCol w:w="1171"/>
        <w:gridCol w:w="326"/>
        <w:gridCol w:w="146"/>
        <w:gridCol w:w="1516"/>
        <w:gridCol w:w="326"/>
        <w:gridCol w:w="146"/>
        <w:gridCol w:w="1561"/>
      </w:tblGrid>
      <w:tr>
        <w:trPr/>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010285" cy="175260"/>
                      <wp:effectExtent l="0" t="0" r="0" b="0"/>
                      <wp:wrapNone/>
                      <wp:docPr id="91" name="Frame88"/>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2"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915035" cy="175260"/>
                      <wp:effectExtent l="0" t="0" r="0" b="0"/>
                      <wp:wrapNone/>
                      <wp:docPr id="93" name="Frame90"/>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94"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743585" cy="175260"/>
                      <wp:effectExtent l="0" t="0" r="0" b="0"/>
                      <wp:wrapNone/>
                      <wp:docPr id="95" name="Frame92"/>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96"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92710" cy="175260"/>
                      <wp:effectExtent l="0" t="0" r="0" b="0"/>
                      <wp:wrapNone/>
                      <wp:docPr id="97" name="Frame9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962660" cy="175260"/>
                      <wp:effectExtent l="0" t="0" r="0" b="0"/>
                      <wp:wrapNone/>
                      <wp:docPr id="98" name="Frame95"/>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99"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92710" cy="175260"/>
                      <wp:effectExtent l="0" t="0" r="0" b="0"/>
                      <wp:wrapNone/>
                      <wp:docPr id="100" name="Frame9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991235" cy="175260"/>
                      <wp:effectExtent l="0" t="0" r="0" b="0"/>
                      <wp:wrapNone/>
                      <wp:docPr id="101" name="Frame98"/>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Ordinary</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5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561" w:type="dxa"/>
            <w:tcBorders/>
            <w:vAlign w:val="center"/>
          </w:tcPr>
          <w:p>
            <w:pPr>
              <w:pStyle w:val="TableContents"/>
              <w:bidi w:val="0"/>
              <w:spacing w:before="0" w:after="0"/>
              <w:ind w:left="0" w:right="0" w:hanging="0"/>
              <w:jc w:val="center"/>
              <w:rPr/>
            </w:pPr>
            <w:r>
              <w:rPr/>
              <w:t>​</w:t>
            </w:r>
          </w:p>
        </w:tc>
      </w:tr>
      <w:tr>
        <w:trPr/>
        <w:tc>
          <w:tcPr>
            <w:tcW w:w="1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Underlying</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5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561" w:type="dxa"/>
            <w:tcBorders/>
            <w:vAlign w:val="center"/>
          </w:tcPr>
          <w:p>
            <w:pPr>
              <w:pStyle w:val="TableContents"/>
              <w:bidi w:val="0"/>
              <w:spacing w:before="0" w:after="0"/>
              <w:ind w:left="0" w:right="0" w:hanging="0"/>
              <w:jc w:val="center"/>
              <w:rPr/>
            </w:pPr>
            <w:r>
              <w:rPr/>
              <w:t>​</w:t>
            </w:r>
          </w:p>
        </w:tc>
      </w:tr>
      <w:tr>
        <w:trPr/>
        <w:tc>
          <w:tcPr>
            <w:tcW w:w="15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and</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5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561" w:type="dxa"/>
            <w:tcBorders/>
            <w:vAlign w:val="center"/>
          </w:tcPr>
          <w:p>
            <w:pPr>
              <w:pStyle w:val="TableContents"/>
              <w:bidi w:val="0"/>
              <w:spacing w:before="0" w:after="0"/>
              <w:ind w:left="0" w:right="0" w:hanging="0"/>
              <w:jc w:val="center"/>
              <w:rPr/>
            </w:pPr>
            <w:r>
              <w:rPr/>
              <w:t>​</w:t>
            </w:r>
          </w:p>
        </w:tc>
      </w:tr>
      <w:tr>
        <w:trPr/>
        <w:tc>
          <w:tcPr>
            <w:tcW w:w="15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 Share</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5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561" w:type="dxa"/>
            <w:tcBorders/>
            <w:vAlign w:val="center"/>
          </w:tcPr>
          <w:p>
            <w:pPr>
              <w:pStyle w:val="TableContents"/>
              <w:bidi w:val="0"/>
              <w:spacing w:before="0" w:after="0"/>
              <w:ind w:left="0" w:right="0" w:hanging="0"/>
              <w:jc w:val="center"/>
              <w:rPr/>
            </w:pPr>
            <w:r>
              <w:rPr/>
              <w:t>​</w:t>
            </w:r>
          </w:p>
        </w:tc>
      </w:tr>
      <w:tr>
        <w:trPr/>
        <w:tc>
          <w:tcPr>
            <w:tcW w:w="15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0"/>
              <w:ind w:left="0" w:right="0" w:hanging="0"/>
              <w:jc w:val="left"/>
              <w:rPr/>
            </w:pPr>
            <w:r>
              <w:rPr/>
              <w:t>    </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(US$/Share**)</w:t>
            </w:r>
          </w:p>
        </w:tc>
        <w:tc>
          <w:tcPr>
            <w:tcW w:w="326" w:type="dxa"/>
            <w:tcBorders/>
            <w:vAlign w:val="center"/>
          </w:tcPr>
          <w:p>
            <w:pPr>
              <w:pStyle w:val="TableContents"/>
              <w:bidi w:val="0"/>
              <w:spacing w:before="0" w:after="0"/>
              <w:ind w:left="0" w:right="0" w:hanging="0"/>
              <w:jc w:val="left"/>
              <w:rPr/>
            </w:pPr>
            <w:r>
              <w:rPr/>
              <w:t>    </w:t>
            </w:r>
          </w:p>
        </w:tc>
        <w:tc>
          <w:tcPr>
            <w:tcW w:w="16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 Grant</w:t>
            </w:r>
          </w:p>
        </w:tc>
        <w:tc>
          <w:tcPr>
            <w:tcW w:w="326" w:type="dxa"/>
            <w:tcBorders/>
            <w:vAlign w:val="center"/>
          </w:tcPr>
          <w:p>
            <w:pPr>
              <w:pStyle w:val="TableContents"/>
              <w:bidi w:val="0"/>
              <w:spacing w:before="0" w:after="0"/>
              <w:ind w:left="0" w:right="0" w:hanging="0"/>
              <w:jc w:val="left"/>
              <w:rPr/>
            </w:pPr>
            <w:r>
              <w:rPr/>
              <w:t>    </w:t>
            </w:r>
          </w:p>
        </w:tc>
        <w:tc>
          <w:tcPr>
            <w:tcW w:w="1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 Expiration</w:t>
            </w:r>
          </w:p>
        </w:tc>
      </w:tr>
      <w:tr>
        <w:trPr/>
        <w:tc>
          <w:tcPr>
            <w:tcW w:w="15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Bin Li </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13,500,000</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March 1, 2018</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February 29, 2028</w:t>
            </w:r>
          </w:p>
        </w:tc>
      </w:tr>
      <w:tr>
        <w:trPr/>
        <w:tc>
          <w:tcPr>
            <w:tcW w:w="1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March 5, 2020</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15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Lihong Qin</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April 2, 2020</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April 1, 2030</w:t>
            </w:r>
          </w:p>
        </w:tc>
      </w:tr>
      <w:tr>
        <w:trPr/>
        <w:tc>
          <w:tcPr>
            <w:tcW w:w="1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February 28, 2018</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February 27, 2028</w:t>
            </w:r>
          </w:p>
        </w:tc>
      </w:tr>
      <w:tr>
        <w:trPr/>
        <w:tc>
          <w:tcPr>
            <w:tcW w:w="15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February 1, 2018</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January 31, 2028</w:t>
            </w:r>
          </w:p>
        </w:tc>
      </w:tr>
      <w:tr>
        <w:trPr/>
        <w:tc>
          <w:tcPr>
            <w:tcW w:w="1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March 5, 2020</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15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August 31, 2023</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pPr>
            <w:r>
              <w:rPr/>
              <w:t>​</w:t>
            </w:r>
          </w:p>
        </w:tc>
      </w:tr>
      <w:tr>
        <w:trPr/>
        <w:tc>
          <w:tcPr>
            <w:tcW w:w="1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September 3, 2024</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15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September 3, 2024</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pPr>
            <w:r>
              <w:rPr/>
              <w:t>​</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Xin Zhou</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September 25, 2019</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September 24, 2026</w:t>
            </w:r>
          </w:p>
        </w:tc>
      </w:tr>
      <w:tr>
        <w:trPr/>
        <w:tc>
          <w:tcPr>
            <w:tcW w:w="15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April 2, 2020</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April 1, 2030</w:t>
            </w:r>
          </w:p>
        </w:tc>
      </w:tr>
      <w:tr>
        <w:trPr/>
        <w:tc>
          <w:tcPr>
            <w:tcW w:w="1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February 28, 2018</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February 27, 2028</w:t>
            </w:r>
          </w:p>
        </w:tc>
      </w:tr>
      <w:tr>
        <w:trPr/>
        <w:tc>
          <w:tcPr>
            <w:tcW w:w="15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February 1, 2018</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January 31, 2028</w:t>
            </w:r>
          </w:p>
        </w:tc>
      </w:tr>
      <w:tr>
        <w:trPr/>
        <w:tc>
          <w:tcPr>
            <w:tcW w:w="1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March 5, 2020</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15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August 31, 2023</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pPr>
            <w:r>
              <w:rPr/>
              <w:t>​</w:t>
            </w:r>
          </w:p>
        </w:tc>
      </w:tr>
      <w:tr>
        <w:trPr/>
        <w:tc>
          <w:tcPr>
            <w:tcW w:w="1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September 3, 2024</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15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September 3, 2024</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pPr>
            <w:r>
              <w:rPr/>
              <w:t>​</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Denny Ting Bun Lee</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September 12, 2018</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15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August 13, 2020</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pPr>
            <w:r>
              <w:rPr/>
              <w:t>​</w:t>
            </w:r>
          </w:p>
        </w:tc>
      </w:tr>
      <w:tr>
        <w:trPr/>
        <w:tc>
          <w:tcPr>
            <w:tcW w:w="1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September 12, 2020</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15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September 7, 2022</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pPr>
            <w:r>
              <w:rPr/>
              <w:t>​</w:t>
            </w:r>
          </w:p>
        </w:tc>
      </w:tr>
      <w:tr>
        <w:trPr/>
        <w:tc>
          <w:tcPr>
            <w:tcW w:w="1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September 7, 2022</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15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March 4, 2025</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pPr>
            <w:r>
              <w:rPr/>
              <w:t>​</w:t>
            </w:r>
          </w:p>
        </w:tc>
      </w:tr>
      <w:tr>
        <w:trPr/>
        <w:tc>
          <w:tcPr>
            <w:tcW w:w="1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September 12, 2024</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15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Hai Wu</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3.61</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May 29, 2019</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May 29, 2026</w:t>
            </w:r>
          </w:p>
        </w:tc>
      </w:tr>
      <w:tr>
        <w:trPr/>
        <w:tc>
          <w:tcPr>
            <w:tcW w:w="1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June 10, 2021</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15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November 3, 2023</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pPr>
            <w:r>
              <w:rPr/>
              <w:t>​</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Feng Shen</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December 31, 2017</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December 30, 2027</w:t>
            </w:r>
          </w:p>
        </w:tc>
      </w:tr>
      <w:tr>
        <w:trPr/>
        <w:tc>
          <w:tcPr>
            <w:tcW w:w="15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September 25, 2019</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September 24, 2026</w:t>
            </w:r>
          </w:p>
        </w:tc>
      </w:tr>
      <w:tr>
        <w:trPr/>
        <w:tc>
          <w:tcPr>
            <w:tcW w:w="1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April 2, 2020</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April 1, 2030</w:t>
            </w:r>
          </w:p>
        </w:tc>
      </w:tr>
      <w:tr>
        <w:trPr/>
        <w:tc>
          <w:tcPr>
            <w:tcW w:w="15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February 1, 2018</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January 31, 2028</w:t>
            </w:r>
          </w:p>
        </w:tc>
      </w:tr>
      <w:tr>
        <w:trPr/>
        <w:tc>
          <w:tcPr>
            <w:tcW w:w="1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March 5, 2020</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15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August 31, 2023</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pPr>
            <w:r>
              <w:rPr/>
              <w:t>​</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Yu Qu</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0.61</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December 1, 2016</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November 30, 2026</w:t>
            </w:r>
          </w:p>
        </w:tc>
      </w:tr>
      <w:tr>
        <w:trPr/>
        <w:tc>
          <w:tcPr>
            <w:tcW w:w="15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November 13, 2019</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November 12, 2026</w:t>
            </w:r>
          </w:p>
        </w:tc>
      </w:tr>
      <w:tr>
        <w:trPr/>
        <w:tc>
          <w:tcPr>
            <w:tcW w:w="1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September 25, 2019</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September 24, 2026</w:t>
            </w:r>
          </w:p>
        </w:tc>
      </w:tr>
      <w:tr>
        <w:trPr/>
        <w:tc>
          <w:tcPr>
            <w:tcW w:w="15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April 2, 2020</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April 1, 2030</w:t>
            </w:r>
          </w:p>
        </w:tc>
      </w:tr>
      <w:tr>
        <w:trPr/>
        <w:tc>
          <w:tcPr>
            <w:tcW w:w="1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February 1, 2018</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January 31, 2028</w:t>
            </w:r>
          </w:p>
        </w:tc>
      </w:tr>
      <w:tr>
        <w:trPr/>
        <w:tc>
          <w:tcPr>
            <w:tcW w:w="15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February 28, 2018</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February 27, 2028</w:t>
            </w:r>
          </w:p>
        </w:tc>
      </w:tr>
      <w:tr>
        <w:trPr/>
        <w:tc>
          <w:tcPr>
            <w:tcW w:w="1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3.61</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May 29, 2019</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May 28, 2026</w:t>
            </w:r>
          </w:p>
        </w:tc>
      </w:tr>
      <w:tr>
        <w:trPr/>
        <w:tc>
          <w:tcPr>
            <w:tcW w:w="15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March 5, 2020</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pPr>
            <w:r>
              <w:rPr/>
              <w:t>​</w:t>
            </w:r>
          </w:p>
        </w:tc>
      </w:tr>
      <w:tr>
        <w:trPr/>
        <w:tc>
          <w:tcPr>
            <w:tcW w:w="1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November 18, 2021</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15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June 9, 2023</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pPr>
            <w:r>
              <w:rPr/>
              <w:t>​</w:t>
            </w:r>
          </w:p>
        </w:tc>
      </w:tr>
      <w:tr>
        <w:trPr/>
        <w:tc>
          <w:tcPr>
            <w:tcW w:w="1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August 31, 2023</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15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May 29, 2024</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pPr>
            <w:r>
              <w:rPr/>
              <w:t>​</w:t>
            </w:r>
          </w:p>
        </w:tc>
      </w:tr>
      <w:tr>
        <w:trPr/>
        <w:tc>
          <w:tcPr>
            <w:tcW w:w="1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September 3, 2024</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15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September 3, 2024</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pPr>
            <w:r>
              <w:rPr/>
              <w:t>​</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Ganesh V Iyer</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September 25, 2019</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September 24, 2026</w:t>
            </w:r>
          </w:p>
        </w:tc>
      </w:tr>
      <w:tr>
        <w:trPr/>
        <w:tc>
          <w:tcPr>
            <w:tcW w:w="15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0.27</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May 3, 2016</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May 2, 2026</w:t>
            </w:r>
          </w:p>
        </w:tc>
      </w:tr>
      <w:tr>
        <w:trPr/>
        <w:tc>
          <w:tcPr>
            <w:tcW w:w="1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March 1, 2018</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February 29, 2028</w:t>
            </w:r>
          </w:p>
        </w:tc>
      </w:tr>
      <w:tr>
        <w:trPr/>
        <w:tc>
          <w:tcPr>
            <w:tcW w:w="15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April 2, 2020</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April 1, 2030</w:t>
            </w:r>
          </w:p>
        </w:tc>
      </w:tr>
      <w:tr>
        <w:trPr/>
        <w:tc>
          <w:tcPr>
            <w:tcW w:w="1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August 31, 2023</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15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Yu Long</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July 12, 2021</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pPr>
            <w:r>
              <w:rPr/>
              <w:t>​</w:t>
            </w:r>
          </w:p>
        </w:tc>
      </w:tr>
      <w:tr>
        <w:trPr/>
        <w:tc>
          <w:tcPr>
            <w:tcW w:w="1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November 3, 2023</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15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Yonggang Wen</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November 13, 2023</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pPr>
            <w:r>
              <w:rPr/>
              <w:t>​</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Eddy Georges Skaf</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February 7, 2024</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15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Nicholas Paul Collins</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February 7, 2024</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pPr>
            <w:r>
              <w:rPr/>
              <w:t>​</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31,118,569</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    Less than one percent of our total outstanding shares.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As of April 7, 2025, non-executive officers and other grantees as a group held awards to purchase 86,529,391 Class A ordinary shares of our company. The exercise prices of the options outstanding as of April 7, 2025 ranged from US$0.1 to US$48.45 per share.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          Board Practices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Board of Directors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board of directors of our company, or the board, consists of eight directors. A director is not required to hold any shares in our company by way of qualification. A director may vote with respect to any contract, proposed contract or arrangement in which he is interested provided (a) such director has declared the nature of his interest at the earliest meeting of the board at which it is practicable for him to do so, either specifically or by way of a general notice and (b) if such contract or arrangement is a transaction with a related party, such transaction has been approved by the audit committee. The directors may exercise all the powers of our company to borrow money, mortgage our company’s undertaking, property and uncalled capital, and issue debentures or other securities whenever money is borrowed or as security for any obligation of our company or of any third party. None of our non-executive directors has a service contract with us that provides for benefits upon termination of service.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Committees of the Board of Directors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have established three committees under the board: an audit committee, a compensation committee and a nominating and ESG committee. We have adopted a charter (as amended from time to time) for each of the three committees. Each committee’s members and functions are described below.</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Audit Committee</w:t>
      </w:r>
      <w:r>
        <w:rPr>
          <w:rFonts w:ascii="Times New Roman;Times;serif" w:hAnsi="Times New Roman;Times;serif"/>
          <w:sz w:val="20"/>
        </w:rPr>
        <w:t>. Our audit committee consists of Denny Ting Bun Lee, Hai Wu and Yu Long. Denny Ting Bun Lee is the chairman of our audit committee. We have determined that Denny Ting Bun Lee, Hai Wu and Yu Long satisfy the “independence” requirements of Section 303A of the Corporate Governance Rules of the New York Stock Exchange and Rule 10A-3 under the Exchange Act. We have determined that Denny Ting Bun Lee qualifies as an “audit committee financial expert.” The audit committee oversees our accounting and financial reporting processes and the audits of the financial statements of our company. The audit committee is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the independent auditors and pre-approving all auditing and non-auditing services permitted to be performed by the independent auditors;</w:t>
            </w:r>
          </w:p>
        </w:tc>
      </w:tr>
    </w:tbl>
    <w:tbl>
      <w:tblPr>
        <w:tblW w:w="8931" w:type="dxa"/>
        <w:jc w:val="left"/>
        <w:tblInd w:w="0" w:type="dxa"/>
        <w:tblLayout w:type="fixed"/>
        <w:tblCellMar>
          <w:top w:w="28" w:type="dxa"/>
          <w:left w:w="28" w:type="dxa"/>
          <w:bottom w:w="28" w:type="dxa"/>
          <w:right w:w="28" w:type="dxa"/>
        </w:tblCellMar>
      </w:tblPr>
      <w:tblGrid>
        <w:gridCol w:w="124"/>
        <w:gridCol w:w="256"/>
        <w:gridCol w:w="8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the independent auditors any audit problems or difficulties and management’s response;</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annual audited financial statements with management and the independent auditors;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adequacy and effectiveness of our accounting and internal control policies and procedures and any steps taken to monitor and control major financial risk exposures;</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all proposed related party transactions;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separately and periodically with management and the independent auditors;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compliance with our code of business conduct and ethics, including reviewing the adequacy and effectiveness of our procedures to ensure proper compliance.</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Compensation Committee</w:t>
      </w:r>
      <w:r>
        <w:rPr>
          <w:rFonts w:ascii="Times New Roman;Times;serif" w:hAnsi="Times New Roman;Times;serif"/>
          <w:sz w:val="20"/>
        </w:rPr>
        <w:t>. Our compensation committee consists of Hai Wu, Denny Ting Bun Lee and Bin Li. Hai Wu is the chairman of our compensation committee. We have determined that Hai Wu and Denny Ting Bun Lee satisfy the “independence” requirements of Section 303A of the Corporate Governance Rules of the New York Stock Exchange.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recommending to the board for its approval, the compensation for our chief executive officer and other executive officers;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for determination with respect to the compensation of our non-employee directors;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periodically and approving any incentive compensation or equity plans, programs or similar arrangements;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any compensation consultant, legal counsel or other adviser only after taking into consideration all factors to that person’s independence from management.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Nominating and ESG Committee</w:t>
      </w:r>
      <w:r>
        <w:rPr>
          <w:rFonts w:ascii="Times New Roman;Times;serif" w:hAnsi="Times New Roman;Times;serif"/>
          <w:sz w:val="20"/>
        </w:rPr>
        <w:t>. Our nominating and ESG committee consists of Yu Long, Hai Wu and Denny Ting Bun Lee. Yu Long is the chairperson of our nominating and ESG committee. Hai Wu, Denny Ting Bun Lee and Yu Long satisfy the “independence” requirements of Section 303A of the Corporate Governance Rules of the New York Stock Exchange. The nominating and ESG committee assists the board in selecting individuals qualified to become our directors and in determining the composition of the board and its committees. The nominating and ESG committee is responsible for, among other things:</w:t>
      </w:r>
    </w:p>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and recommending to the board nominees for election by the shareholders or appointment by the board;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annually with the board the current composition of the board with regards to characteristics such as independence, knowledge, skills, experience and diversity;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recommendations on the frequency and structure of board meetings and monitoring the functioning of the committees of the board;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advising the board periodically with regard to significant developments in the law and practice of corporate governance as well as our compliance with applicable laws and regulations, and making recommendations to the board on all matters of corporate governance and on any remedial action to be taken;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advice on ESG matters to management, and discussing with management and approving, or recommending to the board for approval, our company’s initiatives, objectives, strategies and targets for ESG matters; and</w:t>
            </w:r>
          </w:p>
        </w:tc>
      </w:tr>
    </w:tbl>
    <w:tbl>
      <w:tblPr>
        <w:tblW w:w="9141" w:type="dxa"/>
        <w:jc w:val="left"/>
        <w:tblInd w:w="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monitoring our company’s progress toward achieving approved ESG objectives and targets.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Duties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Cayman Islands law, our directors owe fiduciary duties to our company, including a duty to act honestly, and a duty to act in good faith. The directors must act bona fide in what they consider to be in our best interests. Our directors must also exercise their powers only for a proper purpose. Our directors also have a duty to act with skills they actually possess and exercise the care and diligence that would be displayed by a reasonable director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thirteenth amended and restated memorandum and articles of association, as amended and restated from time to time, and the class rights vested thereunder in the holders of the shares. Our directors owe their fiduciary duties to our company and not to our company’s individual shareholders, and it is our company which has the right to seek damages if a duty owed by our directors is breached. In certain limited exceptional circumstances, a shareholder may have the right to seek damages in our name if a duty owed by our directors is breached.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all the powers necessary for managing, and for directing and supervising, our business affairs. The functions and powers of our board of directors include, among others: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convening shareholders’ annual and extraordinary general meetings and reporting its work to shareholders at such meetings;</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declaring dividends and other distributions;</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officers and determining the term of office of the officers;</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exercising the borrowing powers of our company and mortgaging the property of our company;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the transfer of shares in our company, including the registration of such shares in our share register.</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Terms of Directors and Officers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directors are not subject to a term of office (unless there is any written agreement between our company and such director) and hold office until such time as they are removed from office by ordinary resolution of the shareholders or by the board pursuant to our thirteenth amended and restated memorandum and articles of association. The office of a director shall be vacated if, among other things, the director (i) becomes bankrupt or makes any arrangement or composition with his creditors; (ii) resigns his office by notice in writing to our company; or (iii) dies or is found to be or becomes of unsound mind. In addition, for so long as our Class A ordinary shares are listed on the Hong Kong Stock Exchange, our independent directors are subject to retirement by rotation at least once every three years and eligible for re-election at our annual general meeting.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officers are appointed by and serve at the discretion of the board of directors, and may be removed by our board of directors.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          Employees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December 31, 2022, 2023 and 2024, we had 26,763, 32,820 and 45,635 full-time employees. The following table sets forth the numbers of our employees categorized by function as of December 31, 2024.</w:t>
      </w:r>
    </w:p>
    <w:p>
      <w:pPr>
        <w:pStyle w:val="TextBody"/>
        <w:bidi w:val="0"/>
        <w:spacing w:before="0" w:after="0"/>
        <w:ind w:left="0" w:right="0" w:firstLine="720"/>
        <w:jc w:val="both"/>
        <w:rPr/>
      </w:pPr>
      <w:r>
        <w:rPr/>
        <w:t>​</w:t>
      </w:r>
    </w:p>
    <w:tbl>
      <w:tblPr>
        <w:tblW w:w="6433" w:type="dxa"/>
        <w:jc w:val="left"/>
        <w:tblInd w:w="0" w:type="dxa"/>
        <w:tblLayout w:type="fixed"/>
        <w:tblCellMar>
          <w:top w:w="0" w:type="dxa"/>
          <w:left w:w="0" w:type="dxa"/>
          <w:bottom w:w="0" w:type="dxa"/>
          <w:right w:w="0" w:type="dxa"/>
        </w:tblCellMar>
      </w:tblPr>
      <w:tblGrid>
        <w:gridCol w:w="4141"/>
        <w:gridCol w:w="326"/>
        <w:gridCol w:w="1966"/>
      </w:tblGrid>
      <w:tr>
        <w:trPr/>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629535" cy="175260"/>
                      <wp:effectExtent l="0" t="0" r="0" b="0"/>
                      <wp:wrapNone/>
                      <wp:docPr id="102" name="Frame99"/>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03"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248410" cy="175260"/>
                      <wp:effectExtent l="0" t="0" r="0" b="0"/>
                      <wp:wrapNone/>
                      <wp:docPr id="104" name="Frame101"/>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User experience (sales and marketing and service)</w:t>
            </w:r>
          </w:p>
        </w:tc>
        <w:tc>
          <w:tcPr>
            <w:tcW w:w="326" w:type="dxa"/>
            <w:tcBorders/>
            <w:shd w:fill="CCEEFF" w:val="clear"/>
            <w:vAlign w:val="center"/>
          </w:tcPr>
          <w:p>
            <w:pPr>
              <w:pStyle w:val="TableContents"/>
              <w:bidi w:val="0"/>
              <w:spacing w:before="0" w:after="0"/>
              <w:ind w:left="0" w:right="0" w:hanging="0"/>
              <w:jc w:val="left"/>
              <w:rPr/>
            </w:pPr>
            <w:r>
              <w:rPr/>
              <w:t> </w:t>
            </w:r>
          </w:p>
        </w:tc>
        <w:tc>
          <w:tcPr>
            <w:tcW w:w="1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24,410</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and software development</w:t>
            </w:r>
          </w:p>
        </w:tc>
        <w:tc>
          <w:tcPr>
            <w:tcW w:w="326" w:type="dxa"/>
            <w:tcBorders/>
            <w:vAlign w:val="center"/>
          </w:tcPr>
          <w:p>
            <w:pPr>
              <w:pStyle w:val="TableContents"/>
              <w:bidi w:val="0"/>
              <w:spacing w:before="0" w:after="0"/>
              <w:ind w:left="0" w:right="0" w:hanging="0"/>
              <w:jc w:val="left"/>
              <w:rPr/>
            </w:pPr>
            <w:r>
              <w:rPr/>
              <w:t> </w:t>
            </w:r>
          </w:p>
        </w:tc>
        <w:tc>
          <w:tcPr>
            <w:tcW w:w="1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11,528</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w:t>
            </w:r>
          </w:p>
        </w:tc>
        <w:tc>
          <w:tcPr>
            <w:tcW w:w="326" w:type="dxa"/>
            <w:tcBorders/>
            <w:shd w:fill="CCEEFF" w:val="clear"/>
            <w:vAlign w:val="center"/>
          </w:tcPr>
          <w:p>
            <w:pPr>
              <w:pStyle w:val="TableContents"/>
              <w:bidi w:val="0"/>
              <w:spacing w:before="0" w:after="0"/>
              <w:ind w:left="0" w:right="0" w:hanging="0"/>
              <w:jc w:val="left"/>
              <w:rPr/>
            </w:pPr>
            <w:r>
              <w:rPr/>
              <w:t> </w:t>
            </w:r>
          </w:p>
        </w:tc>
        <w:tc>
          <w:tcPr>
            <w:tcW w:w="1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7,441</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administration</w:t>
            </w:r>
          </w:p>
        </w:tc>
        <w:tc>
          <w:tcPr>
            <w:tcW w:w="326" w:type="dxa"/>
            <w:tcBorders/>
            <w:vAlign w:val="center"/>
          </w:tcPr>
          <w:p>
            <w:pPr>
              <w:pStyle w:val="TableContents"/>
              <w:bidi w:val="0"/>
              <w:spacing w:before="0" w:after="0"/>
              <w:ind w:left="0" w:right="0" w:hanging="0"/>
              <w:jc w:val="left"/>
              <w:rPr/>
            </w:pPr>
            <w:r>
              <w:rPr/>
              <w:t> </w:t>
            </w:r>
          </w:p>
        </w:tc>
        <w:tc>
          <w:tcPr>
            <w:tcW w:w="1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2,256</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number of employees</w:t>
            </w:r>
          </w:p>
        </w:tc>
        <w:tc>
          <w:tcPr>
            <w:tcW w:w="326" w:type="dxa"/>
            <w:tcBorders/>
            <w:shd w:fill="CCEEFF" w:val="clear"/>
            <w:vAlign w:val="center"/>
          </w:tcPr>
          <w:p>
            <w:pPr>
              <w:pStyle w:val="TableContents"/>
              <w:bidi w:val="0"/>
              <w:spacing w:before="0" w:after="0"/>
              <w:ind w:left="0" w:right="0" w:hanging="0"/>
              <w:jc w:val="left"/>
              <w:rPr/>
            </w:pPr>
            <w:r>
              <w:rPr/>
              <w:t> </w:t>
            </w:r>
          </w:p>
        </w:tc>
        <w:tc>
          <w:tcPr>
            <w:tcW w:w="196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45,635</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employees have set up labor unions in China according to the related Chinese labor law. To date, we have not experienced any labor strike, and we consider our relationship with our employees to be good.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competitive level of salary and other employee benefits to our employees. Every employee beneficially owns shares in our company. We provide employees with a wide range of benefits, including but not limited to employees’ commercial insurance, physical examinations, vocational training and holiday benefits. We aim to create a warm, safe and secure working environment for everyone.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          Share Ownership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Except as specifically noted, the following table sets forth information with respect to the beneficial ownership of our ordinary shares as of April 7, 2025 with respect to:</w:t>
      </w:r>
    </w:p>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our directors and executive officers; and </w:t>
            </w:r>
          </w:p>
        </w:tc>
      </w:tr>
    </w:tbl>
    <w:tbl>
      <w:tblPr>
        <w:tblW w:w="7206" w:type="dxa"/>
        <w:jc w:val="left"/>
        <w:tblInd w:w="0" w:type="dxa"/>
        <w:tblLayout w:type="fixed"/>
        <w:tblCellMar>
          <w:top w:w="28" w:type="dxa"/>
          <w:left w:w="28" w:type="dxa"/>
          <w:bottom w:w="28" w:type="dxa"/>
          <w:right w:w="28" w:type="dxa"/>
        </w:tblCellMar>
      </w:tblPr>
      <w:tblGrid>
        <w:gridCol w:w="124"/>
        <w:gridCol w:w="256"/>
        <w:gridCol w:w="6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person known to us to own beneficially more than 5% of our ordinary shares. </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calculations in the table below are based on 2,245,990,598 ordinary shares outstanding as of April 7, 2025, comprising of 2,097,490,598 Class A ordinary shares (excluding 18,610,625 Class A ordinary shares issued and reserved for future issuance upon the exercising or vesting of awards granted under our stock incentive plans) and 148,500,000 Class C ordinary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3380"/>
        <w:gridCol w:w="326"/>
        <w:gridCol w:w="1141"/>
        <w:gridCol w:w="326"/>
        <w:gridCol w:w="1141"/>
        <w:gridCol w:w="326"/>
        <w:gridCol w:w="1141"/>
        <w:gridCol w:w="326"/>
        <w:gridCol w:w="841"/>
        <w:gridCol w:w="326"/>
        <w:gridCol w:w="931"/>
      </w:tblGrid>
      <w:tr>
        <w:trPr/>
        <w:tc>
          <w:tcPr>
            <w:tcW w:w="3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46300" cy="175260"/>
                      <wp:effectExtent l="0" t="0" r="0" b="0"/>
                      <wp:wrapNone/>
                      <wp:docPr id="105" name="Frame102"/>
                      <a:graphic xmlns:a="http://schemas.openxmlformats.org/drawingml/2006/main">
                        <a:graphicData uri="http://schemas.microsoft.com/office/word/2010/wordprocessingShape">
                          <wps:wsp>
                            <wps:cNvSpPr txBox="1"/>
                            <wps:spPr>
                              <a:xfrm>
                                <a:off x="0" y="0"/>
                                <a:ext cx="2146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06"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724535" cy="175260"/>
                      <wp:effectExtent l="0" t="0" r="0" b="0"/>
                      <wp:wrapNone/>
                      <wp:docPr id="107" name="Frame10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08"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724535" cy="175260"/>
                      <wp:effectExtent l="0" t="0" r="0" b="0"/>
                      <wp:wrapNone/>
                      <wp:docPr id="109" name="Frame10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0"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724535" cy="175260"/>
                      <wp:effectExtent l="0" t="0" r="0" b="0"/>
                      <wp:wrapNone/>
                      <wp:docPr id="111" name="Frame10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2"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34035" cy="175260"/>
                      <wp:effectExtent l="0" t="0" r="0" b="0"/>
                      <wp:wrapNone/>
                      <wp:docPr id="113" name="Frame11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14"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91185" cy="175260"/>
                      <wp:effectExtent l="0" t="0" r="0" b="0"/>
                      <wp:wrapNone/>
                      <wp:docPr id="115" name="Frame11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Class A</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Class C</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Total</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pPr>
            <w:r>
              <w:rPr/>
              <w:t>​</w:t>
            </w:r>
          </w:p>
        </w:tc>
      </w:tr>
      <w:tr>
        <w:trPr/>
        <w:tc>
          <w:tcPr>
            <w:tcW w:w="33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w:t>
            </w:r>
          </w:p>
        </w:tc>
        <w:tc>
          <w:tcPr>
            <w:tcW w:w="32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 of</w:t>
            </w:r>
            <w:r>
              <w:rPr>
                <w:rFonts w:ascii="Times New Roman;Times;serif" w:hAnsi="Times New Roman;Times;serif"/>
                <w:sz w:val="16"/>
              </w:rPr>
              <w:t> </w:t>
            </w:r>
          </w:p>
        </w:tc>
      </w:tr>
      <w:tr>
        <w:trPr/>
        <w:tc>
          <w:tcPr>
            <w:tcW w:w="33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shares </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 </w:t>
            </w:r>
          </w:p>
        </w:tc>
      </w:tr>
      <w:tr>
        <w:trPr/>
        <w:tc>
          <w:tcPr>
            <w:tcW w:w="33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beneficially </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beneficially </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beneficially </w:t>
            </w:r>
          </w:p>
        </w:tc>
        <w:tc>
          <w:tcPr>
            <w:tcW w:w="32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beneficial </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voting</w:t>
            </w:r>
          </w:p>
        </w:tc>
      </w:tr>
      <w:tr>
        <w:trPr/>
        <w:tc>
          <w:tcPr>
            <w:tcW w:w="33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owned</w:t>
            </w:r>
          </w:p>
        </w:tc>
        <w:tc>
          <w:tcPr>
            <w:tcW w:w="32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owned</w:t>
            </w:r>
          </w:p>
        </w:tc>
        <w:tc>
          <w:tcPr>
            <w:tcW w:w="32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owned</w:t>
            </w:r>
          </w:p>
        </w:tc>
        <w:tc>
          <w:tcPr>
            <w:tcW w:w="326"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ownership</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pPr>
            <w:r>
              <w:rPr/>
              <w:t> </w:t>
            </w:r>
            <w:r>
              <w:rPr>
                <w:rFonts w:ascii="Times New Roman;Times;serif" w:hAnsi="Times New Roman;Times;serif"/>
                <w:b/>
                <w:sz w:val="16"/>
              </w:rPr>
              <w:t>power</w:t>
            </w:r>
            <w:r>
              <w:rPr>
                <w:rFonts w:ascii="Times New Roman;Times;serif" w:hAnsi="Times New Roman;Times;serif"/>
                <w:sz w:val="16"/>
              </w:rPr>
              <w:t>†</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Directors and Executive Officers**:</w:t>
            </w:r>
          </w:p>
        </w:tc>
        <w:tc>
          <w:tcPr>
            <w:tcW w:w="326"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  </w:t>
            </w:r>
          </w:p>
        </w:tc>
      </w:tr>
      <w:tr>
        <w:trPr/>
        <w:tc>
          <w:tcPr>
            <w:tcW w:w="338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Bin Li</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30,467,776</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148,500,000</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178,967,776</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Lihong Qin</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Feng Shen</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Xin Zhou</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Yu Qu</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8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Ganesh V. Iyer</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8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Hai Wu</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8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Denny Ting Bun Lee</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8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Yu Long</w:t>
            </w:r>
            <w:r>
              <w:rPr>
                <w:rFonts w:ascii="Times New Roman;Times;serif" w:hAnsi="Times New Roman;Times;serif"/>
                <w:sz w:val="15"/>
              </w:rPr>
              <w:t>(5)</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8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Yonggang Wen</w:t>
            </w:r>
            <w:r>
              <w:rPr>
                <w:rFonts w:ascii="Times New Roman;Times;serif" w:hAnsi="Times New Roman;Times;serif"/>
                <w:sz w:val="15"/>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8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Eddy Georges Skaf</w:t>
            </w:r>
            <w:r>
              <w:rPr>
                <w:rFonts w:ascii="Times New Roman;Times;serif" w:hAnsi="Times New Roman;Times;serif"/>
                <w:sz w:val="15"/>
              </w:rPr>
              <w:t>(7)</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8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Nicholas Paul Collins</w:t>
            </w:r>
            <w:r>
              <w:rPr>
                <w:rFonts w:ascii="Times New Roman;Times;serif" w:hAnsi="Times New Roman;Times;serif"/>
                <w:sz w:val="15"/>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Directors and Executive Officers as a Group</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50,013,900</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148,500,000</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198,513,900</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Shareholders: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338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Founder vehicles</w:t>
            </w:r>
            <w:r>
              <w:rPr>
                <w:rFonts w:ascii="Times New Roman;Times;serif" w:hAnsi="Times New Roman;Times;serif"/>
                <w:sz w:val="15"/>
              </w:rPr>
              <w:t>(9)</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16,967,776</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148,500,000</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165,467,776</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r>
      <w:tr>
        <w:trPr/>
        <w:tc>
          <w:tcPr>
            <w:tcW w:w="338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CYVN Investments RSC Ltd</w:t>
            </w:r>
            <w:r>
              <w:rPr>
                <w:rFonts w:ascii="Times New Roman;Times;serif" w:hAnsi="Times New Roman;Times;serif"/>
                <w:sz w:val="15"/>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418,833,157</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418,833,157</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12.7</w:t>
            </w:r>
          </w:p>
        </w:tc>
      </w:tr>
    </w:tbl>
    <w:p>
      <w:pPr>
        <w:pStyle w:val="TextBody"/>
        <w:bidi w:val="0"/>
        <w:spacing w:before="0" w:after="240"/>
        <w:ind w:left="0" w:right="0" w:hanging="0"/>
        <w:jc w:val="both"/>
        <w:rPr>
          <w:rFonts w:ascii="Times New Roman;Times;serif" w:hAnsi="Times New Roman;Times;serif"/>
          <w:sz w:val="16"/>
        </w:rPr>
      </w:pPr>
      <w:r>
        <w:rPr>
          <w:rFonts w:ascii="Times New Roman;Times;serif" w:hAnsi="Times New Roman;Times;serif"/>
          <w:sz w:val="16"/>
        </w:rPr>
        <w:t>*    Less than 1% of our total outstanding shares.</w:t>
      </w:r>
    </w:p>
    <w:p>
      <w:pPr>
        <w:pStyle w:val="TextBody"/>
        <w:pBdr/>
        <w:bidi w:val="0"/>
        <w:spacing w:before="0" w:after="240"/>
        <w:ind w:left="0" w:right="0" w:hanging="0"/>
        <w:jc w:val="both"/>
        <w:rPr>
          <w:rFonts w:ascii="Times New Roman;Times;serif" w:hAnsi="Times New Roman;Times;serif"/>
          <w:sz w:val="16"/>
        </w:rPr>
      </w:pPr>
      <w:r>
        <w:rPr>
          <w:rFonts w:ascii="Times New Roman;Times;serif" w:hAnsi="Times New Roman;Times;serif"/>
          <w:sz w:val="16"/>
        </w:rPr>
        <w:t>**  Except where otherwise disclosed in the footnotes below, the business address of all the directors and executive officers is Building 19, No. 1355, Caobao Road, Minhang District, Shanghai, People’s Republic of China.</w:t>
      </w:r>
    </w:p>
    <w:p>
      <w:pPr>
        <w:pStyle w:val="TextBody"/>
        <w:pBdr/>
        <w:bidi w:val="0"/>
        <w:spacing w:before="0" w:after="240"/>
        <w:ind w:left="0" w:right="0" w:hanging="0"/>
        <w:jc w:val="both"/>
        <w:rPr/>
      </w:pPr>
      <w:r>
        <w:rPr/>
        <w:t>†    </w:t>
      </w:r>
      <w:r>
        <w:rPr>
          <w:rFonts w:ascii="Times New Roman;Times;serif" w:hAnsi="Times New Roman;Times;serif"/>
          <w:sz w:val="16"/>
        </w:rPr>
        <w:t>For each person and group included in this column, percentage of voting power is calculated by dividing the voting power beneficially owned by such person or group by the voting power of all of our Class A and Class C ordinary shares as a single class. Each holder of our Class A ordinary shares is entitled to one vote per share and each holder of our Class C ordinary shares is entitled to eight votes per share on all matters submitted to them for a vote. Our Class A ordinary shares and Class C ordinary shares vote together as a single class on all matters submitted to a vote of our shareholders, except as may otherwise be required by law.</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(i) 13,500,000 Class A ordinary shares issuable to Mr. Bin Li upon exercise of options within 60 days of April 7, 2025, (ii) 89,013,451 Class C ordinary shares held by Originalwish Limited, a British Virgin Islands company wholly owned by Mr. Bin Li, (iii) 26,454,325 Class C ordinary shares held by mobike Global Ltd., a British Virgin Islands company wholly owned by Mr. Bin Li, and (iv)16,967,776 Class A ordinary shares and 33,032,224 Class C ordinary shares held by NIO Users Limited, a holding company controlled by NIO Users Trust, which is under the control of Mr. Bin Li, among which 14,967,776 Class A ordinary shares and 33,032,224 Class C ordinary shares were held on record by NIO Users Limited and 2,000,000 Class A ordinary shares were held on record by NIO Users Community Limited, a British Virgin Islands company wholly owned by NIO Users Limited.</w:t>
            </w:r>
          </w:p>
        </w:tc>
      </w:tr>
    </w:tbl>
    <w:tbl>
      <w:tblPr>
        <w:tblW w:w="5777" w:type="dxa"/>
        <w:jc w:val="left"/>
        <w:tblInd w:w="0" w:type="dxa"/>
        <w:tblLayout w:type="fixed"/>
        <w:tblCellMar>
          <w:top w:w="0" w:type="dxa"/>
          <w:left w:w="0" w:type="dxa"/>
          <w:bottom w:w="0" w:type="dxa"/>
          <w:right w:w="0" w:type="dxa"/>
        </w:tblCellMar>
      </w:tblPr>
      <w:tblGrid>
        <w:gridCol w:w="331"/>
        <w:gridCol w:w="544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54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business address of Mr. Iyer is 3151 Zanker Road, San Jose, CA 95134.</w:t>
            </w:r>
          </w:p>
        </w:tc>
      </w:tr>
    </w:tbl>
    <w:tbl>
      <w:tblPr>
        <w:tblW w:w="8252" w:type="dxa"/>
        <w:jc w:val="left"/>
        <w:tblInd w:w="0" w:type="dxa"/>
        <w:tblLayout w:type="fixed"/>
        <w:tblCellMar>
          <w:top w:w="0" w:type="dxa"/>
          <w:left w:w="0" w:type="dxa"/>
          <w:bottom w:w="0" w:type="dxa"/>
          <w:right w:w="0" w:type="dxa"/>
        </w:tblCellMar>
      </w:tblPr>
      <w:tblGrid>
        <w:gridCol w:w="331"/>
        <w:gridCol w:w="792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79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business address of Mr. Wu is No. 53, Gaoyou Road, Xuhui District, Shanghai, People’s Republic of China.</w:t>
            </w:r>
          </w:p>
        </w:tc>
      </w:tr>
    </w:tbl>
    <w:tbl>
      <w:tblPr>
        <w:tblW w:w="7262" w:type="dxa"/>
        <w:jc w:val="left"/>
        <w:tblInd w:w="0" w:type="dxa"/>
        <w:tblLayout w:type="fixed"/>
        <w:tblCellMar>
          <w:top w:w="0" w:type="dxa"/>
          <w:left w:w="0" w:type="dxa"/>
          <w:bottom w:w="0" w:type="dxa"/>
          <w:right w:w="0" w:type="dxa"/>
        </w:tblCellMar>
      </w:tblPr>
      <w:tblGrid>
        <w:gridCol w:w="331"/>
        <w:gridCol w:w="693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6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The business address of Mr. Lee is No. 4 Dianthus Road, Yau Yat Chuen, Kowloon, Hong Kong. </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(5)</w:t>
            </w:r>
          </w:p>
        </w:tc>
        <w:tc>
          <w:tcPr>
            <w:tcW w:w="9888" w:type="dxa"/>
            <w:tcBorders/>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16"/>
              </w:rPr>
              <w:t>The business address of Ms. Long is Unit 1610, 16</w:t>
            </w:r>
            <w:r>
              <w:rPr>
                <w:rFonts w:ascii="Times New Roman;Times;serif" w:hAnsi="Times New Roman;Times;serif"/>
                <w:b w:val="false"/>
                <w:i w:val="false"/>
                <w:caps w:val="false"/>
                <w:smallCaps w:val="false"/>
                <w:sz w:val="12"/>
              </w:rPr>
              <w:t>th</w:t>
            </w:r>
            <w:r>
              <w:rPr>
                <w:caps w:val="false"/>
                <w:smallCaps w:val="false"/>
              </w:rPr>
              <w:t xml:space="preserve"> </w:t>
            </w:r>
            <w:r>
              <w:rPr>
                <w:rFonts w:ascii="Times New Roman;Times;serif" w:hAnsi="Times New Roman;Times;serif"/>
                <w:b w:val="false"/>
                <w:i w:val="false"/>
                <w:caps w:val="false"/>
                <w:smallCaps w:val="false"/>
                <w:sz w:val="16"/>
              </w:rPr>
              <w:t>Floor, West Tower, Genesis Beijing, 8 Xinyuan South Road, Chaoyang District, Beijing 100027, People’s Republic of China.</w:t>
            </w:r>
          </w:p>
        </w:tc>
      </w:tr>
    </w:tbl>
    <w:p>
      <w:pPr>
        <w:pStyle w:val="TextBody"/>
        <w:bidi w:val="0"/>
        <w:spacing w:before="0" w:after="160"/>
        <w:ind w:left="0" w:right="0" w:hanging="0"/>
        <w:jc w:val="left"/>
        <w:rPr>
          <w:rFonts w:ascii="Times New Roman;Times;serif" w:hAnsi="Times New Roman;Times;serif"/>
          <w:sz w:val="16"/>
        </w:rPr>
      </w:pPr>
      <w:r>
        <w:rPr>
          <w:rFonts w:ascii="Times New Roman;Times;serif" w:hAnsi="Times New Roman;Times;serif"/>
          <w:b w:val="false"/>
          <w:i w:val="false"/>
          <w:caps w:val="false"/>
          <w:smallCaps w:val="false"/>
          <w:sz w:val="16"/>
        </w:rPr>
        <w:t>(6)</w:t>
      </w:r>
      <w:r>
        <w:rPr>
          <w:rFonts w:ascii="Times New Roman;Times;serif" w:hAnsi="Times New Roman;Times;serif"/>
          <w:sz w:val="16"/>
        </w:rPr>
        <w:t>The business address of Mr. Wen is N4-02c-95, Nanyang Avenue, Singapore 639798.</w:t>
      </w:r>
    </w:p>
    <w:p>
      <w:pPr>
        <w:pStyle w:val="TextBody"/>
        <w:bidi w:val="0"/>
        <w:spacing w:before="0" w:after="160"/>
        <w:ind w:left="0" w:right="0" w:hanging="0"/>
        <w:jc w:val="left"/>
        <w:rPr>
          <w:rFonts w:ascii="Times New Roman;Times;serif" w:hAnsi="Times New Roman;Times;serif"/>
          <w:sz w:val="16"/>
        </w:rPr>
      </w:pPr>
      <w:r>
        <w:rPr>
          <w:rFonts w:ascii="Times New Roman;Times;serif" w:hAnsi="Times New Roman;Times;serif"/>
          <w:b w:val="false"/>
          <w:i w:val="false"/>
          <w:caps w:val="false"/>
          <w:smallCaps w:val="false"/>
          <w:sz w:val="16"/>
        </w:rPr>
        <w:t>(7)</w:t>
      </w:r>
      <w:r>
        <w:rPr>
          <w:rFonts w:ascii="Times New Roman;Times;serif" w:hAnsi="Times New Roman;Times;serif"/>
          <w:sz w:val="16"/>
        </w:rPr>
        <w:t>The business address of Mr. Skaf is Maryah Tower, 18th Floor, Al Maryah Island, Abu Dhabi, United Arab Emirates.</w:t>
      </w:r>
    </w:p>
    <w:p>
      <w:pPr>
        <w:pStyle w:val="TextBody"/>
        <w:bidi w:val="0"/>
        <w:spacing w:before="0" w:after="160"/>
        <w:ind w:left="0" w:right="0" w:hanging="0"/>
        <w:jc w:val="left"/>
        <w:rPr>
          <w:rFonts w:ascii="Times New Roman;Times;serif" w:hAnsi="Times New Roman;Times;serif"/>
          <w:sz w:val="16"/>
        </w:rPr>
      </w:pPr>
      <w:r>
        <w:rPr>
          <w:rFonts w:ascii="Times New Roman;Times;serif" w:hAnsi="Times New Roman;Times;serif"/>
          <w:b w:val="false"/>
          <w:i w:val="false"/>
          <w:caps w:val="false"/>
          <w:smallCaps w:val="false"/>
          <w:sz w:val="16"/>
        </w:rPr>
        <w:t>(8)</w:t>
      </w:r>
      <w:r>
        <w:rPr>
          <w:rFonts w:ascii="Times New Roman;Times;serif" w:hAnsi="Times New Roman;Times;serif"/>
          <w:sz w:val="16"/>
        </w:rPr>
        <w:t xml:space="preserve">The business address of Mr. Collins is Forseven Limited, 1st Floor Northfield House, Broadford Park, Guildford, Surrey, GU4 8EP.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160"/>
              <w:jc w:val="both"/>
              <w:rPr>
                <w:rFonts w:ascii="Times New Roman;Times;serif" w:hAnsi="Times New Roman;Times;serif"/>
                <w:sz w:val="16"/>
              </w:rPr>
            </w:pPr>
            <w:r>
              <w:rPr>
                <w:rFonts w:ascii="Times New Roman;Times;serif" w:hAnsi="Times New Roman;Times;serif"/>
                <w:sz w:val="16"/>
              </w:rPr>
              <w:t>(9)</w:t>
            </w:r>
          </w:p>
        </w:tc>
        <w:tc>
          <w:tcPr>
            <w:tcW w:w="9928" w:type="dxa"/>
            <w:tcBorders/>
            <w:vAlign w:val="center"/>
          </w:tcPr>
          <w:p>
            <w:pPr>
              <w:pStyle w:val="TableContents"/>
              <w:bidi w:val="0"/>
              <w:spacing w:before="0" w:after="160"/>
              <w:jc w:val="both"/>
              <w:rPr>
                <w:rFonts w:ascii="Times New Roman;Times;serif" w:hAnsi="Times New Roman;Times;serif"/>
                <w:sz w:val="16"/>
              </w:rPr>
            </w:pPr>
            <w:r>
              <w:rPr>
                <w:rFonts w:ascii="Times New Roman;Times;serif" w:hAnsi="Times New Roman;Times;serif"/>
                <w:sz w:val="16"/>
              </w:rPr>
              <w:t>Represents (i) 89,013,451 Class C ordinary shares held by Originalwish Limited, a British Virgin Islands company wholly owned by Mr. Bin Li, (ii) 26,454,325 Class C ordinary shares held by mobike Global Ltd., a British Virgin Islands company wholly owned by Mr. Bin Li, and (iii) 16,967,776 Class A ordinary shares and 33,032,224 Class C ordinary shares held by NIO Users Limited, a holding company controlled by NIO Users Trust, which is under the control of Mr. Bin Li, among which ordinary shares 14,967,776 Class A ordinary shares and 33,032,224 Class C ordinary shares were held on record by NIO Users Limited and 2,000,000 Class A ordinary shares were held on record by NIO Users Community Limited, a British Virgin Islands company wholly owned by NIO Users Limited. The registered address of Originalwish Limited and mobike Global Ltd. is Sertus Chambers, P.O. Box 905, Quastisky Building, Road Town, Tortola, British Virgin Islands. The registered address of NIO Users Limited is Maples Corporate Services (BVI) Limited, Kingston Chambers, PO Box 173, Road Town, Tortola, British Virgin Islands.</w:t>
            </w:r>
          </w:p>
        </w:tc>
      </w:tr>
    </w:tbl>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160"/>
              <w:jc w:val="both"/>
              <w:rPr>
                <w:rFonts w:ascii="Times New Roman;Times;serif" w:hAnsi="Times New Roman;Times;serif"/>
                <w:sz w:val="16"/>
              </w:rPr>
            </w:pPr>
            <w:r>
              <w:rPr>
                <w:rFonts w:ascii="Times New Roman;Times;serif" w:hAnsi="Times New Roman;Times;serif"/>
                <w:sz w:val="16"/>
              </w:rPr>
              <w:t>(10)</w:t>
            </w:r>
          </w:p>
        </w:tc>
        <w:tc>
          <w:tcPr>
            <w:tcW w:w="9832" w:type="dxa"/>
            <w:tcBorders/>
            <w:vAlign w:val="center"/>
          </w:tcPr>
          <w:p>
            <w:pPr>
              <w:pStyle w:val="TableContents"/>
              <w:bidi w:val="0"/>
              <w:spacing w:before="0" w:after="160"/>
              <w:jc w:val="both"/>
              <w:rPr>
                <w:rFonts w:ascii="Times New Roman;Times;serif" w:hAnsi="Times New Roman;Times;serif"/>
                <w:sz w:val="16"/>
              </w:rPr>
            </w:pPr>
            <w:r>
              <w:rPr>
                <w:rFonts w:ascii="Times New Roman;Times;serif" w:hAnsi="Times New Roman;Times;serif"/>
                <w:sz w:val="16"/>
              </w:rPr>
              <w:t>Represents 418,833,157 Class A ordinary shares held by CYVN Investments RSC Ltd, according to the statement on Schedule 13D/A filed on February 28, 2024 by CYVN Investments RSC Ltd. CYVN Investments RSC Ltd is a restricted scope company incorporated in the Abu Dhabi Global Market, Abu Dhabi, United Arab Emirates, and is wholly-owned by the Government of Abu Dhabi represented by the Abu Dhabi Department of Finance. The principal business address of CYVN Investments RSC Ltd is Office at Maryah Tower, 18th Floor, Al Maryah Island, Abu Dhabi, United Arab Emirates.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April 7, 2025, to our knowledge, 536,590,738 of our Class A ordinary shares were held by one record holder in the United States, which was Deutsche Bank Trust Company Americas, the depositary of our ADR program. The number of beneficial owners of our ADSs in the United States is likely to be much larger than the number of record holders of our ordinary shares in the United States. We are not aware of any arrangement that may, at a subsequent date, result in a change of control of our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Currently, our ordinary shares consist of Class A ordinary shares and Class C ordinary shares. Holders of Class A ordinary shares are entitled to one vote per share, and holders of Class C ordinary shares are entitled to eight votes per share. We issued Class A ordinary shares represented by our ADSs in our initial public offering in September 2018. Holders of our Class C ordinary shares may choose to convert their respective Class C ordinary shares into the same number of Class A ordinary shares at any time. Class A ordinary shares are not convertible into Class C ordinary shares under any circumstance. See “Item 10. Additional Information—B. Memorandum and Articles of Association” for a more detailed description of our ordinary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F.</w:t>
      </w:r>
      <w:r>
        <w:rPr>
          <w:rFonts w:ascii="Times New Roman;Times;serif" w:hAnsi="Times New Roman;Times;serif"/>
          <w:sz w:val="20"/>
        </w:rPr>
        <w:t>          </w:t>
      </w:r>
      <w:r>
        <w:rPr>
          <w:rFonts w:ascii="Times New Roman;Times;serif" w:hAnsi="Times New Roman;Times;serif"/>
          <w:b/>
          <w:sz w:val="20"/>
        </w:rPr>
        <w:t>Disclosure of Registrant’s Action to Recover Erroneously Awarded Compensation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86" w:name="ITEM7MAJORSHAREHOLDERSANDRELATEDPARTYTRA"/>
      <w:bookmarkStart w:id="87" w:name="_814378f8_6a17_48e9_91db_9d6f8fc30184"/>
      <w:bookmarkEnd w:id="86"/>
      <w:bookmarkEnd w:id="87"/>
      <w:r>
        <w:rPr>
          <w:rFonts w:ascii="Times New Roman;Times;serif" w:hAnsi="Times New Roman;Times;serif"/>
          <w:b/>
          <w:sz w:val="20"/>
        </w:rPr>
        <w:t>ITEM 7.       MAJOR SHAREHOLDERS AND RELATED PARTY TRANSACTIONS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Major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6. Directors, Senior Management and Employees—E. Share Ownership.”</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          Related Party Transactions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Arrangements with The VIEs and Their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4. Information on the Company—C. Organizational Structure.”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Shareholders Agreement and Registration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entered into a shareholders agreement and a right of first refusal and co-sale agreement on November 10, 2017 with our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shareholders agreement and right of first refusal and co-sale agreement (i) provided for certain special rights, including right of first refusal, co-sale rights and preemptive rights and (ii) contained provisions governing board of directors and other corporate governance matters. These special rights and corporate governance provisions automatically terminated upon the closing of the initial public offering of our ADSs on September 12, 2018.</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our shareholders agreement dated November 10, 2017, we have granted certain registration rights to those shareholders who are parties to that agreement. Set forth below is a description of the registration rights granted under the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Demand Registration Rights</w:t>
      </w:r>
      <w:r>
        <w:rPr>
          <w:rFonts w:ascii="Times New Roman;Times;serif" w:hAnsi="Times New Roman;Times;serif"/>
          <w:sz w:val="20"/>
        </w:rPr>
        <w:t>. Holders holding 10% or more of the voting power of the then outstanding registrable securities held by all holders are entitled to request in writing that we effect a registration statement for any or all of the registrable securities of the initiating holders. We have the right to defer filing of a registration statement for a period of not more than 90 days if our board of directors determines in good faith judgment that filing of a registration statement in the near future will be materially detrimental to us or our shareholders, but we cannot exercise the deferral right on any one occasion or more than once during any twelve-month period and cannot register any other securities during such period. We are not obligated to effect more than two demand registrations. Further, if the registrable securities are offered by means of an underwritten offering, and the managing underwriter advises us that marketing factors require a limitation of the number of securities to be underwritten, the underwriters may decide to exclude up to 75% of the registrable securities requested to be registered but only after first excluding all other equity securities from the registration and underwritten offering, provided that the number of shares to be included in the registration on behalf of the non-excluded holders is allocated among all holders in proportion to the respective amounts of registrable securities requested by such holders to be included.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Registration on Form F-3 or Form S-3</w:t>
      </w:r>
      <w:r>
        <w:rPr>
          <w:rFonts w:ascii="Times New Roman;Times;serif" w:hAnsi="Times New Roman;Times;serif"/>
          <w:sz w:val="20"/>
        </w:rPr>
        <w:t>. Any holder is entitled to request us to file a registration statement on Form F-3 or Form S-3 if we qualify for registration on Form F-3 or Form S-3. The holders are entitled to an unlimited number of registrations on Form F-3 or Form S-3 so long as such registration offerings are in excess of US$5.0 million. We have the right to defer filing of a registration statement for a period of not more than 60 days if our board of directors determines in good faith judgment that filing of a registration statement in the near future will be materially detrimental to us or our shareholders, but we cannot exercise the deferral right on any one occasion or more than once during any twelve-month period and cannot register any other securities during such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Piggyback Registration Rights</w:t>
      </w:r>
      <w:r>
        <w:rPr>
          <w:rFonts w:ascii="Times New Roman;Times;serif" w:hAnsi="Times New Roman;Times;serif"/>
          <w:sz w:val="20"/>
        </w:rPr>
        <w:t>. If we propose to register for our own account any of our equity securities, or for the account of any holder, other than current shareholders, of such equity securities, in connection with the public offering, we shall offer holders of our registrable securities an opportunity to be included in such registration. If the underwriters advise in writing that market factors require a limitation of the number of registrable securities to be underwritten, the underwriters may exclude up to 75% of the registrable securities requested to be registered but only after first excluding all other equity securities (except for securities sold for the account of our company) from the registration and underwriting, provided that the number of shares to be included in the registration on behalf of the non-excluded holders is allocated among all holders in proportion to the respective amounts of registrable securities requested by such holders to be included.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Expenses of Registration</w:t>
      </w:r>
      <w:r>
        <w:rPr>
          <w:rFonts w:ascii="Times New Roman;Times;serif" w:hAnsi="Times New Roman;Times;serif"/>
          <w:sz w:val="20"/>
        </w:rPr>
        <w:t>. We will bear all registration expenses, other than the underwriting discounts and selling commissions applicable to the sale of registrable securities, incurred in connection with registrations, filings or qualification pursuant to the shareholders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Termination of Obligations</w:t>
      </w:r>
      <w:r>
        <w:rPr>
          <w:rFonts w:ascii="Times New Roman;Times;serif" w:hAnsi="Times New Roman;Times;serif"/>
          <w:sz w:val="20"/>
        </w:rPr>
        <w:t>. We have no obligation to effect any demand, piggyback, Form F-3 or Form S-3 registration upon the earlier of (i) September 14, 2028 and (ii) with respect to any holder, the date on which such holder may sell without registration, all of such holder’s registrable securities under Rule 144 of the Securities Act in any 90-day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on June 20, 2023, we entered into a registration rights agreement with CYVN Holdings L.L.C. On July 11, 2023, CYVN Holdings L.L.C. assigned all of its rights, interests and obligations under the registration rights agreement to its affiliate, CYVN Investments, which executed a counterpart to the registration rights agreement and agreed to be treated as an investor under the registration rights agreement. Pursuant to the registration rights agreement, subject to certain exceptions, we are obligated to prepare and file with the SEC (i) no later than the 30th day immediately following the six-month anniversary of the closing of the share subscription agreement entered into by us and CYVN Holdings L.L.C., i.e., January 19, 2024, and (ii) at any time thereafter, no later than the 30th day immediately following a written demand by CYVN Investments (in case we do not already have an effective registration statement on Form F-3 on file with the SEC) a registration statement for an offering to be made on a continuous basis pursuant to Rule 415 of the Securities Act, registering the resale from time to time by CYVN Investments of all of the registrable securities, which include all Class A ordinary shares purchased pursuant to the share subscription agreement, and the stock purchase agreement entered into by and among CYVN Holdings L.L.C. and Image Frame Investment (HK) Limited dated June 20, 2023, and any shares purchased by CYVN Investments following the closing of the share subscription agreement, then held by CYVN Investments that are not covered by an effective registration statement. If our board of directors determines in good faith that it would be materially detrimental to our company or our members to effect such a registration, we have the right to defer such registration, not more than once in any 12-month period, for a period of up to 60 days. Additionally, pursuant to the registration rights agreement, in the event that we propose to register any of our equity securities under the Securities Act for our own account or for the account of any holder of our equity securities, CYVN Investments is entitled to certain piggyback registration rights. These registration rights terminate on the date that CYVN Investments owns less than 3% of our Class A ordinary shares outstanding.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6. Directors, Senior Management and Employees—B. Compensation—Employment Agreements and Indemnification Agreements.”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 Option Grants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6. Directors, Senior Management and Employees—B. Compensation—Stock Incentive Plans.”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Transactions with Related Parties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2022, 2023 and 2024, we provided sales of goods to our affiliates, including Wuhan Weineng Battery Assets Co., Ltd. and its subsidiary, Blue Horizon Limited and its subsidiaries, Shanghai Weishang Business Consulting Co., Ltd. and Hefei Chuang Wei Information Consultation Co., Ltd. and we received total sales of goods of RMB3,105.9 million, RMB1,457.9 million and RMB9,918.3 million (US$1,358.8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2022, 2023 and 2024, we provided property management, administrative support, design and research and development services to our affiliates, including Wuhan Weineng Battery Assets Co., Ltd. and its subsidiary, Forseven Limited and its affiliate, Blue Horizon Limited and its subsidiaries, Nanjing Weibang Transmission Technology Co., Ltd., and Beijing Weixu Business Consulting Co., Ltd., and we received total service income of RMB122.7 million, RMB167.2 million and RMB306.5 million (US$42.0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2022, 2023 and 2024, we received marketing and advertising, research and development, and maintenance services from Tianjin Tengyi Information Technology Co., Ltd. (formerly known as Tianjin Boyou Information Technology Co., Ltd.), Kunshan Siwopu Intelligent Equipment Co., Ltd., Xunjie Energy (Wuhan) Co., Ltd., Wuhan Weineng Battery Assets Co., Ltd and its subsidiary, Jianglai Advanced Manufacturing Technology (Anhui) Co., Ltd., Shanghai VTA Technology Co., Ltd., Beijing Welion New Energy Technology Co., Ltd, and Zhejiang Weilai Xinneng Private Equity Management Co., Ltd. (formerly known as Ningbo Meishan Free Trade Port Weilai Xinneng Investment Management Co., Ltd.) and paid a total service fees of RMB145.3 million, RMB250.0 million and RMB153.8 million (US$21.1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2022, 2023 and 2024, we paid a total of RMB1,066.8 million, RMB1,247.5 million and RMB293.8 million (US$40.2 million) for purchase of property and equipment and raw material, to Kunshan Siwopu Intelligent Equipment Co., Ltd., Nanjing Weibang Transmission Technology Co., Ltd., Beijing Welion New Energy Technology Co., Ltd, Xunjie Energy (Wuhan) Co., Ltd., Jianglai Advanced Manufacturing Technology (Anhui) Co., Ltd., Shanghai VTA Technology Co., Ltd., and Wuhan Weineng Battery Assets Co., Ltd. and its subsidiary.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2022, 2023 and 2024, we received a total of RMB1.0 million, RMB5.6 million and RMB51.5 million (US$7.1 million) for sale of raw material, property and equipment from Wuhan Weineng Battery Assets Co., Ltd and its subsidiary, Shanghai VTA Technology Co., Ltd., Blue Horizon Limited and its subsidiaries, and Kunshan Siwopu Intelligent Equipment Co., Ltd.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February 2024, we entered into a technology license agreement with Forseven Limited, a subsidiary of CYVN Holdings L.L.C. Pursuant to the agreement, we granted a non-exclusive and non-transferrable worldwide license to Forseven to use certain of our existing and future technical information, technical solutions, software and intellectual property rights related to or subsisting in our smart electric vehicle platforms. In 2024, we received total technology license fees of RMB59.4 million, comprising a non-refundable, fixed upfront license fee plus royalties determined based on the sales of licensed products by Forseven.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          Interests of Experts and Counsel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88" w:name="ITEM8FINANCIALINFORMATION_102005"/>
      <w:bookmarkStart w:id="89" w:name="_2d2c2d7d_4458_46c4_9e21_f877b629b9a6"/>
      <w:bookmarkEnd w:id="88"/>
      <w:bookmarkEnd w:id="89"/>
      <w:r>
        <w:rPr>
          <w:rFonts w:ascii="Times New Roman;Times;serif" w:hAnsi="Times New Roman;Times;serif"/>
          <w:b/>
          <w:sz w:val="20"/>
        </w:rPr>
        <w:t>ITEM 8.       FINANCIAL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Consolidated Statements and Other Financial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appended consolidated financial statements filed as part of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From time to time, we may be involved in legal proceedings in the ordinary course of our business. Between March and July 2019, several securities class action lawsuits were filed against us, certain of our directors and officers, our underwriters in the IPO and our process agent. Some of these actions have been withdrawn, transferred, consolidated or dismissed. One action commenced during the aforementioned time period remains pending, under the caption </w:t>
      </w:r>
      <w:r>
        <w:rPr>
          <w:rFonts w:ascii="Times New Roman;Times;serif" w:hAnsi="Times New Roman;Times;serif"/>
          <w:i/>
          <w:sz w:val="20"/>
        </w:rPr>
        <w:t>In re NIO, Inc. Securities Litigation</w:t>
      </w:r>
      <w:r>
        <w:rPr>
          <w:rFonts w:ascii="Times New Roman;Times;serif" w:hAnsi="Times New Roman;Times;serif"/>
          <w:sz w:val="20"/>
        </w:rPr>
        <w:t>, 1:19-cv-01424, in the U.S. District Court for the Eastern District of New York (E.D.N.Y.). The plaintiffs in this case allege, in sum and substance, that our statements in the registration statement and/or other public statements were false or misleading and in violation of the U.S. federal securities laws. The Court denied our motion to dismiss in August 2021, and granted plaintiffs’ motion for class certification in August 2023. The plaintiffs served their motion for partial summary judgment on us on September 30, 2024. On January 30, 2025, we served on the plaintiffs our opposition to their motion as well as our cross-motion for summary judgment. Summary judgment briefing is ongoing. Discovery is ongoing.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Separately, between August and September 2022, two complaints were filed against us, our CEO and our CFO in the federal district court for the Southern District of New York (S.D.N.Y.), in the actions captioned </w:t>
      </w:r>
      <w:r>
        <w:rPr>
          <w:rFonts w:ascii="Times New Roman;Times;serif" w:hAnsi="Times New Roman;Times;serif"/>
          <w:i/>
          <w:sz w:val="20"/>
        </w:rPr>
        <w:t>Saye v. NIO Inc. et al.</w:t>
      </w:r>
      <w:r>
        <w:rPr>
          <w:rFonts w:ascii="Times New Roman;Times;serif" w:hAnsi="Times New Roman;Times;serif"/>
          <w:sz w:val="20"/>
        </w:rPr>
        <w:t xml:space="preserve">, Case No. 1:22-cv-07252 (S.D.N.Y.) and </w:t>
      </w:r>
      <w:r>
        <w:rPr>
          <w:rFonts w:ascii="Times New Roman;Times;serif" w:hAnsi="Times New Roman;Times;serif"/>
          <w:i/>
          <w:sz w:val="20"/>
        </w:rPr>
        <w:t>Bohonok v. NIO Inc. et al.</w:t>
      </w:r>
      <w:r>
        <w:rPr>
          <w:rFonts w:ascii="Times New Roman;Times;serif" w:hAnsi="Times New Roman;Times;serif"/>
          <w:sz w:val="20"/>
        </w:rPr>
        <w:t>, Case No. 1:22-cv-07666 (S.D.N.Y.). Relying on a short seller report (see “Item 3. Key Information—D. Risk Factors—Risks Related to Our ADSs and Class A Ordinary Shares – Techniques employed by short sellers may drive down the market price of our ADSs”), these complaints allege that certain of our public disclosures between August 2020 and July 2022 contained false statements or omissions in violation of the Exchange Act. On December 14, 2022, the court consolidated the two actions and appointed a lead plaintiff. Briefing on our motion to dismiss was completed on July 31, 2023. The Court’s decision on the motion to dismiss is pending.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those of the abovementioned class actions that remain pending, we are currently unable to estimate the potential loss, if any, associated with the resolution of such lawsuits. We are defending the actions vigorously. See “Item 3. Key Information—D. Risk Factors—Risks Related to our Business and Industry—We and certain of our directors and officers have been named as defendants in shareholder class action lawsuits, which could have a material adverse impact on our business, financial condition, cash flows and reputation” for further details.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Dividend Policy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payment of dividends is at the discretion of our board of directors, subject to our thirteenth amended and restated memorandum and articles of association.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the share premium account, and provided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do not have any present plan to pay any cash dividends on our ordinary shares in the foreseeable future. We currently intend to retain most, if not all, of our available funds and any future earnings to operate and expand our business.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holding company incorporated in the Cayman Islands. We may rely on dividends paid by our subsidiaries in China for our cash requirements, including any payment of dividends to our shareholders. PRC regulations may restrict the ability of our PRC subsidiaries to pay dividends to us. See “Item 3. Key Information—D. Risk Factors—Risks Related to Doing Business in China—We may rely on distributions by our PRC subsidiaries for our financing requirements, and any limitation on our PRC subsidiaries to make payments to us could have a material and adverse effect on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pay any dividends on our ordinary shares, we will pay those dividends which are payable in respect of Class A ordinary shares underlying our ADSs to the depositary, as the registered holder of such Class A ordinary shares, and the depositary then will pay such amounts to our ADS holders in proportion to the ordinary shares underlying the ADSs held by such ADS holders, subject to the terms of the deposit agreements, including the fees and expenses payable thereunder. Cash dividends on our ordinary shares, if any, will be paid in U.S. dollars.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          Significant Changes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90" w:name="ITEM9THEOFFERANDLISTING_319192"/>
      <w:bookmarkStart w:id="91" w:name="_544b7cdb_3ca4_42d0_b1a1_d1011baceaa5"/>
      <w:bookmarkEnd w:id="90"/>
      <w:bookmarkEnd w:id="91"/>
      <w:r>
        <w:rPr>
          <w:rFonts w:ascii="Times New Roman;Times;serif" w:hAnsi="Times New Roman;Times;serif"/>
          <w:b/>
          <w:sz w:val="20"/>
        </w:rPr>
        <w:t>ITEM 9.       THE OFFER AND LISTING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Offering and Listing Details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ADSs, each representing one Class A ordinary share, have been listed on the NYSE since September 12, 2018 under the symbol “NIO.”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Class A ordinary shares have been listed on the Hong Kong Stock Exchange, by way of introduction, since March 10, 2022 under the stock code “9866.”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Class A ordinary shares have been listed on the Singapore Exchange, by way of introduction, since May 20, 2022 under the stock code “NIO.”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Currently, our ordinary shares consist of Class A ordinary shares and Class C ordinary shares. Holders of Class A ordinary shares are entitled to one vote per share, and holders of Class C ordinary shares are entitled to eight votes per share. See “Item 3. Key Information—D. Risk Factors—Risks Related to Our ADSs and Class A Ordinary Shares—Our dual-class voting structure will limit the holders of our Class A ordinary shares and ADSs to influence corporate matters, provide certain shareholders of ours with substantial influence and could discourage others from pursuing any change of control transactions that holders of our Class A ordinary shares and ADSs may view as beneficial.”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           Plan of Distribution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           Markets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ADSs, each representing one Class A ordinary share, have been listed on the NYSE since September 12, 2018 under the symbol “NIO.”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Class A ordinary shares have been listed on the Hong Kong Stock Exchange, by way of introduction, since March 10, 2022 under the stock code “9866.”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Class A ordinary shares have been listed on the Singapore Exchange, by way of introduction, since May 20, 2022 under the stock code “NIO.”</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          Selling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          Dilution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          Expenses of the Issue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2" w:name="ITEM10ADDITIONALINFORMATION_708540"/>
      <w:bookmarkStart w:id="93" w:name="_a5f06b23_518c_407c_a5ae_a08ded545bd2"/>
      <w:bookmarkEnd w:id="92"/>
      <w:bookmarkEnd w:id="93"/>
      <w:r>
        <w:rPr>
          <w:rFonts w:ascii="Times New Roman;Times;serif" w:hAnsi="Times New Roman;Times;serif"/>
          <w:b/>
          <w:sz w:val="20"/>
        </w:rPr>
        <w:t>ITEM 10.       ADDITIONAL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Share Capital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          Memorandum and Articles of Association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an exempted company incorporated under the laws of the Cayman Islands and our affairs are governed by our current thirteenth amended and restated memorandum and articles of association, the Companies Act, and the common law of the Cayman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are summaries of material provisions of our thirteenth amended and restated memorandum and articles of association which took effect in August 2022, insofar as they relate to the material terms of our ordinary shares.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Objects of Our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our thirteenth amended and restated memorandum and articles of association, the objects of our company are unrestricted and we have the full power and authority to carry out any object not prohibited by the law of the Cayman Islands.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authorized share capital is US$1,000,000 divided into 4,000,000,000 shares comprising of (i) 2,632,030,222 Class A ordinary shares of a par value of US$0.00025 each, (ii) 148,500,000 Class C ordinary shares of a par value of US$0.00025 each and (iii) 1,219,469,778 shares of a par value of US$0.00025 each of such class or classes (however designated) as our board of directors may determine in accordance with our thirteenth amended and restated memorandum and articles of association. All of our issued and outstanding ordinary shares are fully paid and non-assessable. Our ordinary shares are issued in registered form, and are issued when registered in our register of members. Our shareholders who are non-residents of the Cayman Islands may freely hold and vote their ordinary shares. Under our thirteenth amended and restated memorandum and articles of association, our company may not issue bearer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Class of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Holders of Class A ordinary shares and Class C ordinary shares shall at all times vote together as one class on all resolutions submitted to a vote by the holders of ordinary shares. Each Class A ordinary share shall entitle the holder thereof to one (1) vote on all matters subject to vote at general meetings of our company, and each Class C ordinary share shall entitle the holder thereof to eight (8) votes on all matters subject to vote at general meetings of our company. During the Relevant Period, our company shall have only one class of shares that each of such share entitles the holder thereof to more than one (1) vote on all matters subject to vote at general meetings of our company, which is Class C ordinary shares.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Conversion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Each Class C ordinary share is convertible into one (1) Class A ordinary share at any time at the option of the holder thereof. In no event shall Class A ordinary shares be convertible into Class C ordinary shares.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Upon any sale, transfer, assignment or disposition of any Class C ordinary share by a shareholder to any person who is not an existing shareholder of Class C ordinary shares and any affiliate of such shareholder or NIO Users Trust, or upon a change of ultimate beneficial ownership of any Class C ordinary share to any person who is not an existing shareholder of Class C ordinary shares and any affiliate of such shareholder or NIO Users Trust, each such Class C ordinary share shall be automatically and immediately converted into one (1) Class A ordinary share.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Dividends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holders of our ordinary shares are entitled to such dividends as may be declared by our board of directors, subject to our thirteenth amended and restated memorandum articles of association. In addition, our shareholders may by ordinary resolution declare a dividend, but no dividend may exceed the amount recommended by our directors. In either case, under the laws of the Cayman Islands, our company may pay a dividend out of either profits or share premium account, provided that in no circumstances may a dividend be paid if this would result in our company being unable to pay its debts as they fall due in the ordinary course of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Voting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Voting at any shareholders’ meeting is by show of hands unless a poll is demanded. Each Class A ordinary share shall entitle the holder thereof to one (1) vote on all matters subject to vote at general meetings of our company, and each Class C ordinary share shall entitle the holder thereof to eight (8) votes on all matters subject to vote at general meetings of our company. A poll may be demanded by the chairman of such meeting or any one or more shareholders present in person or by proxy at the meeting. However, during the Relevant Period, each Class A ordinary share and each Class C ordinary share shall entitle its holder to one vote on a poll at a general meeting in respect of a resolution on any of the following matters: (i) any amendment of our memorandum or articles of association, including the variation of the rights attached to any class of shares; (ii) the appointment, election or removal of any independent non-executive director; (iii) the appointment or removal of the auditors; or (iv) the voluntary liquidation or winding-up of our company.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 ordinary resolution to be passed at a meeting by the shareholders requires the affirmative vote of a simple majority of the votes attaching to the ordinary shares cast at a meeting, while a special resolution requires the affirmative vote of no less than three-fourths of the votes cast attaching to the outstanding ordinary shares at a meeting. A special resolution will be required for important matters such as a change of name or making changes to our thirteenth amended and restated memorandum and articles of association. Holders of our ordinary shares may effect certain changes by ordinary resolution, including increasing the amount of our authorized share capital, consolidating all or any of our share capital into shares of larger amount than our existing shares, sub-dividing our shares or any of them into shares of an amount smaller than that fixed by our thirteenth amended and restated memorandum and articles of association, and cancelling any unissued shares. Both ordinary resolution and special resolution may also be passed by a unanimous written resolution signed by all the shareholders of our company, as permitted by the Companies Act and our thirteenth amended and restated memorandum and articles of association.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Appointment and Removal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may, by the affirmative vote of a simple majority of the directors present and voting at a board meeting, (i) appoint any person as a director, to fill a casual vacancy on the board or, (ii) subject to the maximum size of the board of directors being nine (9) directors, appoint any person as an addition to the existing board. Directors may be removed by ordinary resolution of our shareholders. Subject to the code, rules and regulations applicable to us as a result of our listing in the United States applicable to the composition of the board and qualifications and appointment of directors, (i) NIO Users Trust shall be entitled to nominate one (1) director to the board; and (ii) in the event that Mr. Bin Li is not an incumbent director and the board is composed of no less than six (6) directors, NIO Users Trust shall be entitled to nominate one (1) extra director to the Board. Such director nomination right of NIO Users Trust was ceased to be effective at the First AGM, and shall only be restored when our company is no longer listed on the Hong Kong Stock Exchange. In addition, for so long as CYVN Investments and its affiliates beneficially own no less than 15% of our total issued and outstanding share capital, CYVN Investments is entitled to nominate two directors; if the beneficial ownership of CYVN Investments and its affiliates decreases to less than 15% but remains above 5%, CYVN Investments retains the right to nominate one director. The foregoing director nomination rights of CYVN Investments are subject to compliance with the Company’s articles and requirements of relevant stock exchanges.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Meetings of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Cayman Islands exempted company, we are not obliged by the Companies Act to call shareholders’ annual general meetings. However, our thirteenth amended and restated memorandum and articles of association provide that we shall in each financial year hold a general meeting as our annual general meeting in addition to any other meeting in that year and shall specify the meeting as such in the notice calling it, and the annual general meeting shall be held at such time and place as may be determined by our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Shareholders’ general meetings may be convened by the chairman of the board of directors or a majority of our board of directors. Advance notice of at least twenty - one calendar days is required for the convening of our annual general shareholders’ meeting and advance notice of at least fourteen calendar days is required for any other general meeting of our shareholders. A quorum required for any general meeting of shareholders consists of at least one shareholder present or by proxy, representing not less than one-third of all votes attaching to all of our shares in issue and entitled to vote.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thirteenth amended and restated memorandum and articles of association provide that upon the requisition of shareholders representing in aggregate not less than one-tenth of all votes (on a one vote per share basis) attaching to the outstanding shares of our company entitled to vote at general meetings, our board will convene an extraordinary general meeting and put the resolutions so requisitioned to a vote at such meeting, and such shareholders may add resolutions to the meeting agenda.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Transfer of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the restrictions in our thirteenth amended and restated memorandum and articles of association set out below, any of our shareholders may transfer all or any of his or her ordinary shares by an instrument of transfer in writing and in the usual or common form or any other form approved by our 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ordinary shares;</w:t>
            </w:r>
          </w:p>
        </w:tc>
      </w:tr>
    </w:tbl>
    <w:tbl>
      <w:tblPr>
        <w:tblW w:w="5181" w:type="dxa"/>
        <w:jc w:val="left"/>
        <w:tblInd w:w="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ordinary share is to be transferred does not exceed four;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such maximum sum as the New York Stock Exchange or the Hong Kong Stock Exchange may determine to be payable or such lesser sum as our directors may from time to time require is paid to us in respect thereof.</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our directors refuse to register a transfer they shall, within three months after the date on which the instrument of transfer was lodged, send to each of the transferor and the transferee notice of such refusal.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registration of transfers may, after compliance with any notice required of the New York Stock Exchange or the Hong Kong Stock Exchange, be suspended and the register closed at such times and for such periods as our board of directors may from time to time determine; provided, however, that the registration of transfers shall not be suspended nor the register closed for more than 30 days in any year as our board of directors may determine.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the winding-up of our company, if the assets available for distribution among our shareholders shall be more than sufficient to repay the whole of the share capital at the commencement of the winding-up, the surplus shall be distributed amongst our shareholders in proportion to the par value of the shares held by them at the commencement of the winding-up,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Calls on Shares and Forfeiture of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Redemption, Repurchase and Surrender of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issue shares on terms that such shares are subject to redemption, at our option or at the option of the holders of these shares, on such terms and in such manner as may be determined by our board of directors or by special resolution of our shareholders.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Variations of Rights of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at any time, our share capital is divided into different classes of shares, the rights attached to any class of shares (unless otherwise provided by the terms of issue of the shares of that class), may only be varied with the consent in writing of holders of three-fourths of the issued shares of that class or with the sanction of a special resolution passed at a separate meeting of the holders of the shares of that class by holders of three-fourths of the issued shares of that class present in person or by proxy and voting at such meeting. The rights conferred upon the holders of the shares of any class issued shall not, subject to any rights or restrictions for the time being attached to the shares of that class, be deemed to be varied by, inter alia, the creation, allotment or issue of further shares ranking pari passu with such existing class of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Issuance of Additional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thirteenth amended and restated memorandum of association authorizes our board of directors to issue additional ordinary shares from time to time as our board of directors shall determine, to the extent of available authorized but unissued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thirteenth amended and restated memorandum of association also authorizes our board of directors, at any time after the Relevant Period, to establish from time to time one or more series of preference shares and to determine, with respect to any series of preference shares, the terms and rights of that series, including:</w:t>
      </w:r>
    </w:p>
    <w:tbl>
      <w:tblPr>
        <w:tblW w:w="2856" w:type="dxa"/>
        <w:jc w:val="left"/>
        <w:tblInd w:w="0" w:type="dxa"/>
        <w:tblLayout w:type="fixed"/>
        <w:tblCellMar>
          <w:top w:w="28" w:type="dxa"/>
          <w:left w:w="28" w:type="dxa"/>
          <w:bottom w:w="28" w:type="dxa"/>
          <w:right w:w="28" w:type="dxa"/>
        </w:tblCellMar>
      </w:tblPr>
      <w:tblGrid>
        <w:gridCol w:w="124"/>
        <w:gridCol w:w="256"/>
        <w:gridCol w:w="2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the series;</w:t>
            </w:r>
          </w:p>
        </w:tc>
      </w:tr>
    </w:tbl>
    <w:tbl>
      <w:tblPr>
        <w:tblW w:w="3261" w:type="dxa"/>
        <w:jc w:val="left"/>
        <w:tblInd w:w="0" w:type="dxa"/>
        <w:tblLayout w:type="fixed"/>
        <w:tblCellMar>
          <w:top w:w="28" w:type="dxa"/>
          <w:left w:w="28" w:type="dxa"/>
          <w:bottom w:w="28" w:type="dxa"/>
          <w:right w:w="28" w:type="dxa"/>
        </w:tblCellMar>
      </w:tblPr>
      <w:tblGrid>
        <w:gridCol w:w="124"/>
        <w:gridCol w:w="256"/>
        <w:gridCol w:w="2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series;</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rights, dividend rates, conversion rights and voting rights; and</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terms of redemption and liquidation preferences.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any time after the Relevant Period, our board of directors may issue preference shares without action by our shareholders to the extent authorized but unissued. Issuance of these shares may dilute the voting power of holders of ordinary shares.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Inspection of Books and Records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Holders of our ordinary shares will have no general right under Cayman Islands law to inspect or obtain copies of our list of shareholders or our corporate records (except for our thirteenth amended and restated memorandum and articles of association and our register of mortgages and charges) except as conferred by law or authorized by the directors or by ordinary resolution.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as a company that is subject to the periodic reporting and other informational requirements of the Exchange Act, we file annual reports with the SEC that include annual audited financial statements. See “Item 10. Additional Information—H. Documents on Display.”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Capital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shareholders may from time to time by ordinary resolution: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share capital by such sum, to be divided into shares of such classes and amount, as the resolution shall prescribe;</w:t>
            </w:r>
          </w:p>
        </w:tc>
      </w:tr>
    </w:tbl>
    <w:tbl>
      <w:tblPr>
        <w:tblW w:w="9246" w:type="dxa"/>
        <w:jc w:val="left"/>
        <w:tblInd w:w="0" w:type="dxa"/>
        <w:tblLayout w:type="fixed"/>
        <w:tblCellMar>
          <w:top w:w="28" w:type="dxa"/>
          <w:left w:w="28" w:type="dxa"/>
          <w:bottom w:w="28" w:type="dxa"/>
          <w:right w:w="28" w:type="dxa"/>
        </w:tblCellMar>
      </w:tblPr>
      <w:tblGrid>
        <w:gridCol w:w="124"/>
        <w:gridCol w:w="256"/>
        <w:gridCol w:w="8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our share capital into shares of a larger amount than our existing shares;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any shares that, at the date of the passing of the resolution, have not been taken or agreed to be taken by any person and diminish the amount of our share capital by the amount of the shares so cancelled.</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shareholders may, by special resolution and subject to confirmation by the Grand Court of the Cayman Islands on an application by our company for an order confirming such reduction, reduce our share capital and any capital redemption reserve in any manner authorized by law.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Anti-Takeover Provisions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Some provisions of our thirteenth amended and restated memorandum and articles of association may discourage, delay or prevent a change of control of our company or management that shareholders may consider favorable, including provisions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the Relevant Period, authorize our board of directors to issue preference shares in one or more series and to designate the price, rights, preferences, privileges and restrictions of such preference shares without any further vote or action by our shareholders;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the Relevant Period, limit the ability of shareholders to requisition and convene general meetings of shareholders.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under Cayman Islands law, our directors may only exercise the rights and powers granted to them under our thirteenth amended and restated memorandum and articles of association for a proper purpose and for what they believe in good faith to be in the best interests of our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Exempted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an exempted company with limited liability under the Companies Act. The Companies Act distinguishes between ordinary resident companies, ordinary non-resident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resident/non-resident company except that an exempted company:</w:t>
      </w:r>
    </w:p>
    <w:tbl>
      <w:tblPr>
        <w:tblW w:w="10191" w:type="dxa"/>
        <w:jc w:val="left"/>
        <w:tblInd w:w="0" w:type="dxa"/>
        <w:tblLayout w:type="fixed"/>
        <w:tblCellMar>
          <w:top w:w="28" w:type="dxa"/>
          <w:left w:w="28" w:type="dxa"/>
          <w:bottom w:w="28" w:type="dxa"/>
          <w:right w:w="28" w:type="dxa"/>
        </w:tblCellMar>
      </w:tblPr>
      <w:tblGrid>
        <w:gridCol w:w="124"/>
        <w:gridCol w:w="256"/>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file an annual return detailing its shareholders with the Registrar of Companies of the Cayman Islands;</w:t>
            </w:r>
          </w:p>
        </w:tc>
      </w:tr>
    </w:tbl>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required to open its register of members for inspection;</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 (such undertakings are usually given for 30 years in the first instance);</w:t>
            </w:r>
          </w:p>
        </w:tc>
      </w:tr>
    </w:tbl>
    <w:tbl>
      <w:tblPr>
        <w:tblW w:w="8841" w:type="dxa"/>
        <w:jc w:val="left"/>
        <w:tblInd w:w="0" w:type="dxa"/>
        <w:tblLayout w:type="fixed"/>
        <w:tblCellMar>
          <w:top w:w="28" w:type="dxa"/>
          <w:left w:w="28" w:type="dxa"/>
          <w:bottom w:w="28" w:type="dxa"/>
          <w:right w:w="28" w:type="dxa"/>
        </w:tblCellMar>
      </w:tblPr>
      <w:tblGrid>
        <w:gridCol w:w="124"/>
        <w:gridCol w:w="25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limited duration company; and</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tc>
      </w:tr>
    </w:tbl>
    <w:p>
      <w:pPr>
        <w:pStyle w:val="TextBody"/>
        <w:bidi w:val="0"/>
        <w:spacing w:before="0" w:after="240"/>
        <w:ind w:left="0" w:right="0" w:firstLine="720"/>
        <w:jc w:val="both"/>
        <w:rPr/>
      </w:pPr>
      <w:r>
        <w:rPr/>
        <w:t>“</w:t>
      </w:r>
      <w:r>
        <w:rPr>
          <w:rFonts w:ascii="Times New Roman;Times;serif" w:hAnsi="Times New Roman;Times;serif"/>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ind w:left="0" w:right="0" w:hanging="0"/>
        <w:jc w:val="both"/>
        <w:rPr>
          <w:rFonts w:ascii="Times New Roman;Times;serif" w:hAnsi="Times New Roman;Times;serif"/>
          <w:b/>
          <w:sz w:val="20"/>
        </w:rPr>
      </w:pPr>
      <w:r>
        <w:rPr>
          <w:rFonts w:ascii="Times New Roman;Times;serif" w:hAnsi="Times New Roman;Times;serif"/>
          <w:b/>
          <w:sz w:val="20"/>
        </w:rPr>
        <w:t xml:space="preserve">Differences in Corporate Law </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Companies Act (As Revised) is derived, to a large extent, from the older Companies Acts of England but does not follow recent United Kingdom statutory enactments, and accordingly there are significant differences between the Companies Act (As Revised) and the current Companies Act of England.</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In addition, the Companies Act (As Revised) differs from laws applicable to United States corporations and their shareholders. Set forth below is a summary of certain significant differences between the provisions of the Companies Act (As Revised) applicable to us and the laws applicable to United States corporations and companies incorporated in the State of Delaware.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Mergers and Similar Arrangements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Companies Act (As Revised)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consolidated company and the vesting of the undertaking, property and liabilities of such companies in the consolidated company.</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In order to effect such a merger or consolidation, the directors of each constituent company must approve a written plan of merger or consolidation, which must then be authorized by (1) a special resolution of the shareholders of each constituent company, and (2)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consent of each holder of a fixed or floating security interest over a constituent company is required unless this requirement is waived by a court in the Cayman Islands.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Separate from the statutory provisions relating to mergers and consolidations, the Companies Act (As Revised) also contains statutory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tbl>
      <w:tblPr>
        <w:tblW w:w="6306" w:type="dxa"/>
        <w:jc w:val="left"/>
        <w:tblInd w:w="0" w:type="dxa"/>
        <w:tblLayout w:type="fixed"/>
        <w:tblCellMar>
          <w:top w:w="28" w:type="dxa"/>
          <w:left w:w="28" w:type="dxa"/>
          <w:bottom w:w="28" w:type="dxa"/>
          <w:right w:w="28" w:type="dxa"/>
        </w:tblCellMar>
      </w:tblPr>
      <w:tblGrid>
        <w:gridCol w:w="124"/>
        <w:gridCol w:w="256"/>
        <w:gridCol w:w="5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provisions as to the required majority vote have been met;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have been fairly represented at the meeting in question and the statutory majority are acting bona fide without coercion of the minority to promote interests adverse to those of the class;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such that may be reasonably approved by an intelligent and honest man of that class acting in respect of his interest; and</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not one that would more properly be sanctioned under some other provision of the Companies Act.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Companies Act (As Revised)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If an arrangement and reconstruction by way of scheme of arrangement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Shareholders’ Suits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our company to challenge actions where:</w:t>
      </w:r>
    </w:p>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acts or proposes to act illegally or ultra vires;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complained of, although not ultra vires, could only be effected duly if authorized by more than a simple majority vote that has not been obtained; and</w:t>
            </w:r>
          </w:p>
        </w:tc>
      </w:tr>
    </w:tbl>
    <w:tbl>
      <w:tblPr>
        <w:tblW w:w="10041" w:type="dxa"/>
        <w:jc w:val="left"/>
        <w:tblInd w:w="0" w:type="dxa"/>
        <w:tblLayout w:type="fixed"/>
        <w:tblCellMar>
          <w:top w:w="28" w:type="dxa"/>
          <w:left w:w="28" w:type="dxa"/>
          <w:bottom w:w="28" w:type="dxa"/>
          <w:right w:w="28" w:type="dxa"/>
        </w:tblCellMar>
      </w:tblPr>
      <w:tblGrid>
        <w:gridCol w:w="124"/>
        <w:gridCol w:w="256"/>
        <w:gridCol w:w="9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act which constitutes a fraud against the minority where the wrongdoers are themselves in control of the company. </w:t>
            </w:r>
          </w:p>
        </w:tc>
      </w:tr>
    </w:tbl>
    <w:p>
      <w:pPr>
        <w:pStyle w:val="TextBody"/>
        <w:bidi w:val="0"/>
        <w:spacing w:before="200" w:after="283"/>
        <w:ind w:left="0" w:right="0" w:hanging="0"/>
        <w:jc w:val="both"/>
        <w:rPr>
          <w:rFonts w:ascii="Times New Roman;Times;serif" w:hAnsi="Times New Roman;Times;serif"/>
          <w:b/>
          <w:i/>
          <w:sz w:val="20"/>
        </w:rPr>
      </w:pPr>
      <w:r>
        <w:rPr>
          <w:rFonts w:ascii="Times New Roman;Times;serif" w:hAnsi="Times New Roman;Times;serif"/>
          <w:b/>
          <w:i/>
          <w:sz w:val="20"/>
        </w:rPr>
        <w:t>Indemnification of Directors and Executive Officers and Limitation of Liability</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Companies Act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thirteenth amended and restated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In addition, we have entered into indemnification agreements with our directors and executive officers that provide such persons with additional indemnification beyond that provided in our thirteenth amended and restated memorandum and articles of association.</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Directors’ Fiduciary Duties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duty of loyalty requires that a director acts in a manner he or she reasonably believes to be in the best interests of the corporation. He or she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As a matter of Cayman Islands law, a director of a Cayman Islands company is in the position of a fiduciary with respect to the company and therefore it is considered that he or she owes the following duties to the company:</w:t>
      </w:r>
    </w:p>
    <w:tbl>
      <w:tblPr>
        <w:tblW w:w="5586" w:type="dxa"/>
        <w:jc w:val="left"/>
        <w:tblInd w:w="0" w:type="dxa"/>
        <w:tblLayout w:type="fixed"/>
        <w:tblCellMar>
          <w:top w:w="28" w:type="dxa"/>
          <w:left w:w="28" w:type="dxa"/>
          <w:bottom w:w="28" w:type="dxa"/>
          <w:right w:w="28" w:type="dxa"/>
        </w:tblCellMar>
      </w:tblPr>
      <w:tblGrid>
        <w:gridCol w:w="124"/>
        <w:gridCol w:w="256"/>
        <w:gridCol w:w="5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duty to act in good faith in the best interests of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duty not to make a personal profit based on his or her position as director (unless the company permits him or her to do so),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duty not to put himself or herself in a position where the interests of the company conflict with his or her personal interest or his or her duty to a third party, and</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duty to exercise powers for the purpose for which such powers were intended.</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A director of a Cayman Islands company owes to the company a duty of care, diligence and skill.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Shareholder Action by Written Consent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corporation may eliminate the right of shareholders to act by written consent by amendment to its certificate of incorporation. Cayman Islands law and our currently effective memorandum and articles of association provide that our shareholders may approve corporate matters by way of a unanimous written resolution signed by or on behalf of all shareholders who would have been entitled to vote on such matter at a general meeting without a meeting being held.</w:t>
      </w:r>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Shareholder Proposals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Companies Act (As Revised) does not provide shareholders with an express right to put forth any proposal before a general meeting of the shareholders. However, the Companies Act (As Revised) may provide shareholders with limited rights to requisition a general meeting but such rights must be stipulated in the articles of association of the company.</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Any one or more shareholders holding not less than one-tenth of the voting rights on a one vote per share basis, in the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Cumulative Voting</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cumulative voting for election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There are no prohibitions relating to cumulative voting under the laws of the Cayman Islands, but our thirteenth amended and restated memorandum and articles of association do not provide for cumulative voting. As a result, our shareholders are not afforded any less protections or rights on this issue than shareholders of a Delaware corporation.</w:t>
      </w:r>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Removal of Directors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Under the Delaware General Corporation Law, a director of a corporation with a classified board may be removed only for cause with the approval of a majority of the outstanding shares entitled to vote, unless the certificate of incorporation provides otherwise. </w:t>
      </w:r>
    </w:p>
    <w:p>
      <w:pPr>
        <w:pStyle w:val="TextBody"/>
        <w:bidi w:val="0"/>
        <w:spacing w:before="240" w:after="240"/>
        <w:ind w:left="0" w:right="0" w:firstLine="720"/>
        <w:jc w:val="both"/>
        <w:rPr>
          <w:rFonts w:ascii="Times New Roman;Times;serif" w:hAnsi="Times New Roman;Times;serif"/>
          <w:sz w:val="20"/>
        </w:rPr>
      </w:pPr>
      <w:bookmarkStart w:id="94" w:name="OLE_LINK105"/>
      <w:bookmarkEnd w:id="94"/>
      <w:r>
        <w:rPr>
          <w:rFonts w:ascii="Times New Roman;Times;serif" w:hAnsi="Times New Roman;Times;serif"/>
          <w:sz w:val="20"/>
        </w:rPr>
        <w:t>Under our thirteenth amended and restated memorandum and articles of association, directors may be removed with or without cause, by an ordinary resolution of our shareholders. A director will also cease to be a director if he or she (i) becomes bankrupt or makes any arrangement or composition with his or her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thirteenth amended and restated articles of association.</w:t>
      </w:r>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Transactions with Interested Shareholders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This statute has the effect of limiting the ability of a potential acquirer to make a two-tiered bid for the target in which all shareholders would not be treated equally. The statute does not apply if,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Restructuring</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A company may present a petition to the Grand Court of the Cayman Islands for the appointment of a restructuring officer on the grounds that the company:</w:t>
      </w:r>
    </w:p>
    <w:tbl>
      <w:tblPr>
        <w:tblW w:w="4806" w:type="dxa"/>
        <w:jc w:val="left"/>
        <w:tblInd w:w="0" w:type="dxa"/>
        <w:tblLayout w:type="fixed"/>
        <w:tblCellMar>
          <w:top w:w="28" w:type="dxa"/>
          <w:left w:w="28" w:type="dxa"/>
          <w:bottom w:w="28" w:type="dxa"/>
          <w:right w:w="28" w:type="dxa"/>
        </w:tblCellMar>
      </w:tblPr>
      <w:tblGrid>
        <w:gridCol w:w="124"/>
        <w:gridCol w:w="31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or is likely to become unable to pay its debts; and</w:t>
            </w:r>
          </w:p>
        </w:tc>
      </w:tr>
    </w:tbl>
    <w:tbl>
      <w:tblPr>
        <w:tblW w:w="10205" w:type="dxa"/>
        <w:jc w:val="left"/>
        <w:tblInd w:w="0" w:type="dxa"/>
        <w:tblLayout w:type="fixed"/>
        <w:tblCellMar>
          <w:top w:w="28" w:type="dxa"/>
          <w:left w:w="28" w:type="dxa"/>
          <w:bottom w:w="28" w:type="dxa"/>
          <w:right w:w="28" w:type="dxa"/>
        </w:tblCellMar>
      </w:tblPr>
      <w:tblGrid>
        <w:gridCol w:w="124"/>
        <w:gridCol w:w="307"/>
        <w:gridCol w:w="9774"/>
      </w:tblGrid>
      <w:tr>
        <w:trPr/>
        <w:tc>
          <w:tcPr>
            <w:tcW w:w="124" w:type="dxa"/>
            <w:tcBorders/>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7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intends to present a compromise or arrangement to its creditors (or classes thereof) either pursuant to the Companies Act, the law of a foreign country or by way of a consensual restructuring.</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Dissolution; Winding Up</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Variation of Rights of Shares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corporation may vary the rights of a class of shares with the approval of a majority of the outstanding shares of such class, unless the certificate of incorporation provides otherwise. Under Cayman Islands law and our thirteenth amended and restated memorandum and articles of association, if our share capital is divided into more than one class of shares, we may vary the rights attached to any class with the sanction of a special resolution passed by a majority of not less than three-fourths of the votes cast at a separate meeting of the holders of the shares of that class.</w:t>
      </w:r>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Amendment of Governing Documents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corporation’s governing documents may be amended with the approval of a majority of the outstanding shares entitled to vote, unless the certificate of incorporation provides otherwise.</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Under Cayman Islands law, our thirteenth amended and restated memorandum and articles of association may only be amended with a special resolution of our shareholders.</w:t>
      </w:r>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Rights of Non-resident or Foreign Shareholders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There are no limitations imposed by our thirteenth amended and restated memorandum and articles of association on the rights of non-resident or foreign shareholders to hold or exercise voting rights on our shares.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In addition, there are no provisions in our thirteenth amended and restated memorandum and articles of association governing the ownership threshold above which shareholder ownership must be disclosed.</w:t>
      </w:r>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Inspection of Books and Records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Under the Delaware General Corporation Law, any shareholder of a corporation may for any proper purpose inspect or make copies of the corporation’s stock ledger, list of shareholders and other books and records.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Shareholders of Cayman Islands exempted companies like us have no general right under Cayman Islands law to inspect corporate records (other than the memorandum and articles of association, the register of mortgages and charges and any special resolutions passed by our shareholders) or obtain copies of the list of shareholders of these companies. However, we intend to provide our shareholders with annual reports containing audited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          Material Contracts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entered into any material contracts other than in the ordinary course of business and other than those described in “Item 4. Information on the Company,” “Item 7. Major Shareholders and Related Party Transactions—B. Related Party Transactions” or elsewhere in this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          Exchange Controls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4. Information on the Company—B. Business Overview—Regulations—Regulations on Foreign Exchange.”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          Taxation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discussion of Cayman Islands, PRC and United States federal income tax consequences of an investment in our ADSs or ordinary shares is based upon laws and interpretations thereof in effect as of the date of this annual report, all of which are subject to change or differing interpretation, possibly with retroactive effect. This summary does not deal with all possible tax consequences relating to an investment in our ADSs or ordinary shares, such as the tax consequences under U.S. state and local tax laws or under the tax laws of jurisdictions other than the Cayman Islands, the People’s Republic of China and the United States.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Cayman Islands Taxation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Cayman Islands currently has no form of income, corporate or capital gains tax and no estate duty, inheritance tax or gift tax. There are no other taxes likely to be material to holders of our ADSs or ordinary shares levied by the government of the Cayman Islands except for stamp duties which may be applicable on instruments executed in, or, after execution, brought within the jurisdiction of the Cayman Islands. The Cayman Islands are not party to any double tax treaties that are applicable to any payments made to or by our company. There are no exchange control regulations under Cayman Islands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Payments of dividends and capital in respect of our Class A ordinary shares and ADSs will not be subject to taxation in the Cayman Islands and no withholding will be required on the payment of a dividend or capital to any holder of our Class A ordinary shares or ADSs, nor will gains derived from the disposal of our Class A ordinary shares or ADSs be subject to Cayman Islands income or corporation tax.</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People’s Republic of China Taxation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the State Taxation Administration issued the Circular on Issues Relating to Identification of PRC-Controlled Overseas Registered Enterprises as Resident Enterprises in Accordance with the De Facto Standards of Organizational Management, or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Taxation Administration’s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Further to Circular 82, the State Taxation Administration issued the Bulletin on Promulgation of the Administrative Measures for Income Tax of Chinese-Controlled Offshore-Incorporated Resident Enterprises (Trial Implementation), which took effect in September 2011, to provide more guidance on the implementation of Circular 82. This bulletin provides for procedures and administration details of determination on resident status and administration on post-determination matters.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NIO Inc. is not a PRC resident enterprise for PRC tax purposes. NIO Inc. is not controlled by a PRC enterprise or PRC enterprise group and we do not believe that NIO Inc. meets all of the conditions above. NIO Inc. is a company incorporated outside the PRC. As a holding company, NIO Inc.’s key assets are its ownership interests in its subsidiaries, and its key assets are located, and its records (including the resolutions of its board of directors and the resolutions of its shareholders) are maintained, outside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 PRC tax authorities determine that NIO Inc. is a PRC resident enterprise for enterprise income tax purposes, we may be required to withhold a 10% withholding tax from dividends we pay to our shareholders that are non-resident enterprises, including the holders of our ADSs. In addition, non-resident enterprise shareholders (including our ADS holders) may be subject to a 10% PRC tax on gains realized on the sale or other disposition of ADSs or Class A ordinary shares, if such income is treated as sourced from within the PRC. It is unclear whether our non-PRC individual shareholders (including our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It is also unclear whether non-PRC shareholders of NIO Inc. would be able to claim the benefits of any tax treaties between their country of tax residence and the PRC in the event that NIO Inc. is treated as a PRC resident enterprise. Pursuant to the Enterprise Income Tax Law and its implementation rules, if a non-resident enterprise has not set up an organization or establishment in China, or has set up an organization or establishment but the income derived has no actual connection with such organization or establishment, it will be subject to a withholding tax on its PRC-sourced income at a rate of 10%. Pursuant to the Arrangement between Mainland China and the Hong Kong Special Administrative Region for the Avoidance of Double Taxation and Tax Evasion on Income, the tax rate in respect to dividends paid by a PRC enterprise to a Hong Kong enterprise is reduced to 5% from a standard rate of 10% if the Hong Kong enterprise directly holds at least 25% of the PRC enterprise. Pursuant to STA Circular 81, a Hong Kong resident enterprise must meet the following conditions, among others, in order to enjoy the reduced tax rate: (i) it must directly own the required percentage of equity interests and voting rights in the PRC resident enterprise; and (ii) it must have directly owned such percentage in the PRC resident enterprise throughout the 12 months prior to receiving the dividends. Furthermore, the Administrative Measures for Non-Resident Enterprises to Enjoy Treatments under Treaties, which took effect in January 2020, require that non-resident enterprises must obtain approval from the tax authority in order to enjoy the reduced tax rate. There are also other conditions for enjoying the reduced tax rate according to other tax rules and regulations. Accordingly, our subsidiaries may be able to enjoy the 5% tax rate for the dividends it receives from its PRC incorporated subsidiaries if they satisfy the conditions prescribed under STA Circular 81 and other tax rules and regulations and obtain the approvals as required. However, according to STA Circular 81, if the tax authorities determine our transactions or arrangements are for the primary purpose of enjoying a favorable tax treatment, the tax authorities may adjust the favorable tax rate on dividends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Provided that our Cayman Islands holding company, NIO Inc., is not deemed to be a PRC resident enterprise, holders of our ADSs and Class A ordinary shares who are not PRC residents will not be subject to PRC income tax on dividends that we distributed or gains realized from the sale or other disposition of our shares or ADSs. Circular 7 further clarifies that, if a non-resident enterprise derives income by acquiring and selling shares in an offshore listed enterprise in the public market, such income will not be subject to PRC tax. However, there is uncertainty as to the application of Circular 7, we and our non-PRC resident investors may be at risk of being required to file a return and being taxed under Circular 7 and we may be required to expend valuable resources to comply with Circular 7 or to establish that we should not be taxed under Circular 7. See “Item 3. Key Information—D. Risk Factors—Risks Related to Doing Business in China—We face uncertainty with respect to indirect transfers of equity interests in PRC resident enterprises by their non-PRC holding companies.”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United States Federal Income Taxation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discussion is a summary of U.S. federal income tax considerations generally applicable to the ownership and disposition of our ADSs or Class A ordinary shares by a U.S. Holder (as defined below) that acquires our ADSs and holds our ADSs as “capital assets” (generally, property held for investment) under the U.S. Internal Revenue Code of 1986, as amended (the “Code”), and the Treasury Regulations promulgated thereunder. This discussion is based upon existing U.S. federal income tax law, which is subject to differing interpretations or changes, possibly with retroactive effect. There can be no assurance that the Internal Revenue Service (the “IRS”) or a court will not take a contrary position. This discussion, moreover, does not address the U.S. federal estate, gift, Medicare, minimum tax, and other non-income tax considerations or any state, local and non-U.S. tax considerations, relating to the ownership or disposition of our ADSs or Class A ordinary shares. The following summary does not address all aspects of U.S. federal income taxation that may be important to particular investors in light of their individual circumstances or to persons in special tax situations such as:</w:t>
      </w:r>
    </w:p>
    <w:tbl>
      <w:tblPr>
        <w:tblW w:w="3621" w:type="dxa"/>
        <w:jc w:val="left"/>
        <w:tblInd w:w="0" w:type="dxa"/>
        <w:tblLayout w:type="fixed"/>
        <w:tblCellMar>
          <w:top w:w="28" w:type="dxa"/>
          <w:left w:w="28" w:type="dxa"/>
          <w:bottom w:w="28" w:type="dxa"/>
          <w:right w:w="28" w:type="dxa"/>
        </w:tblCellMar>
      </w:tblPr>
      <w:tblGrid>
        <w:gridCol w:w="124"/>
        <w:gridCol w:w="256"/>
        <w:gridCol w:w="3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and other financial institutions;</w:t>
            </w:r>
          </w:p>
        </w:tc>
      </w:tr>
    </w:tbl>
    <w:tbl>
      <w:tblPr>
        <w:tblW w:w="2286" w:type="dxa"/>
        <w:jc w:val="left"/>
        <w:tblInd w:w="0" w:type="dxa"/>
        <w:tblLayout w:type="fixed"/>
        <w:tblCellMar>
          <w:top w:w="28" w:type="dxa"/>
          <w:left w:w="28" w:type="dxa"/>
          <w:bottom w:w="28" w:type="dxa"/>
          <w:right w:w="28" w:type="dxa"/>
        </w:tblCellMar>
      </w:tblPr>
      <w:tblGrid>
        <w:gridCol w:w="124"/>
        <w:gridCol w:w="256"/>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bl>
    <w:tbl>
      <w:tblPr>
        <w:tblW w:w="1716" w:type="dxa"/>
        <w:jc w:val="left"/>
        <w:tblInd w:w="0" w:type="dxa"/>
        <w:tblLayout w:type="fixed"/>
        <w:tblCellMar>
          <w:top w:w="28" w:type="dxa"/>
          <w:left w:w="28" w:type="dxa"/>
          <w:bottom w:w="28" w:type="dxa"/>
          <w:right w:w="28" w:type="dxa"/>
        </w:tblCellMar>
      </w:tblPr>
      <w:tblGrid>
        <w:gridCol w:w="124"/>
        <w:gridCol w:w="256"/>
        <w:gridCol w:w="1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plans;</w:t>
            </w:r>
          </w:p>
        </w:tc>
      </w:tr>
    </w:tbl>
    <w:tbl>
      <w:tblPr>
        <w:tblW w:w="1626" w:type="dxa"/>
        <w:jc w:val="left"/>
        <w:tblInd w:w="0" w:type="dxa"/>
        <w:tblLayout w:type="fixed"/>
        <w:tblCellMar>
          <w:top w:w="28" w:type="dxa"/>
          <w:left w:w="28" w:type="dxa"/>
          <w:bottom w:w="28" w:type="dxa"/>
          <w:right w:w="28" w:type="dxa"/>
        </w:tblCellMar>
      </w:tblPr>
      <w:tblGrid>
        <w:gridCol w:w="124"/>
        <w:gridCol w:w="256"/>
        <w:gridCol w:w="1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cooperatives;</w:t>
            </w:r>
          </w:p>
        </w:tc>
      </w:tr>
    </w:tbl>
    <w:tbl>
      <w:tblPr>
        <w:tblW w:w="3216" w:type="dxa"/>
        <w:jc w:val="left"/>
        <w:tblInd w:w="0" w:type="dxa"/>
        <w:tblLayout w:type="fixed"/>
        <w:tblCellMar>
          <w:top w:w="28" w:type="dxa"/>
          <w:left w:w="28" w:type="dxa"/>
          <w:bottom w:w="28" w:type="dxa"/>
          <w:right w:w="28" w:type="dxa"/>
        </w:tblCellMar>
      </w:tblPr>
      <w:tblGrid>
        <w:gridCol w:w="124"/>
        <w:gridCol w:w="256"/>
        <w:gridCol w:w="2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w:t>
            </w:r>
          </w:p>
        </w:tc>
      </w:tr>
    </w:tbl>
    <w:tbl>
      <w:tblPr>
        <w:tblW w:w="1746" w:type="dxa"/>
        <w:jc w:val="left"/>
        <w:tblInd w:w="0" w:type="dxa"/>
        <w:tblLayout w:type="fixed"/>
        <w:tblCellMar>
          <w:top w:w="28" w:type="dxa"/>
          <w:left w:w="28" w:type="dxa"/>
          <w:bottom w:w="28" w:type="dxa"/>
          <w:right w:w="28" w:type="dxa"/>
        </w:tblCellMar>
      </w:tblPr>
      <w:tblGrid>
        <w:gridCol w:w="124"/>
        <w:gridCol w:w="256"/>
        <w:gridCol w:w="1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w:t>
            </w:r>
          </w:p>
        </w:tc>
      </w:tr>
    </w:tbl>
    <w:tbl>
      <w:tblPr>
        <w:tblW w:w="5706" w:type="dxa"/>
        <w:jc w:val="left"/>
        <w:tblInd w:w="0" w:type="dxa"/>
        <w:tblLayout w:type="fixed"/>
        <w:tblCellMar>
          <w:top w:w="28" w:type="dxa"/>
          <w:left w:w="28" w:type="dxa"/>
          <w:bottom w:w="28" w:type="dxa"/>
          <w:right w:w="28"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traders that elect to use a mark-to-market method of accounting;</w:t>
            </w:r>
          </w:p>
        </w:tc>
      </w:tr>
    </w:tbl>
    <w:tbl>
      <w:tblPr>
        <w:tblW w:w="4581" w:type="dxa"/>
        <w:jc w:val="left"/>
        <w:tblInd w:w="0" w:type="dxa"/>
        <w:tblLayout w:type="fixed"/>
        <w:tblCellMar>
          <w:top w:w="28" w:type="dxa"/>
          <w:left w:w="28" w:type="dxa"/>
          <w:bottom w:w="28" w:type="dxa"/>
          <w:right w:w="28" w:type="dxa"/>
        </w:tblCellMar>
      </w:tblPr>
      <w:tblGrid>
        <w:gridCol w:w="124"/>
        <w:gridCol w:w="256"/>
        <w:gridCol w:w="4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former U.S. citizens or long-term residents;</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 (including private foundations);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acquire ADSs or Class A ordinary shares pursuant to any employee share option or otherwise as compensation;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ADSs or Class A ordinary shares as part of a straddle, hedge, conversion, constructive sale or other integrated transaction for U.S. federal income tax purposes;</w:t>
            </w:r>
          </w:p>
        </w:tc>
      </w:tr>
    </w:tbl>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have a functional currency other than the U.S. dollar;</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directly, indirectly, constructively own 10% or more of our stock (by vote or value);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partnerships or other entities taxable as partnerships for U.S. federal income tax purposes, or persons holding ADSs or Class A ordinary shares through such entities.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of the foregoing may be subject to tax rules that differ significantly from those discussed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U.S. Holder is urged to consult its tax advisor regarding the application of U.S. federal taxation to its particular circumstances, and the state, local, non-U.S. and other tax considerations of the ownership and disposition of our ADSs or Class A ordinary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purposes of this discussion, a “U.S. Holder” is a beneficial owner of our ADSs or Class A ordinary shares that is, for U.S. federal income tax purposes:</w:t>
      </w:r>
    </w:p>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treated as a corporation for U.S. federal income tax purposes) created in, or organized under the law of the United States or any state thereof or the District of Columbia;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includible in gross income for U.S. federal income tax purposes regardless of its source;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 partnership (or other entity treated as a partnership for U.S. federal income tax purposes) is a beneficial owner of our ADSs or Class A ordinary shares, the tax treatment of a partner in the partnership will generally depend upon the status of the partner and the activities of the partnership. Partnerships holding our ADSs or Class A ordinary shares and their partners are urged to consult their tax advisors regarding an investment in our ADSs or Class A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U.S. federal income tax purposes, a U.S. Holder of ADSs will generally be treated as the beneficial owner of the underlying shares represented by the ADSs. The remainder of this discussion assumes that a U.S. Holder of our ADSs will be treated in this manner. Accordingly, deposits or withdrawals of Class A ordinary shares for ADSs will generally not be subject to U.S. federal income tax.</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Passive Foreign Investment Company Considerations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non-U.S. corporation, such as our company, will be classified as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cash and assets readily convertible into cash are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the law in this regard is not entirely clear, we treat the VIEs as being owned by us for U.S. federal income tax purposes because we control their management decisions and are entitled to substantially all of the economic benefits associated with these entities, and as a result, we consolidate their results of operations in our consolidated U.S. GAAP financial statements. If it were determined, however, that we do not own the VIEs for U.S. federal income tax purposes, we may be treated as a PFIC for the current taxable year and any subsequent taxable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Assuming that we are the owner of the VIEs for U.S. federal income tax purposes, and based upon our current and expected income and assets, we do not believe that we were a PFIC for the taxable year ended December 31, 2024. However, no assurance can be given that we will not be or become a PFIC in the current or future taxable years because the determination of whether we will be or become a PFIC is a factual determination made annually that will depend, in part, upon the nature and composition of our income and assets (in particular, the retention of substantial amounts of cash and investments). Fluctuations in the market price of our ADSs or Class A ordinary shares may cause us to be classified as a PFIC for the current or future taxable years because the value of our assets for purposes of the asset test, including the value of our goodwill and other unbooked intangibles, may be determined by reference to the market price of our ADSs or Class A ordinary shares, which may be volatile. In particular, recent declines in the market price of the ADSs and Class A ordinary shares increased our risk of becoming a PFIC. The market price of the ADSs and Class A ordinary shares may continue to fluctuate considerably and, consequently, we cannot assure you of our PFIC status for any taxable year. Furthermore, the composition of our income and assets may also be affected by how, and how quickly, we use our liquid assets. Under circumstances where our passive income significantly increases relative to our non-passive income, or where we determine not to deploy significant amounts of cash for active purposes, our risk of becoming classified as a PFIC may substantially increase.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classified as a PFIC for any year during which a U.S. Holder holds our ADSs or Class A ordinary shares, the PFIC rules discussed below under “—Passive Foreign Investment Company Rules” generally will apply to such U.S. Holder for such taxable year, and unless the U.S. Holder makes certain elections, will apply in future years even if we cease to be a PFIC.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discussion below under “—Dividends” and “—Sale or Other Disposition” is written on the basis that we will not be or become classified as a PFIC for U.S. federal income tax purposes. The U.S. federal income tax rules that apply generally if we are treated as a PFIC are discussed below under “—Passive Foreign Investment Company Rules.”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Dividends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the discussion below under “—Passive Foreign Investment Company Rules,” any cash distributions (including the amount of any PRC tax withheld) paid on our ADSs or Class A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Class A ordinary shares will not be eligible for the dividends received deduction allowed to corporations. A non-corporate U.S. Holder will be subject to tax at the lower capital gain tax rate applicable to “qualified dividend income,” provided that certain conditions are satisfied, including that (1) our ADSs are readily tradeable on an established securities market in the United States, or, in the event that we are deemed to be a PRC resident enterprise under the PRC tax law, we are eligible for the benefit of the United States-PRC income tax treaty (the “Treaty”), (2) we are neither a PFIC nor treated as such with respect to such a U.S. Holder (as discussed below) for the taxable year in which the dividend was paid and the preceding taxable year, and (3) certain holding period requirements are met. We expect our ADSs (but not our Class A ordinary shares) will be considered readily tradeable on the New York Stock Exchange, which is an established securities market in the United States. There can be no assurance, however, that our ADSs will be considered readily tradeable on an established securities market in later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that we are deemed to be a PRC resident enterprise under the PRC Enterprise Income Tax Law (see “—People’s Republic of China Taxation” above), we may be eligible for the benefits of the Treaty. If we are eligible for such benefits, dividends we pay on our Class A ordinary shares, regardless of whether such shares are represented by the ADSs, would be eligible for the reduced rates of taxation described in the preceding paragraph.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in respect of any foreign withholding taxes imposed on dividends received on our ADSs or Class A ordinary shares.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 or Other Disposition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the discussion below under “—Passive Foreign Investment Company Rules,” a U.S. Holder will generally recognize capital gain or loss upon the sale or other disposition of ADSs or Class A ordinary shares in an amount equal to the difference between the amount realized upon the disposition and the holder’s adjusted tax basis in such ADSs or Class A ordinary shares. Any capital gain or loss will be long-term if the ADSs or Class A ordinary shares have been held for more than one year and will generally be U.S.-source gain or loss for U.S. foreign tax credit purposes. Long-term capital gain of non-corporate U.S. Holders is generally eligible for a reduced rate of taxation. In the event that gain from the disposition of the ADSs or Class A ordinary shares is subject to tax in the PRC, such gain may be treated as PRC-source gain under the Treaty. Pursuant to Treasury Regulations, however, if a U.S. Holder is not eligible for the benefits of the Treaty or does not elect to apply the Treaty, then such holder may not be able to claim a foreign tax credit arising from any PRC tax imposed on the disposition of our ADSs or Class A ordinary shares. The deductibility of a capital loss may be subject to limitations. U.S. Holders are urged to consult their tax advisors regarding the tax consequences if a foreign tax is imposed on a disposition of our ADSs or Class A ordinary shares, including the availability of the foreign tax credit or deduction under their particular circumstances, their eligibility for benefits under the Treaty and the potential impact of the Treasury Regulations.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Passive Foreign Investment Company Rules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classified as a PFIC for any taxable year during which a U.S. Holder holds our ADSs or Class A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Class A ordinary shares), and (ii) any gain realized on the sale or other disposition of ADSs or Class A ordinary shares. Under the PFIC rules: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distribution or gain will be allocated ratably over the U.S. Holder’s holding period for the ADSs or Class A ordinary shares;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the current taxable year and any taxable years in the U.S. Holder’s holding period prior to the first taxable year in which we are classified as a PFIC (each, a “pre-PFIC year”), will be taxable as ordinary income;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each prior taxable year, other than a pre-PFIC year, will be subject to tax at the highest tax rate in effect for individuals or corporations, as appropriate, for that year;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tax equal to the interest charge generally applicable to underpayments of tax will be imposed on the tax attributable to each prior taxable year, other than a pre-PFIC year.</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a PFIC for any taxable year during which a U.S. Holder holds our ADSs or Class A ordinary shares and any of our subsidiaries, the VIEs or any of the subsidiaries of the VIEs are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the VIEs or any of the subsidiaries of the VIEs.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an alternative to the foregoing rules, a U.S. Holder of “marketable stock” in a PFIC may make a mark-to-market election with respect to such stock, provided that such stock is regularly traded on a qualified exchange, as defined in applicable U.S. Treasury regulations. For those purposes, our ADSs, but not our Class A ordinary shares, are traded on the New York Stock Exchange which is a qualified exchange. We anticipate that our ADSs should qualify as being regularly traded, but no assurances may be given in this regard. If a U.S. Holder makes this election,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a mark-to-market election technically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 U.S. Holder owns our ADSs or Class A ordinary shares during any taxable year that we are a PFIC, the holder must generally file an annual IRS Form 8621. You should consult your tax advisors regarding the U.S. federal income tax consequences of owning and disposing of our ADSs or Class A ordinary shares if we are or become a PFIC.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          Dividends and Paying Agents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          Statement by Experts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          Documents on Display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are subject to the periodic reporting and other informational requirements of the Exchange Act. Under the Exchange Act, we are required to file reports and other information with the SEC. Specifically, we are required to file annually a Form 20-F no later than four months after the close of each fiscal year. All information we file with the SEC can be obtained over the internet at the SEC’s website at </w:t>
      </w:r>
      <w:r>
        <w:rPr>
          <w:rFonts w:ascii="Times New Roman;Times;serif" w:hAnsi="Times New Roman;Times;serif"/>
          <w:i/>
          <w:sz w:val="20"/>
        </w:rPr>
        <w:t>www.sec.gov.</w:t>
      </w:r>
      <w:r>
        <w:rPr>
          <w:rFonts w:ascii="Times New Roman;Times;serif" w:hAnsi="Times New Roman;Times;serif"/>
          <w:sz w:val="20"/>
        </w:rPr>
        <w:t xml:space="preserve">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furnish Deutsche Bank Trust Company Americas,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NYSE Rule 203.01, we will post this annual report on our website, http://ir.nio.com/. In addition, we will provide hardcopies of our annual report to shareholders, including ADS holders, free of charge upon request.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          Subsidiary Information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          Annual Report to Security Holders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5" w:name="ITEM11QUANTITATIVEANDQUALITATIVEDISCLOSU"/>
      <w:bookmarkStart w:id="96" w:name="_0736a9b0_1698_473a_b4a0_f7116a7a4b65"/>
      <w:bookmarkEnd w:id="95"/>
      <w:bookmarkEnd w:id="96"/>
      <w:r>
        <w:rPr>
          <w:rFonts w:ascii="Times New Roman;Times;serif" w:hAnsi="Times New Roman;Times;serif"/>
          <w:b/>
          <w:sz w:val="20"/>
        </w:rPr>
        <w:t>ITEM 11.       QUANTITATIVE AND QUALITATIVE DISCLOSURES ABOUT MARKET RISK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Exchange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expect that, in the foreseeable future, the majority of our revenues will be denominated in RMB while our expenses are denominated in RMB and other currencies. As a result, we are exposed to risk related to movements between the RMB and such other currencies. In addition, the value of our ADSs and Class A ordinary shares will be affected by the exchange rate between U.S. dollar and RMB because the value of our business is effectively denominated in RMB, while our Class A ordinary shares and the ADSs will be traded in Hong Kong dollars and U.S. dollars, respectively. Furthermore, we have purchased certain financial products issued by banks, the returns of which could also be affected by the exchange rate between RMB and other currencies.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conversion of Renminbi into foreign currencies, including U.S. dollars, is based on rates set by the People’s Bank of China. The Renminbi has fluctuated against the U.S. dollar, at times significantly and unpredictably. It is difficult to predict how market forces or PRC or U.S. government policy may impact the exchange rate between the Renminbi and the U.S. dollar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the extent that we need to convert U.S. dollars into Renminbi for our operations, appreciation of the Renminbi against the U.S. dollar would have an adverse effect on the RMB amount we receive from the conversion. Conversely, if we decide to convert Renminbi into U.S. dollars for the purpose of making payments for dividends on our Class A ordinary shares or ADSs or for other business purposes, appreciation of the U.S. dollar against the Renminbi would have a negative effect on the U.S. dollar amounts available to 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exposure to interest rate risk relates primarily to the interest rates associated with the outstanding convertible notes we issued and bank loans that bear floating interest rates. The interest rate risk may result from many factors, including, among others, government monetary and tax policies, domestic and international economic and political considerations that are beyond our control. We may incur additional loans or other financing facilities in the future. The objective of interest rate risk management is to minimize financial costs and uncertainties associated with interest rate changes. We strive to effectively manage our interest rate risk by periodic monitoring and responding to risk factors on a timely basis, improve the structure of long-term and short-term borrowings and maintain the appropriate balance between loans with floating interest rates and fixed interest rates.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interest rate sensitivity on our outstanding 2026 Notes, 2027 Notes, 2029 Notes and 2030 Notes. We account for our convertible notes on an amortized cost basis and our recognized value of the convertible notes does not reflect changes in fair value. Also, because convertible notes we have issued either bear interest at a fixed rate or bear no interest, we have not incurred financial statement impact resulting from changes in interest rates. However, changes in market interest rates impact the fair value of the convertible notes along with other variables such as our credit spreads and the market price and volatility of our ADSs and ordinary shares. Increases in market interest rates would result in a decrease in the fair value of our outstanding convertible notes and decreases in market interest rates would result in an increase in the fair value of our outstanding convertible notes. For information on the maturities and other contractual terms of our convertible notes, see “Item 5. Operating and Financial Review and Prospects—B. Liquidity and Capital Resources—Cash Flows and Working Capital.”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With regard to interest rate sensitivity on our bank loans, we present the sensitivity analysis below based on the exposure to interest rates for interest bearing bank loans with variable interest rates as of December 31, 2024. The analysis is prepared assuming that those balances outstanding as of December 31, 2024 were outstanding for the whole financial year. A 1.0% increase or decrease which represents our management’s assessment of the reasonably possible change in interest rates is used. Assuming no change in the outstanding balance of our existing interest-bearing bank loans balances with floating interest rates as of December 31, 2024, a 1.0% increase or decrease in each applicable interest rate would add or deduct RMB1.3 million (US$0.2 million) to our interest expense for the year ended December 31, 2024. We have not used any derivative financial instruments to manage our interest risk exposure.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may from time to time invest in interest-earning instruments. Investments in both fixed rate and floating rate interest-earning instruments carry certain interest rate risk associated with our investment return. Fixed rate securities may have their fair market value adversely impacted due to a rise in interest rates, while floating rate securities may produce less income than expected if interest rates fall.</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97" w:name="ITEM12DESCRIPTIONOFSECURITIESOTHERTHANEQ"/>
      <w:bookmarkStart w:id="98" w:name="_f4f67c84_e689_4968_b280_95cdfb8a9d48"/>
      <w:bookmarkEnd w:id="97"/>
      <w:bookmarkEnd w:id="98"/>
      <w:r>
        <w:rPr>
          <w:rFonts w:ascii="Times New Roman;Times;serif" w:hAnsi="Times New Roman;Times;serif"/>
          <w:b/>
          <w:sz w:val="20"/>
        </w:rPr>
        <w:t>ITEM 12.       DESCRIPTION OF SECURITIES OTHER THAN EQUITY SECURITIES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Debt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          Warrants and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          Other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          American Depositary Shares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Fees and Charges Our ADS holders May Have to Pay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Holders of our ADSs will be required to pay the following service fees to the depositary bank and certain taxes and governmental charges (in addition to any applicable fees, expenses, taxes and other governmental charges payable on the deposited securities represented by any of ADSs held):</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28" w:type="dxa"/>
          <w:right w:w="0" w:type="dxa"/>
        </w:tblCellMar>
      </w:tblPr>
      <w:tblGrid>
        <w:gridCol w:w="6899"/>
        <w:gridCol w:w="326"/>
        <w:gridCol w:w="2980"/>
      </w:tblGrid>
      <w:tr>
        <w:trPr/>
        <w:tc>
          <w:tcPr>
            <w:tcW w:w="6899"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Service</w:t>
            </w:r>
          </w:p>
        </w:tc>
        <w:tc>
          <w:tcPr>
            <w:tcW w:w="326" w:type="dxa"/>
            <w:tcBorders/>
            <w:tcMar>
              <w:bottom w:w="0" w:type="dxa"/>
            </w:tcMar>
            <w:vAlign w:val="center"/>
          </w:tcPr>
          <w:p>
            <w:pPr>
              <w:pStyle w:val="TableContents"/>
              <w:bidi w:val="0"/>
              <w:spacing w:before="0" w:after="0"/>
              <w:ind w:left="0" w:right="0" w:hanging="0"/>
              <w:jc w:val="both"/>
              <w:rPr/>
            </w:pPr>
            <w:r>
              <w:rPr/>
              <w:t>    </w:t>
            </w:r>
          </w:p>
        </w:tc>
        <w:tc>
          <w:tcPr>
            <w:tcW w:w="2980"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Fees</w:t>
            </w:r>
          </w:p>
        </w:tc>
      </w:tr>
      <w:tr>
        <w:trPr/>
        <w:tc>
          <w:tcPr>
            <w:tcW w:w="6899" w:type="dxa"/>
            <w:tcBorders>
              <w:top w:val="single" w:sz="2" w:space="0" w:color="000000"/>
            </w:tcBorders>
            <w:shd w:fill="CCEEFF" w:val="clear"/>
            <w:tcMar>
              <w:top w:w="28" w:type="dxa"/>
              <w:bottom w:w="0" w:type="dxa"/>
            </w:tcMar>
            <w:vAlign w:val="center"/>
          </w:tcPr>
          <w:p>
            <w:pPr>
              <w:pStyle w:val="TableContents"/>
              <w:pBdr/>
              <w:bidi w:val="0"/>
              <w:spacing w:before="0" w:after="0"/>
              <w:ind w:left="0" w:right="0" w:hanging="0"/>
              <w:jc w:val="left"/>
              <w:rPr/>
            </w:pPr>
            <w:r>
              <w:rPr/>
              <w:t>●   </w:t>
            </w:r>
            <w:r>
              <w:rPr>
                <w:rFonts w:ascii="Times New Roman;Times;serif" w:hAnsi="Times New Roman;Times;serif"/>
                <w:sz w:val="20"/>
              </w:rPr>
              <w:t>To any person to which ADSs are issued or to any person to which a distribution is made in respect of ADS distributions pursuant to stock dividends or other free distributions of stock, bonus distributions, stock splits or other distributions (except where converted to cash)</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2980"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US$0.05 per ADS issued</w:t>
            </w:r>
          </w:p>
        </w:tc>
      </w:tr>
      <w:tr>
        <w:trPr/>
        <w:tc>
          <w:tcPr>
            <w:tcW w:w="6899" w:type="dxa"/>
            <w:tcBorders/>
            <w:tcMar>
              <w:bottom w:w="0"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Cancellation of ADSs, including the case of termination of the deposit agreement</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2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US$0.05 per ADS cancelled</w:t>
            </w:r>
          </w:p>
        </w:tc>
      </w:tr>
      <w:tr>
        <w:trPr/>
        <w:tc>
          <w:tcPr>
            <w:tcW w:w="6899" w:type="dxa"/>
            <w:tcBorders/>
            <w:shd w:fill="CCEEFF" w:val="clear"/>
            <w:tcMar>
              <w:bottom w:w="0"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Distribution of cash dividends</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29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US$0.05 per ADS held</w:t>
            </w:r>
          </w:p>
        </w:tc>
      </w:tr>
      <w:tr>
        <w:trPr/>
        <w:tc>
          <w:tcPr>
            <w:tcW w:w="6899" w:type="dxa"/>
            <w:tcBorders/>
            <w:tcMar>
              <w:bottom w:w="0" w:type="dxa"/>
            </w:tcMar>
            <w:vAlign w:val="center"/>
          </w:tcPr>
          <w:p>
            <w:pPr>
              <w:pStyle w:val="TableContents"/>
              <w:pBdr/>
              <w:bidi w:val="0"/>
              <w:spacing w:before="0" w:after="0"/>
              <w:ind w:left="0" w:right="0" w:hanging="0"/>
              <w:jc w:val="left"/>
              <w:rPr/>
            </w:pPr>
            <w:r>
              <w:rPr/>
              <w:t>●   </w:t>
            </w:r>
            <w:r>
              <w:rPr>
                <w:rFonts w:ascii="Times New Roman;Times;serif" w:hAnsi="Times New Roman;Times;serif"/>
                <w:sz w:val="20"/>
              </w:rPr>
              <w:t>Distribution of cash entitlements (other than cash dividends) and/or cash proceeds from the sale of rights, securities and other entitlements</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2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US$0.05 per ADS held</w:t>
            </w:r>
          </w:p>
        </w:tc>
      </w:tr>
      <w:tr>
        <w:trPr/>
        <w:tc>
          <w:tcPr>
            <w:tcW w:w="6899" w:type="dxa"/>
            <w:tcBorders/>
            <w:shd w:fill="CCEEFF" w:val="clear"/>
            <w:tcMar>
              <w:bottom w:w="0"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Distribution of ADSs pursuant to exercise of rights</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29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Up to US$0.05 per ADS held </w:t>
            </w:r>
          </w:p>
        </w:tc>
      </w:tr>
      <w:tr>
        <w:trPr/>
        <w:tc>
          <w:tcPr>
            <w:tcW w:w="6899" w:type="dxa"/>
            <w:tcBorders/>
            <w:tcMar>
              <w:bottom w:w="0"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Distribution of securities other than ADSs or rights to purchase additional ADSs</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2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Up to US$0.05 per ADS held </w:t>
            </w:r>
          </w:p>
        </w:tc>
      </w:tr>
      <w:tr>
        <w:trPr/>
        <w:tc>
          <w:tcPr>
            <w:tcW w:w="6899" w:type="dxa"/>
            <w:tcBorders/>
            <w:shd w:fill="CCEEFF" w:val="clear"/>
            <w:tcMar>
              <w:bottom w:w="0"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Depositary services</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29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US$0.05 per ADS held on the applicable record date(s) established by the depositary bank</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Holders of our ADSs will also be responsible to pay certain fees and expenses incurred by the depositary bank and certain taxes and governmental charges (in addition to any applicable fees, expenses, taxes and other governmental charges payable on the deposited securities represented by any of your ADSs) such as: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for the transfer and registration of ordinary shares charged by the registrar and transfer agent for the ordinary shares in Cayman Islands (i.e., upon deposit and withdrawal of ordinary shares).</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for converting foreign currency into U.S. dollars.</w:t>
            </w:r>
          </w:p>
        </w:tc>
      </w:tr>
    </w:tbl>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for cable, telex and fax transmissions and for delivery of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and duties upon the transfer of securities, including any applicable stamp duties, any stock transfer charges or withholding taxes (i.e., when ordinary shares are deposited or withdrawn from deposit).</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incurred in connection with the delivery or servicing of ordinary shares on deposit.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incurred in connection with complying with exchange control regulations and other regulatory requirements applicable to ordinary shares, deposited securities, ADSs and ADRs.</w:t>
            </w:r>
          </w:p>
        </w:tc>
      </w:tr>
    </w:tbl>
    <w:tbl>
      <w:tblPr>
        <w:tblW w:w="3966" w:type="dxa"/>
        <w:jc w:val="left"/>
        <w:tblInd w:w="0" w:type="dxa"/>
        <w:tblLayout w:type="fixed"/>
        <w:tblCellMar>
          <w:top w:w="28" w:type="dxa"/>
          <w:left w:w="28" w:type="dxa"/>
          <w:bottom w:w="28" w:type="dxa"/>
          <w:right w:w="28" w:type="dxa"/>
        </w:tblCellMar>
      </w:tblPr>
      <w:tblGrid>
        <w:gridCol w:w="124"/>
        <w:gridCol w:w="25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fees and penalties thereon.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of refusal to pay the depositary fees, the depositary bank may, under the terms of the deposit agreements, refuse the requested service until payment is received or may set off the amount of the depositary fees from any distribution to be made to the ADS holder.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Fees and Other Payments Made by the Depositary to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Deutsche Bank Trust Company Americas, as the depositary, has agreed to reimburse us for certain expenses we incur that are related to establishment and maintenance of the ADR program upon such terms and conditions as we and the depositary may agree from time to time. The depositary may make available to us a set amount or a portion of the depositary fees charged in respect of the ADR program or otherwise upon such terms and conditions as we and the depositary may agree from time to time. In 2024, we received an after-tax reimbursement payment of US$14.7 million from the depositary.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Conversion Between Class A Ordinary Shares in Hong Kong and ADSs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Dealings and Settlement of Class A Ordinary Shares in Hong Kong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Class A ordinary shares are traded on the Hong Kong Stock Exchange in board lots of 10 Class A ordinary shares. Dealings in our Class A ordinary shares on the Hong Kong Stock Exchange will be conducted in Hong Kong dollars.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this annual report, the transaction costs of dealings in our Class A ordinary shares on the Hong Kong Stock Exchange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Stock Exchange trading fee of 0.00565% of the consideration of the transaction, charged to each of the buyer and seller;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Futures Commission transaction levy of 0.0027% of the consideration of the transaction, charged to each of the buyer and seller;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AFRC Transaction Levy of 0.00015%, charged per side of the consideration of a transaction, collected for the Accounting and Financial Reporting Council (AFRC);</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deed stamp duty of HK$5.00 per transfer deed (if applicable), payable by the seller;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 valorem stamp duty at a total rate of 0.2% of the value of the transaction, with 0.1% payable by each of the buyer and the seller;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settlement fee, which is currently 0.002% of the gross transaction value, subject to a minimum fee of HK$2.00 and a maximum fee of HK$100.00 per side per trade;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brokerage commission, which is freely negotiable with the broker (other than brokerage commissions for IPO transactions which are currently set at 1% of the subscription or purchase price and will be payable by the person subscribing for or purchasing the securities);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 by the Hong Kong share registrar between HK$2.50 to HK$20, depending on the speed of service (or such higher fee as may from time to time be permitted under the Hong Kong Listing Rules), for each transfer of Class A ordinary shares from one registered owner to another, each share certificate canceled or issued by it and any applicable fee as stated in the share transfer forms used in Hong Kong.</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Investors in Hong Kong must settle their trades executed on the Hong Kong Stock Exchange through their brokers directly or through custodians. For an investor in Hong Kong who has deposited his or her Class A ordinary shares in his or her stock account or in his or her designated Participant’s stock account of the Central Clearing and Settlement System established and operated by Hong Kong Securities Clearing Company Limited, or CCASS, maintained with CCASS, settlement will be effected in CCASS in accordance with the General Rules of CCASS and CCASS Operational Procedures in effect from time to time. For an investor who holds the physical certificates, settlement certificates and the duly executed transfer forms must be delivered to his or her broker or custodian before the settlement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 investor may arrange with his or her broker or custodian on a settlement date in respect of his or her trades executed on the Hong Kong Stock Exchange. Under the Hong Kong Listing Rules and the General Rules of CCASS and CCASS Operational Procedures in effect from time to time, the date of settlement must be the second business day (a day on which the settlement services of CCASS are open for use by CCASS Participants) following the trade date (T+2). For trades settled under CCASS, the General Rules of CCASS and CCASS Operational Procedures in effect from time to time provided that the defaulting broker may be compelled to compulsorily buy-in by HKSCC the day after the date of settlement (T+3), or if it is not practicable to do so on T+3, at any time thereafter. HKSCC may also impose fines from T+2 onwards.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Conversion between Class A Ordinary Shares Trading in Hong Kong and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established a branch register of members in Hong Kong, or the Hong Kong share register, which are maintained by our Hong Kong share registrar, Computershare Hong Kong Investor Services Limited. Our principal register of members, or the Cayman share register, are maintained by our principal share registrar, Maples Fund Services (Cayman) Limited in the Cayman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Holders of Class A ordinary shares registered on the Hong Kong share register are able to exchange these Class A ordinary shares into ADSs, and vice versa.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the listing of our Class A ordinary shares on the Hong Kong Stock Exchange, and to facilitate fungibility and conversion between ADSs and Class A ordinary shares and trading between the NYSE and the Hong Kong Stock Exchange, we moved a portion of our issued Class A ordinary shares from our register of members maintained in the Cayman Islands to our Hong Kong share register. We are not under any obligation to maintain or increase the number of Class A ordinary shares on the Hong Kong share register to facilitate any withdrawals of ADSs to convert into Class A ordinary shares listed on the Hong Kong Exchange.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Converting Class A Ordinary Shares Trading in Hong Kong into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 investor who holds Class A ordinary shares registered in Hong Kong and who intends to convert them to ADSs to trade on the NYSE must deposit or have his or her broker deposit the Class A ordinary shares with the depositary’s Hong Kong custodian, Deutsche Bank AG, Hong Kong Branch, or the custodian, in exchange for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deposit of Class A ordinary shares trading in Hong Kong in exchange for ADSs involves the following procedures: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Class A ordinary shares have been deposited with CCASS, the investor must transfer the Class A ordinary shares to the depositary’s account with the custodian within CCASS by following the CCASS procedures for transfer and submit and deliver a duly completed and signed letter of transmittal to the custodian via his or her broker.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Class A ordinary shares are held outside CCASS, the investor must arrange to deposit his or her Class A ordinary shares into CCASS for delivery to the depositary’s account with the custodian within CCASS, and must submit and deliver a duly completed and signed letter of transmittal to the custodian via his or her broker.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of its fees and expenses and of any taxes or charges, such as stamp taxes or stock transfer taxes or fees, if applicable, and subject in all case to the terms of the deposit agreement, the depositary will register the corresponding number of ADSs in the name(s) requested by an investor and will deliver the ADSs as instructed in the letter of transmittal.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Class A ordinary shares deposited in CCASS, under normal circumstances, the above steps generally require two business days, provided that the investor has provided timely and complete instructions. For Class A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Converting ADSs to Class A Ordinary Shares Trading in Hong Kong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 investor who holds ADSs fungible with the ADSs listed on the NYSE and who intends to convert his/her ADSs into Class A ordinary shares that trade on the Hong Kong Stock Exchange must cancel the ADSs the investor holds and withdraw Class A ordinary shares from our ADR program and cause his or her broker or other financial institution to trade such Class A ordinary shares on the Hong Kong Stock Exchange.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An investor that holds ADSs indirectly through a broker or other financial institution should follow the procedure of the broker or financial institution and instruct the broker to arrange for cancelation of the ADSs to the depositary for cancelation, and transfer of the underlying Class A ordinary shares from the depositary’s account with the custodian within the CCASS system to the investor’s Hong Kong stock account. A cancellation fee of up to US$0.05 per ADS cancelled will apply.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investors holding ADSs directly, subject to the applicable transfer restrictions, the following steps must be taken: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withdraw Class A ordinary shares from our ADR program, an investor who holds ADSs may turn in such ADSs at the office of the depositary (and the applicable ADR(s) if the ADSs are held in certificated form), and send an instruction to cancel such ADSs to the depositary.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or net of its fees and expenses and of any taxes or charges, such as stamp taxes or stock transfer taxes or fees, if applicable, and subject in all cases to the terms of the deposit agreement, the depositary will instruct the custodian to deliver Class A ordinary shares underlying the canceled ADSs to the CCASS account designated by an investor.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investor prefers to receive Class A ordinary shares outside CCASS, he or she must receive Class A ordinary shares in CCASS first and then arrange for the withdrawal from CCASS. Investors can then obtain a transfer form signed by HKSCC Nominees Limited (as the transferor) and register Class A ordinary shares in their own names with the Hong Kong share registrar. For Class A ordinary shares to be received in CCASS, under normal circumstances, the above steps generally require two business days, provided that the investor has provided timely and complete instructions.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Class A ordinary shares to be received outside CCASS in physical form, the above steps may take 14 business days, or more, to complete. The investor will be unable to trade the Class A ordinary shares on the Hong Kong Stock Exchange until the procedures are completed.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Temporary delays may arise. For example, the transfer books of the depositary may from time to time be closed to ADS cancellations. In addition, completion of the above steps and procedures for delivery for Class A ordinary shares in a CCASS account is subject to there being a sufficient number of Class A ordinary shares on the Hong Kong share register to facilitate a withdrawal from the ADR program directly into the CCASS system. We are not under any obligation to maintain or increase the number of Class A ordinary shares on the Hong Kong share register to facilitate such withdrawals.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Depositary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Before the depositary issues and delivers ADSs or permits withdrawal of Class A ordinary shares, the depositary may require: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of satisfactory proof of the identity and genuineness of any signature or other information it deems necessary;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terms and procedures it may establish, from time to time, consistent with the deposit agreement, including completion and presentation of transfer documents; and</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U.S. securities law requirements.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may refuse to deliver, transfer, or register issuances, transfers, and cancellations of ADSs generally when the transfer books of the depositary or our Hong Kong share registrar or Cayman Islands share registrar are closed or at any time if the depositary or we determine it advisable to do so, subject to such refusal complying with U.S. federal securities laws.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costs attributable to the transfer of Class A ordinary shares to effect a withdrawal from or deposit of Class A ordinary shares into our ADR program will be borne by the investor requesting the transfer. In particular, holders of Class A ordinary shares and ADSs should note that the Hong Kong share registrar will charge between HK$2.50 to HK$20, depending on the speed of service (or such higher fee as may from time to time be permitted under the Hong Kong Listing Rules), for each transfer of Class A ordinary shares from one registered owner to another, each share certificate canceled or issued by it and any applicable fee as stated in the share transfer forms used in Hong Kong. In addition, holders of Class A ordinary shares and ADSs must pay up to US$5.00 per 100 ADSs (or portion thereof) for each issuance of ADSs and each cancelation of ADSs, as the case may be, in connection with the deposit of Class A ordinary shares into, or withdrawal of Class A ordinary shares from, our ADR program.</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Conversion Between Class A Ordinary Shares in Singapore and ADSs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A.Clearance and Settlement on the Singapore Exchange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Class A ordinary shares are traded on the Singapore Exchange in board lots of 10 Class A ordinary shares. Our Class A ordinary shares that are traded on the Singapore Exchange will be cleared and settled under the scripless book-entry settlement system of the Central Depository (Pte) Limited, or CDP, and all dealings in and transactions of the Class A ordinary shares through the Singapore Exchange will be effected in accordance with the terms and conditions for the operation of securities accounts maintained by a depositor with CDP and the terms and conditions for CDP to act as depository for foreign securities, as amended from time to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Cayman Islands Companies Act, only a person who agrees to become a shareholder of a Cayman Islands company and whose name is entered in the register of members of such company is considered a member with rights to attend and vote at shareholders’ meetings of such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Class A ordinary shares trading on the Singapore Exchange are registered in the name of CDP or its nominee and held by CDP for and on behalf of persons who maintain, either directly or through depository agents, securities accounts. Accordingly, under Cayman Islands laws, a shareholder who maintains, either directly or through depository agents, securities accounts with CDP, or a NIO CDP depositor, holding our Class A ordinary shares through CDP would not be recognized as our shareholder but may be appointed by CDP as its proxy and have the direct right to attend and cast votes at such shareholders’ meetings. Shareholders are to take note that no option shall be provided to shareholders for them to withdraw and/or deposit the Class A ordinary shares from and/or with the CDP in scrip form. Accordingly, in the event that a NIO CDP depositor wishes to attend and vote at the shareholders’ meetings in his own name, the NIO CDP depositor would have to first convert his Class A ordinary shares trading on the Singapore Exchange to ADS trading on the NYSE, before cancelling the ADS with the ADS depositary, being Deutsche Bank Trust Company Americas, and receiving the corresponding number of underlying Class A ordinary shares in certificated form in his own name from the Cayman share registrar. The NIO CDP depositor must be a registered holder of Class A ordinary shares on the Cayman share register prior to the record date for the shareholders’ meeting.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shareholders and ADS holders can convert and transfer shares trading on the Singapore Exchange to ADS trading on the NYSE (and vice versa) only on a scripless basis, which involves a transfer of shares through the CDP electronic system between the CDP accounts of the Singapore custodian of the ADS Depositary, namely DB Nominees (Singapore) Pte Ltd, and the shareholder (or his depository agent). In this regard, the shares listed and traded on the Singapore Exchange shall be solely Class A ordinary shares underlying ADSs which have been registered with the SEC (or exempted, as the case may be) and listed and traded on the NYSE, which are unrestricted shares. For the avoidance of doubt, unrestricted shares which are not represented by ADSs will not be accepted for deposit into CDP.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shareholders will not be given an option to deposit and/or withdraw the Class A ordinary shares from and/or with the CDP in scrip form, or the Option, in order to ensure that the Class A ordinary shares trading on the Singapore Exchange are strictly unrestricted shares. If our shareholders are given the Option, there may be a risk of shares which are unregistered with the SEC and/or have yet to be approved by the NYSE for listing, which we refer to as the Restricted Shares, being deposited directly into CDP. Thereafter, it would be practically impossible for our company and the ADS depositary to differentiate between unrestricted shares and Restricted Shares once shares are admitted for trading in scripless form on the Singapore Exchange. Any conversion of Restricted Shares into ADS, without registration with the SEC (or exemption, as the case may be) may further result in non-compliance with the U.S. securities law.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Accordingly, the following mechanisms have been put in place to ensure that the Restricted Shares are not listed and traded on the Singapore Exchange:</w:t>
      </w:r>
    </w:p>
    <w:tbl>
      <w:tblPr>
        <w:tblW w:w="10205" w:type="dxa"/>
        <w:jc w:val="left"/>
        <w:tblInd w:w="0" w:type="dxa"/>
        <w:tblLayout w:type="fixed"/>
        <w:tblCellMar>
          <w:top w:w="28" w:type="dxa"/>
          <w:left w:w="28" w:type="dxa"/>
          <w:bottom w:w="28" w:type="dxa"/>
          <w:right w:w="28" w:type="dxa"/>
        </w:tblCellMar>
      </w:tblPr>
      <w:tblGrid>
        <w:gridCol w:w="124"/>
        <w:gridCol w:w="293"/>
        <w:gridCol w:w="9788"/>
      </w:tblGrid>
      <w:tr>
        <w:trPr/>
        <w:tc>
          <w:tcPr>
            <w:tcW w:w="124" w:type="dxa"/>
            <w:tcBorders/>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8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would not be given an option to deposit and/or withdraw the Class A ordinary shares from and/or with the CDP in scrip form to prevent shareholders from depositing Restricted Shares into CDP, and accordingly introducing Restricted Shares to the Singapore Exchange for trading; and</w:t>
            </w:r>
          </w:p>
        </w:tc>
      </w:tr>
    </w:tbl>
    <w:tbl>
      <w:tblPr>
        <w:tblW w:w="10205" w:type="dxa"/>
        <w:jc w:val="left"/>
        <w:tblInd w:w="0" w:type="dxa"/>
        <w:tblLayout w:type="fixed"/>
        <w:tblCellMar>
          <w:top w:w="28" w:type="dxa"/>
          <w:left w:w="28" w:type="dxa"/>
          <w:bottom w:w="28" w:type="dxa"/>
          <w:right w:w="28" w:type="dxa"/>
        </w:tblCellMar>
      </w:tblPr>
      <w:tblGrid>
        <w:gridCol w:w="124"/>
        <w:gridCol w:w="283"/>
        <w:gridCol w:w="9798"/>
      </w:tblGrid>
      <w:tr>
        <w:trPr/>
        <w:tc>
          <w:tcPr>
            <w:tcW w:w="124" w:type="dxa"/>
            <w:tcBorders/>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9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ADS depositary accepts deposits of shares to issue new ADSs, the ADS depositary would ensure, inter alia, compliance with U.S. securities law requirements, and compliance with the terms and procedures of the ADS depositary which are consistent with the deposit agreement (including completion and presentation of transfer documents). Accordingly, through this process, only unrestricted shares would be permitted for deposit with the ADS depositary for the issuance of the corresponding ADSs for trading on the NYSE.</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NIO CDP depositors must have their respective securities accounts credited with the number of Class A ordinary shares deposited before they can effect the desired trades. A fee of S$10.00 is payable upon the deposit of each instrument of transfer with CDP and the ADS depositary reserves the right to charge additional fees imposed by the ADS depositary, CDP and any brokers to ADS holders and NIO CDP depositors who have made requests for the conversion of ADSs into Class A ordinary shares and </w:t>
      </w:r>
      <w:r>
        <w:rPr>
          <w:rFonts w:ascii="Times New Roman;Times;serif" w:hAnsi="Times New Roman;Times;serif"/>
          <w:i/>
          <w:sz w:val="20"/>
        </w:rPr>
        <w:t>vice versa</w:t>
      </w:r>
      <w:r>
        <w:rPr>
          <w:rFonts w:ascii="Times New Roman;Times;serif" w:hAnsi="Times New Roman;Times;serif"/>
          <w:sz w:val="20"/>
        </w:rPr>
        <w:t>. The above fees may be subject to such charges as may be imposed in accordance with CDP’s prevailing policies or the current tax policies, including GST that may be in force in Singapore from time to time.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Transactions in our Class A ordinary shares under the CDP book-entry settlement system will be reflected by the seller’s securities account being debited with the number of Class A ordinary shares sold and the buyer’s securities account being credited with the number of Class A ordinary shares acquired and no transfer stamp duty is currently payable for our Class A ordinary shares that are settled on a book-entry basis.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Class A ordinary shares traded on the Singapore Exchange will not be fungible with the Class A ordinary shares traded on the Hong Kong Stock Exchange as there is no mechanism in place to facilitate such transfer of Class A ordinary shares between the Singapore Exchange and the Hong Kong Stock Exchange.</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B.Clearing Fees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 Singapore clearing fee for trades in our Class A ordinary shares on the Singapore Exchange is payable at the rate of 0.0325% of the contract value. The clearing fee, instrument of transfer deposit fee and share withdrawal fee may be subject to GST at the prevailing rate of 9.0% (or such other rate prevailing from time to time).</w:t>
      </w:r>
    </w:p>
    <w:p>
      <w:pPr>
        <w:pStyle w:val="TextBody"/>
        <w:bidi w:val="0"/>
        <w:spacing w:lineRule="auto" w:line="240" w:before="0" w:after="200"/>
        <w:ind w:left="0" w:right="0" w:firstLine="720"/>
        <w:jc w:val="both"/>
        <w:rPr>
          <w:rFonts w:ascii="Times New Roman;Times;serif" w:hAnsi="Times New Roman;Times;serif"/>
          <w:sz w:val="20"/>
        </w:rPr>
      </w:pPr>
      <w:r>
        <w:rPr>
          <w:rFonts w:ascii="Times New Roman;Times;serif" w:hAnsi="Times New Roman;Times;serif"/>
          <w:sz w:val="20"/>
        </w:rPr>
        <w:t>Dealings in our Class A ordinary shares will be carried out in U.S. dollars and will be effected for settlement in CDP on a scripless basis. Settlement of trades on a normal “ready” basis on the Singapore Exchange generally takes place on the second (2</w:t>
      </w:r>
      <w:r>
        <w:rPr>
          <w:rFonts w:ascii="Times New Roman;Times;serif" w:hAnsi="Times New Roman;Times;serif"/>
          <w:sz w:val="15"/>
        </w:rPr>
        <w:t>nd</w:t>
      </w:r>
      <w:r>
        <w:rPr>
          <w:rFonts w:ascii="Times New Roman;Times;serif" w:hAnsi="Times New Roman;Times;serif"/>
          <w:sz w:val="20"/>
        </w:rPr>
        <w:t>) market day following the transaction date and payment for the securities between member companies of the Singapore Exchange and NIO CDP depositors is generally settled on the following business day. CDP holds securities on behalf of depositors in securities accounts. An investor may open a direct account with CDP or a sub-account with any depository agent. A depository agent may be a member company of the Singapore Exchange, bank, merchant bank or trust company.</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C.Dealing of Shares on the Singapore Exchange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Dealing of Class A ordinary shares on the Singapore Exchange should be conducted with member companies of the Singapore Exchange by NIO CDP depositors who hold direct securities accounts with CDP or a sub-account with a depository agent.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Dealings in, and transactions of, Class A ordinary shares on the Singapore Exchange will be due for settlement on the second market day following the date of transaction (T+2, or the Settlement Date), and payment for the securities is generally settled on the following business day. NIO CDP depositors selling Class A ordinary shares should ensure that there are sufficient Class A ordinary shares in their direct securities account with CDP or their sub-account with a depository agent on the Settlement Date. Settlement of dealings through the CDP direct securities account or sub-account with a depository agent shall be made in accordance with CDP’s “Terms and Conditions for Operation of Securities Accounts with CDP,” and the “Terms and Conditions for CDP to Act as Depository for Foreign Securities,” as amended from time to time. Investors should take note that they would need to maintain a direct account with CDP or a sub-account with any depository agent before they can hold and/or trade the Class A ordinary shares on the Singapore Exchange. If you do not currently have a direct account with CDP or a sub-account with a depository agent through which you can trade securities on the Singapore Exchange, please open an account with CDP or contact a broker to open an account.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9904" w:type="dxa"/>
            <w:tcBorders/>
            <w:vAlign w:val="center"/>
          </w:tcPr>
          <w:p>
            <w:pPr>
              <w:pStyle w:val="TableContents"/>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Instructions for the Cancellation of ADS Traded on NYSE and Withdrawal of Physical Class A Ordinary Share Certificates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ADS holders may turn in their ADS at the ADS depositary’s corporate trust office or by providing appropriate instructions to their U.S. broker for cancellation and withdrawal of the underlying shares. In cases where the ADS holder would like to cancel their ADS and withdraw the underlying shares in the form of physical Class A share certificates, the ADS holder or the holder’s U.S. broker would need to inform us and the ADS depositary that they would like to receive the shares in this form. Upon payment of its fees, expenses and any taxes or charges, such as stamp taxes or stock transfer taxes or fees, and subject in all cases to the terms and conditions of the deposit agreement, the ADS depositary will deliver the Class A ordinary shares on the Cayman share register and any other deposited securities underlying the ADSs to the ADS holder or a person designated by the ADS holder at the office of the custodian of the ADS depositary. Or, at the request, risk and expense of the ADS holder, the ADS depository will deliver the deposited securities at its corporate trust office, to the extent permitted by law. The mechanism for cancelling ADSs and receiving Class A ordinary shares for trading on the Singapore Exchange is described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Temporary delays may arise. For example, the transfer books of the ADS depositary may from time to time be closed to ADS cancellations.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E.No Withdrawal or Deposit of Class A Ordinary Shares in Scrip Form from or with the CFP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Shareholders should note that they will not be permitted to withdraw or deposit the Class A ordinary shares from or with the CDP in scrip form, so as to ensure that the fungible ADSs and Class A ordinary shares trading on the NYSE and the Singapore Exchange respectively have either been registered under the Securities Act or are otherwise freely tradable pursuant to an exemption from registration under the Securities Act. In the event that any NIO CDP depositor wishes to withdraw his Class A ordinary shares in scrip form for whatsoever reason, the NIO CDP depositor would have to first convert his Class A ordinary shares trading on the Singapore Exchange to ADS trading on the NYSE, before cancelling the ADS with the ADS depositary and receiving such Class A ordinary shares in physical share certificates as registered holder. The instructions for the cancellation of ADSs traded on the NYSE and withdrawal of physical certificates of Class A ordinary shares are as set out above.</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9919" w:type="dxa"/>
            <w:tcBorders/>
            <w:vAlign w:val="center"/>
          </w:tcPr>
          <w:p>
            <w:pPr>
              <w:pStyle w:val="TableContents"/>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Mechanism for Conversion and Transfer of Class A Ordinary Shares Trading on the Singapore Exchange to ADSs for trading on the NYSE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Conversion of Class A ordinary shares on the Singapore Exchange to ADSs for trading on the NYSE will only be carried out on a scripless basis. A NIO CDP depositor whose Class A ordinary shares are held through CDP (either directly or through a depository agent) and wishes to convert and transfer his Class A ordinary share to ADS for trading on the NYSE, shall first provide ADS issuance instructions to the Singapore custodian of the ADS depositary, namely DB Nominees (Singapore) Pte Ltd, in the form of a letter of transmittal (LOT) through his Singapore broker, providing key information including but not limited to the number of ADSs to be issued, the ADS delivery information, and such other documentation as the ADS depositary may require pursuant to the deposit agreement. Immediately thereafter, the Singapore broker, on behalf of the NIO CDP depositor, shall make a Free of Payment (FOP) transfer of the relevant number of the Class A ordinary shares to DB Nominees (Singapore) Pte Ltd through the CDP electronic system. The cut-off time for providing the ADS issuance instructions in the form of a letter of transmittal and for the Singapore broker to make the FOP transfer is 11:30 a.m. (Singapore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Such issuances are subject in all cases to the terms of the deposit agreement. All forms and declarations required by the ADS depositary must be fully completed, provided in a timely manner, duly signed and submitted to the ADS depositary with the instruction to credit the relevant number of ADSs in DTC. Upon receipt of the relevant number of Class A ordinary shares, DB Nominees (Singapore) Pte Ltd shall forward the corresponding letter of transmittal to the ADS depositary. Following which, the ADS depositary shall issue the relevant number of ADSs as instructed by the letter of transmittal for delivery through the DTC settlement system to the designated DTC securities account (whether held directly by the NIO CDP depositor or through a U.S. broker) upon payment of its fees, expenses and any taxes or charges such as stamp taxes or stock transfer taxes or fees.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conversion and transfer of Class A ordinary shares in a securities account held with CDP to ADS in the NIO CDP depositor’s securities account opened with his U.S. broker would normally take approximately two (2) business days from the time the ADS depositary (and/or any of its agents in Singapore) receives the underlying Class A ordinary shares and the ADS issuance instructions with the necessary documents, barring any closure of the transfer books of the ADS depositary or any other unforeseen circumstances and assuming that all requisite forms/instructions have been duly completed and provided, and necessary payment for all associated fees has been made.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Please note that in all cases of transfers referred to in this section, there should not be any change or difference, or purported change or difference, in the beneficial owner of the underlying Class A ordinary share before and after transfer of Class A ordinary shares trading on the Singapore Exchange to ADSs for trading on the NYSE.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may be charged with applicable fees by your broker or custodian in Singapore. Please note that the transfer process and/or fees payable are subject to change. For further information or copies of the forms, please contact the Company and the ADS depositary directly. For the avoidance of doubt, all fees and taxes (including stamp duties) incurred during the transfer process shall be borne by the ADS holder.</w:t>
      </w:r>
    </w:p>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w:t>
            </w:r>
          </w:p>
        </w:tc>
        <w:tc>
          <w:tcPr>
            <w:tcW w:w="9889" w:type="dxa"/>
            <w:tcBorders/>
            <w:vAlign w:val="center"/>
          </w:tcPr>
          <w:p>
            <w:pPr>
              <w:pStyle w:val="TableContents"/>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Mechanism for Conversion and Transfer of ADSs Trading on NYSE to Class A Ordinary Shares for Trading on the Singapore Exchange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Conversion and transfer of ADSs to Class A ordinary shares for trading on the Singapore Exchange will only be carried out on a scripless basis. As an ADS holder, if you wish to trade your underlying Class A ordinary shares on the Singapore Exchange, you must first instruct your U.S. broker to convert the ADSs which you hold in NYSE into Class A ordinary shares through the submission of an ADR cancellation instruction for the purpose of cancellation and withdrawal. The U.S. broker will subsequently surrender the ADSs to the ADS Depositary (through DTC), and provide the ADS Depositary with the ADR cancellation instruction and pay the ADS Depositary’s fees, expenses and any applicable taxes or charges, such as stamp taxes or stock transfer taxes or fees.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Such cancellations and withdrawals are subject in all cases to the terms of the deposit agreement. All forms and declarations required by the ADS Depositary must be fully completed, provided in a timely manner, duly signed and submitted to the ADS Depositary with the instruction to credit the relevant number of Class A ordinary shares into a securities account opened with CDP. The ADS Depositary and its custodian shall electronically transfer the relevant number of Class A ordinary shares through the scripless system operated by CDP from their securities account to your designated securities account (either in your direct name or maintained under your Singapore broker as a depository agent).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conversion and transfer of ADSs on NYSE to Class A ordinary shares in the NIO CDP depositor’s securities account opened with CDP or his securities sub-account maintained with a Depository Agent would normally take approximately two (2) business days to complete from the time the ADS Depositary receives the ADSs for cancellation, any applicable fees and the ADS cancellation instructions with the necessary documents, barring any closure of the transfer books of the ADS Depositary or any other unforeseen circumstances and assuming that all requisite forms/instructions have been duly completed and provided, and necessary payment for all associated fees has been made.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Please note that in all cases of transfers referred to in this section, there should not be any change or difference, or purported change or difference, in the beneficial owner of the underlying Class A ordinary share before and after transfer of ADSs trading on the NYSE to Class A ordinary shares trading on the Singapore Exchange.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may be charged with applicable fees by your broker or custodian in the U.S. Please note that the transfer process and/or fees payable are subject to change. For further information or copies of the forms, please contact the Company and the ADS Depositary directly. For the avoidance of doubt, all fees and taxes (including stamp duties) incurred during the transfer process shall be borne by the ADS holder. For the avoidance of doubt, no specific consent or approval by the Company will be required for the conversion and transfer of ADS on the NYSE to Class A ordinary shares for trading on the Singapore Exchange by shareholders and vice versa.</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H.Voting Instructions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ADS holders are not treated as shareholders and accordingly, do not have shareholder rights. As the ADS depositary holds the legal title to our Class A ordinary shares represented by the ADSs, ADS holders must rely on the ADS depositary to exercise the rights of a shareholder. The obligations of the ADS depositary, rights and obligations of the ADS holders, including processes related to the voting of the Class A ordinary shares underlying the ADSs, are governed by the conditions of the deposit agreement. Under the Cayman Islands law, every other person who has agreed to become a member of a Cayman Islands company and whose name is entered in the register of members of such company is considered a member. Accordingly, a NIO CDP depositor holding Class A ordinary shares through CDP would not be recognized as our shareholder under the laws of the Cayman Islands but would be appointed as a proxy of CDP (which is a registered shareholder), and have the right to attend general meetings of our shareholders and to cast any votes at such meetings.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Where applicable and/or required, we will coordinate with the Singapore share transfer agent to mail to NIO CDP depositors, in English, any notice of shareholders’ meetings, together with instruction form, or the Voting Instruction Form. The Voting Instruction Form would in turn be consolidated by the Singapore share transfer agent. NIO CDP depositors will be able to vote on such matters tabled for shareholders’ approval at the shareholders’ meetings by (i) attending the meetings and casting votes in person as a proxy appointed by CDP, or (ii) returning the Voting Instruction Form by the deadline to CDP or the Singapore share transfer agent, as the case may be.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NIO CDP depositors who wish to attend shareholders’ meetings and exercise their voting rights directly under their own names with regard to Class A ordinary shares beneficially owned by them, shall first convert their Class A ordinary shares to ADSs in accordance with the above section on “F. Mechanism for Conversion and Transfer of Class A Ordinary Shares Trading on the Singapore Exchange to ADSs for Trading on the NYSE.” Thereafter, they would need to cancel the ADSs and withdraw the underlying physical Class A ordinary share certificate in accordance with the above section on “D. Instructions for the Cancellation of ADS Traded on NYSE and Withdrawal of Physical Class A Ordinary Share Certificates,” and make appropriate arrangements to hold the shares directly prior to the record date for the shareholders’ meeting.</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I.ADS Depositary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Before the ADS depositary accepts deposits of Class A ordinary shares, delivers ADSs or permits withdrawal of Class A ordinary shares, the ADS depositary requires: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of satisfactory proof of the identity and genuineness of any signature or other information it deems necessary;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terms and procedures it may establish, from time to time, consistent with the deposit agreement, including completion and presentation of required transfer documents; and</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U.S. securities law requirements.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ADS depositary may refuse to deliver, transfer, or register issuances, transfers and cancellations of ADSs generally when the transfer books of the ADS depositary are closed, or at any time if the ADS depositary or our company determines it advisable to do so. In addition, procedures for delivery of Class A ordinary shares in CDP are subject to there being a sufficient number of Class A ordinary shares to facilitate a withdrawal from the ADR program directly into the CDP system. The Company, the ADS depositary and the CDP are not under any obligation to maintain or increase the number of Class A ordinary shares in the CDP system to facilitate such withdrawals.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affiliate of the Company (as defined in Rule 144(a)(1) of the Securities Act) can only deposit Class A ordinary shares into the ADR program in connection with a contemporaneous sale of such ADSs issued on deposit or related shares on CDP, should they cancel such ADSs and receive the underlying Class A ordinary shares.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9" w:name="PARTII_720597"/>
      <w:bookmarkStart w:id="100" w:name="_df63be79_97ab_4ed0_8e4a_e6e25c96cefa"/>
      <w:bookmarkEnd w:id="99"/>
      <w:bookmarkEnd w:id="100"/>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101" w:name="ITEM13DEFAULTSDIVIDENDARREARAGESANDDELIN"/>
      <w:bookmarkEnd w:id="101"/>
      <w:r>
        <w:rPr>
          <w:rFonts w:ascii="Times New Roman;Times;serif" w:hAnsi="Times New Roman;Times;serif"/>
          <w:b/>
          <w:sz w:val="20"/>
        </w:rPr>
        <w:t>ITEM 13.       DEFAULTS, DIVIDEND ARREARAGES AND DELINQUENCIES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None. </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02" w:name="ITEM14MATERIALMODIFICATIONSTOTHERIGHTSOF"/>
      <w:bookmarkStart w:id="103" w:name="_03159686_0ec4_4ee3_b4fa_883a93ac6fd3"/>
      <w:bookmarkEnd w:id="102"/>
      <w:bookmarkEnd w:id="103"/>
      <w:r>
        <w:rPr>
          <w:rFonts w:ascii="Times New Roman;Times;serif" w:hAnsi="Times New Roman;Times;serif"/>
          <w:b/>
          <w:sz w:val="20"/>
        </w:rPr>
        <w:t>ITEM 14.       MATERIAL MODIFICATIONS TO THE RIGHTS OF SECURITY HOLDERS AND USE OF PROCEEDS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Modifications to the Rights of Security Holders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See “Item 10. Additional Information—B. Memorandum and Articles of Association—Ordinary Shares” for a description of the rights of securities holders, which remain unchanged.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104" w:name="ITEM15CONTROLSANDPROCEDURES_980504"/>
      <w:bookmarkStart w:id="105" w:name="_269242e9_a64c_4dc7_b3e0_963ad8eb764b"/>
      <w:bookmarkEnd w:id="104"/>
      <w:bookmarkEnd w:id="105"/>
      <w:r>
        <w:rPr>
          <w:rFonts w:ascii="Times New Roman;Times;serif" w:hAnsi="Times New Roman;Times;serif"/>
          <w:b/>
          <w:sz w:val="20"/>
        </w:rPr>
        <w:t>ITEM 15.        CONTROLS AND PROCEDURES</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 Based upon that evaluation, our management, with the participation of our chief executive officer and chief financial officer, has concluded that, as of December 31, 2024, our disclosure controls and procedures were effective in ensuring that the information we are required to disclose in the reports that we file or submit under the Exchange Act is recorded, processed, summarized and reported, within the time periods specified in the SEC’s rules and forms, and that the information we are required to disclose in the reports that we file or submit under the Exchange Act is accumulated and communicated to our management, including our chief executive officer, as appropriate, to allow timely decisions regarding required disclosure.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Management’s Annual Report on Internal Control over Financial Reporting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defined in Rules 13a-15(f) and 15d-15(f) under the Securities Exchange Act of 1934, as amended. Our internal control over financial reporting is a process designed to provide reasonable assurance regarding the reliability of our financial reporting and the preparation of financial statements for external purposes in accordance with Generally Accepted Accounting Principles (GAAP) in the United States of America and includes those policies and procedures that (1) pertain to the maintenance of records that, in reasonable detail, accurately and fairly reflect the transactions and dispositions of the assets of our company; (2) provide reasonable assurance that transactions are recorded as necessary to permit preparation of consolidated financial statements in accordance with GAAP, and that receipts and expenditures of our company are being made only in accordance with authorizations of our management and directors; and (3) provide reasonable assurance regarding prevention or timely detection of the unauthorized acquisition, use or disposition of our company’s assets that could have a material effect on the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all potential misstatements. Also, projections of any evaluation of effectiveness to future periods are subject to the risks that controls may become inadequate because of changes in conditions, or that the degree of compliance with the policies or procedures may deteriorate.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required by Section 404 of the Sarbanes-Oxley Act of 2002 and related rules as promulgated by the SEC, our management including our Chief Executive Officer and Chief Financial Officer assessed the effectiveness of internal control over financial reporting as of December 31, 2024 using the criteria set forth in the report “Internal Control—Integrated Framework (2013)” published by the Committee of Sponsoring Organizations of the Treadway Commission. Based on this evaluation, the management concluded that our internal control over financial reporting was effective as of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required by Rule 13a-15(d), under the Exchange Act, our management, including our chief executive officer and our chief financial officer, also conducted an assessment of our internal control over financial reporting to determine whether any changes occurred during the period covered by this report have materially affected, or are reasonably likely to materially affect, our internal control over financial reporting. Based on that assessment, it has been determined that there has been no such change during the period covered by this annual report.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Attestation Report of the Registered Public Accounting Firm</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independent registered public accounting firm, PricewaterhouseCoopers Zhong Tian LLP, has audited the effectiveness of our company’s internal control over financial reporting as of December 31, 2024, as stated in its report, which appears on page F-2 of this annual report on Form 20-F.</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6" w:name="ITEM16_18215"/>
      <w:bookmarkStart w:id="107" w:name="_397cfbb5_7867_4cbf_ac7c_744d4afbbf8f"/>
      <w:bookmarkEnd w:id="106"/>
      <w:bookmarkEnd w:id="107"/>
      <w:r>
        <w:rPr>
          <w:rFonts w:ascii="Times New Roman;Times;serif" w:hAnsi="Times New Roman;Times;serif"/>
          <w:b/>
          <w:sz w:val="20"/>
        </w:rPr>
        <w:t>ITEM 16.         </w:t>
      </w:r>
    </w:p>
    <w:p>
      <w:pPr>
        <w:pStyle w:val="TextBody"/>
        <w:bidi w:val="0"/>
        <w:spacing w:before="0" w:after="240"/>
        <w:ind w:left="0" w:right="0" w:hanging="0"/>
        <w:jc w:val="left"/>
        <w:rPr>
          <w:rFonts w:ascii="Times New Roman;Times;serif" w:hAnsi="Times New Roman;Times;serif"/>
          <w:b/>
          <w:sz w:val="20"/>
        </w:rPr>
      </w:pPr>
      <w:bookmarkStart w:id="108" w:name="ITEM16AAUDITCOMMITTEEFINANCIALEXPERT_902"/>
      <w:bookmarkStart w:id="109" w:name="_81922614_cfb0_4811_9562_9b73e565caa7"/>
      <w:bookmarkEnd w:id="108"/>
      <w:bookmarkEnd w:id="109"/>
      <w:r>
        <w:rPr>
          <w:rFonts w:ascii="Times New Roman;Times;serif" w:hAnsi="Times New Roman;Times;serif"/>
          <w:b/>
          <w:sz w:val="20"/>
        </w:rPr>
        <w:t>ITEM 16A.       AUDIT COMMITTEE FINANCIAL EXPERT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board of directors has determined that Mr. Denny Ting Bun Lee, a member of our audit committee and independent director (under the standards set forth in Section 303A of the Corporate Governance Rules of the NYSE and Rule 10A-3 under the Securities Exchange Act of 1934), is an audit committee financial expert.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0" w:name="ITEM16BCODEOFETHICS_632986"/>
      <w:bookmarkStart w:id="111" w:name="_37990599_dcbc_4b58_9a11_4b47015bf675"/>
      <w:bookmarkEnd w:id="110"/>
      <w:bookmarkEnd w:id="111"/>
      <w:r>
        <w:rPr>
          <w:rFonts w:ascii="Times New Roman;Times;serif" w:hAnsi="Times New Roman;Times;serif"/>
          <w:b/>
          <w:sz w:val="20"/>
        </w:rPr>
        <w:t>ITEM 16B.       CODE OF ETHICS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adopted a code of ethics that applies to all of the directors, officers and employees of us and our subsidiaries, whether they work for us on a full-time, part-time, consultative, or temporary basis. Certain provisions of the code apply specifically to our chief executive officer, chief financial officer, senior finance officer, controller, senior vice presidents, vice presidents and any other persons who perform similar functions for us. We have posted a copy of our code of business conduct and ethics on our website at https://www.nio.com/policies/compliance-policies.</w:t>
      </w:r>
    </w:p>
    <w:p>
      <w:pPr>
        <w:pStyle w:val="TextBody"/>
        <w:bidi w:val="0"/>
        <w:spacing w:before="0" w:after="240"/>
        <w:ind w:left="0" w:right="0" w:hanging="0"/>
        <w:jc w:val="left"/>
        <w:rPr>
          <w:rFonts w:ascii="Times New Roman;Times;serif" w:hAnsi="Times New Roman;Times;serif"/>
          <w:b/>
          <w:sz w:val="20"/>
        </w:rPr>
      </w:pPr>
      <w:bookmarkStart w:id="112" w:name="ITEM16CPRINCIPALACCOUNTANTFEESANDSERVICE"/>
      <w:bookmarkStart w:id="113" w:name="_42706348_182b_4f0e_af0c_958e3f09ff3b"/>
      <w:bookmarkEnd w:id="112"/>
      <w:bookmarkEnd w:id="113"/>
      <w:r>
        <w:rPr>
          <w:rFonts w:ascii="Times New Roman;Times;serif" w:hAnsi="Times New Roman;Times;serif"/>
          <w:b/>
          <w:sz w:val="20"/>
        </w:rPr>
        <w:t>ITEM 16C.       PRINCIPAL ACCOUNTANT FEES AND SERVICES</w:t>
      </w:r>
    </w:p>
    <w:p>
      <w:pPr>
        <w:pStyle w:val="TextBody"/>
        <w:bidi w:val="0"/>
        <w:spacing w:before="0" w:after="240"/>
        <w:ind w:left="0" w:right="0" w:firstLine="720"/>
        <w:jc w:val="both"/>
        <w:rPr>
          <w:rFonts w:ascii="Times New Roman;Times;serif" w:hAnsi="Times New Roman;Times;serif"/>
          <w:sz w:val="20"/>
        </w:rPr>
      </w:pPr>
      <w:bookmarkStart w:id="114" w:name="_Hlk194488554"/>
      <w:bookmarkEnd w:id="114"/>
      <w:r>
        <w:rPr>
          <w:rFonts w:ascii="Times New Roman;Times;serif" w:hAnsi="Times New Roman;Times;serif"/>
          <w:sz w:val="20"/>
        </w:rPr>
        <w:t>The following table sets forth the aggregate fees by the categories specified below in connection with certain professional services rendered by PricewaterhouseCoopers Zhong Tian LLP and its affiliates, our principal external auditor, for the years indicated. We did not pay any other fees to our principal external auditors during the years indicated below.</w:t>
      </w:r>
    </w:p>
    <w:tbl>
      <w:tblPr>
        <w:tblW w:w="4662" w:type="dxa"/>
        <w:jc w:val="left"/>
        <w:tblInd w:w="0" w:type="dxa"/>
        <w:tblLayout w:type="fixed"/>
        <w:tblCellMar>
          <w:top w:w="0" w:type="dxa"/>
          <w:left w:w="0" w:type="dxa"/>
          <w:bottom w:w="0" w:type="dxa"/>
          <w:right w:w="0" w:type="dxa"/>
        </w:tblCellMar>
      </w:tblPr>
      <w:tblGrid>
        <w:gridCol w:w="1711"/>
        <w:gridCol w:w="326"/>
        <w:gridCol w:w="995"/>
        <w:gridCol w:w="480"/>
        <w:gridCol w:w="1150"/>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086485" cy="175260"/>
                      <wp:effectExtent l="0" t="0" r="0" b="0"/>
                      <wp:wrapNone/>
                      <wp:docPr id="116" name="Frame113"/>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17"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31825" cy="175260"/>
                      <wp:effectExtent l="0" t="0" r="0" b="0"/>
                      <wp:wrapNone/>
                      <wp:docPr id="118" name="Frame115"/>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04800" cy="175260"/>
                      <wp:effectExtent l="0" t="0" r="0" b="0"/>
                      <wp:wrapNone/>
                      <wp:docPr id="119" name="Frame116"/>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730250" cy="175260"/>
                      <wp:effectExtent l="0" t="0" r="0" b="0"/>
                      <wp:wrapNone/>
                      <wp:docPr id="120" name="Frame117"/>
                      <a:graphic xmlns:a="http://schemas.openxmlformats.org/drawingml/2006/main">
                        <a:graphicData uri="http://schemas.microsoft.com/office/word/2010/wordprocessingShape">
                          <wps:wsp>
                            <wps:cNvSpPr txBox="1"/>
                            <wps:spPr>
                              <a:xfrm>
                                <a:off x="0" y="0"/>
                                <a:ext cx="730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2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1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80" w:type="dxa"/>
            <w:tcBorders/>
            <w:vAlign w:val="center"/>
          </w:tcPr>
          <w:p>
            <w:pPr>
              <w:pStyle w:val="TableContents"/>
              <w:bidi w:val="0"/>
              <w:spacing w:before="0" w:after="0"/>
              <w:ind w:left="0" w:right="0" w:hanging="0"/>
              <w:jc w:val="left"/>
              <w:rPr/>
            </w:pPr>
            <w:r>
              <w:rPr/>
              <w:t>    </w:t>
            </w:r>
          </w:p>
        </w:tc>
        <w:tc>
          <w:tcPr>
            <w:tcW w:w="11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662"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1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25"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RMB thousands)</w:t>
            </w:r>
          </w:p>
        </w:tc>
      </w:tr>
      <w:tr>
        <w:trPr/>
        <w:tc>
          <w:tcPr>
            <w:tcW w:w="17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17,338</w:t>
            </w:r>
          </w:p>
        </w:tc>
        <w:tc>
          <w:tcPr>
            <w:tcW w:w="480" w:type="dxa"/>
            <w:tcBorders/>
            <w:shd w:fill="CCEEFF" w:val="clear"/>
            <w:vAlign w:val="center"/>
          </w:tcPr>
          <w:p>
            <w:pPr>
              <w:pStyle w:val="TableContents"/>
              <w:bidi w:val="0"/>
              <w:spacing w:before="0" w:after="0"/>
              <w:ind w:left="0" w:right="0" w:hanging="0"/>
              <w:jc w:val="left"/>
              <w:rPr/>
            </w:pPr>
            <w:r>
              <w:rPr/>
              <w:t> </w:t>
            </w:r>
          </w:p>
        </w:tc>
        <w:tc>
          <w:tcPr>
            <w:tcW w:w="11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13,830</w:t>
            </w:r>
          </w:p>
        </w:tc>
      </w:tr>
      <w:tr>
        <w:trPr/>
        <w:tc>
          <w:tcPr>
            <w:tcW w:w="171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Audit related fees</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pPr>
            <w:r>
              <w:rPr/>
              <w:t>—</w:t>
            </w:r>
          </w:p>
        </w:tc>
        <w:tc>
          <w:tcPr>
            <w:tcW w:w="480" w:type="dxa"/>
            <w:tcBorders/>
            <w:vAlign w:val="center"/>
          </w:tcPr>
          <w:p>
            <w:pPr>
              <w:pStyle w:val="TableContents"/>
              <w:bidi w:val="0"/>
              <w:spacing w:before="0" w:after="0"/>
              <w:ind w:left="0" w:right="0" w:hanging="0"/>
              <w:jc w:val="left"/>
              <w:rPr/>
            </w:pPr>
            <w:r>
              <w:rPr/>
              <w:t>​</w:t>
            </w:r>
          </w:p>
        </w:tc>
        <w:tc>
          <w:tcPr>
            <w:tcW w:w="1150" w:type="dxa"/>
            <w:tcBorders/>
            <w:vAlign w:val="center"/>
          </w:tcPr>
          <w:p>
            <w:pPr>
              <w:pStyle w:val="TableContents"/>
              <w:bidi w:val="0"/>
              <w:spacing w:before="0" w:after="0"/>
              <w:ind w:left="0" w:right="0" w:hanging="0"/>
              <w:jc w:val="right"/>
              <w:rPr/>
            </w:pPr>
            <w:r>
              <w:rPr/>
              <w:t>—</w:t>
            </w:r>
          </w:p>
        </w:tc>
      </w:tr>
      <w:tr>
        <w:trPr/>
        <w:tc>
          <w:tcPr>
            <w:tcW w:w="17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Tax fees</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3,488</w:t>
            </w:r>
          </w:p>
        </w:tc>
        <w:tc>
          <w:tcPr>
            <w:tcW w:w="480" w:type="dxa"/>
            <w:tcBorders/>
            <w:shd w:fill="CCEEFF" w:val="clear"/>
            <w:vAlign w:val="center"/>
          </w:tcPr>
          <w:p>
            <w:pPr>
              <w:pStyle w:val="TableContents"/>
              <w:bidi w:val="0"/>
              <w:spacing w:before="0" w:after="0"/>
              <w:ind w:left="0" w:right="0" w:hanging="0"/>
              <w:jc w:val="left"/>
              <w:rPr/>
            </w:pPr>
            <w:r>
              <w:rPr/>
              <w:t> </w:t>
            </w:r>
          </w:p>
        </w:tc>
        <w:tc>
          <w:tcPr>
            <w:tcW w:w="11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w:t>
            </w:r>
          </w:p>
        </w:tc>
      </w:tr>
      <w:tr>
        <w:trPr/>
        <w:tc>
          <w:tcPr>
            <w:tcW w:w="171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fees</w:t>
            </w:r>
            <w:r>
              <w:rPr>
                <w:rFonts w:ascii="Times New Roman;Times;serif" w:hAnsi="Times New Roman;Times;serif"/>
                <w:sz w:val="15"/>
              </w:rPr>
              <w:t>(4)</w:t>
            </w:r>
          </w:p>
        </w:tc>
        <w:tc>
          <w:tcPr>
            <w:tcW w:w="326" w:type="dxa"/>
            <w:tcBorders/>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w:t>
            </w:r>
          </w:p>
        </w:tc>
        <w:tc>
          <w:tcPr>
            <w:tcW w:w="480" w:type="dxa"/>
            <w:tcBorders/>
            <w:vAlign w:val="center"/>
          </w:tcPr>
          <w:p>
            <w:pPr>
              <w:pStyle w:val="TableContents"/>
              <w:bidi w:val="0"/>
              <w:spacing w:before="0" w:after="0"/>
              <w:ind w:left="0" w:right="0" w:hanging="0"/>
              <w:jc w:val="left"/>
              <w:rPr/>
            </w:pPr>
            <w:r>
              <w:rPr/>
              <w:t> </w:t>
            </w:r>
          </w:p>
        </w:tc>
        <w:tc>
          <w:tcPr>
            <w:tcW w:w="11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21,486</w:t>
            </w:r>
          </w:p>
        </w:tc>
        <w:tc>
          <w:tcPr>
            <w:tcW w:w="480" w:type="dxa"/>
            <w:tcBorders/>
            <w:shd w:fill="CCEEFF" w:val="clear"/>
            <w:vAlign w:val="center"/>
          </w:tcPr>
          <w:p>
            <w:pPr>
              <w:pStyle w:val="TableContents"/>
              <w:bidi w:val="0"/>
              <w:spacing w:before="0" w:after="0"/>
              <w:ind w:left="0" w:right="0" w:hanging="0"/>
              <w:jc w:val="left"/>
              <w:rPr/>
            </w:pPr>
            <w:r>
              <w:rPr/>
              <w:t> </w:t>
            </w:r>
          </w:p>
        </w:tc>
        <w:tc>
          <w:tcPr>
            <w:tcW w:w="115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15,699</w:t>
            </w:r>
          </w:p>
        </w:tc>
      </w:tr>
    </w:tbl>
    <w:p>
      <w:pPr>
        <w:pStyle w:val="TextBody"/>
        <w:bidi w:val="0"/>
        <w:spacing w:before="0" w:after="240"/>
        <w:ind w:left="0" w:right="0" w:hanging="0"/>
        <w:jc w:val="left"/>
        <w:rPr>
          <w:rFonts w:ascii="Times New Roman;Times;serif" w:hAnsi="Times New Roman;Times;serif"/>
          <w:sz w:val="16"/>
        </w:rPr>
      </w:pPr>
      <w:r>
        <w:rPr>
          <w:rFonts w:ascii="Times New Roman;Times;serif" w:hAnsi="Times New Roman;Times;serif"/>
          <w:sz w:val="16"/>
        </w:rPr>
        <w:t>Note:</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16"/>
              </w:rPr>
              <w:t>Audit fees” means the aggregate fees billed for professional services rendered by our principal external auditor, including the audits of our annual financial statements and our internal controls over financial reporting and the quarterly reviews of our condensed consolidated financial information, statutory audits for certain of our subsidiaries, and provision of comfort letters, consents and other professional services in relation to our equity and debt offering, Hong Kong listing and Singapore listing.</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0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16"/>
              </w:rPr>
              <w:t>Audit related fees” means the aggregate fees billed for professional services rendered by our principal external auditor that are reasonably related to the performance of the audit or review of our financial statements and are not reported under “Audit fees.”</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89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16"/>
              </w:rPr>
              <w:t>Tax fees” means the aggregate fees billed in each of the fiscal years listed for professional services rendered by our principal external auditor for tax compliance, tax advice and tax planning.</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988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16"/>
              </w:rPr>
              <w:t>All other fees” means the aggregate fees billed for professional services rendered by our principal external auditor associated with other advisory services.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policy of our audit committee is to pre-approve all audit and other services provided by PricewaterhouseCoopers Zhong Tian LLP and its affiliates, including audit services, tax services and other services described above, other than those for </w:t>
      </w:r>
      <w:r>
        <w:rPr>
          <w:rFonts w:ascii="Times New Roman;Times;serif" w:hAnsi="Times New Roman;Times;serif"/>
          <w:i/>
          <w:sz w:val="20"/>
        </w:rPr>
        <w:t>de minimis</w:t>
      </w:r>
      <w:r>
        <w:rPr>
          <w:rFonts w:ascii="Times New Roman;Times;serif" w:hAnsi="Times New Roman;Times;serif"/>
          <w:sz w:val="20"/>
        </w:rPr>
        <w:t xml:space="preserve"> services which are approved by the Audit Committee prior to the completion of the audit.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5" w:name="ITEM16DEXEMPTIONSFROMTHELISTINGSTANDARDS"/>
      <w:bookmarkStart w:id="116" w:name="_9321664b_bf30_465d_a013_a8b46ef0ac93"/>
      <w:bookmarkEnd w:id="115"/>
      <w:bookmarkEnd w:id="116"/>
      <w:r>
        <w:rPr>
          <w:rFonts w:ascii="Times New Roman;Times;serif" w:hAnsi="Times New Roman;Times;serif"/>
          <w:b/>
          <w:sz w:val="20"/>
        </w:rPr>
        <w:t>ITEM 16D.       EXEMPTIONS FROM THE LISTING STANDARDS FOR AUDIT COMMITTEES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7" w:name="ITEM16EPURCHASESOFEQUITYSECURITIESBYTHEI"/>
      <w:bookmarkStart w:id="118" w:name="_ea1c49a7_6d48_4f87_ba52_c2645e1a22f8"/>
      <w:bookmarkEnd w:id="117"/>
      <w:bookmarkEnd w:id="118"/>
      <w:r>
        <w:rPr>
          <w:rFonts w:ascii="Times New Roman;Times;serif" w:hAnsi="Times New Roman;Times;serif"/>
          <w:b/>
          <w:sz w:val="20"/>
        </w:rPr>
        <w:t>ITEM 16E.       PURCHASES OF EQUITY SECURITIES BY THE ISSUER AND AFFILIATED PURCHASERS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None.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9" w:name="ITEM16FCHANGEINREGISTRANTSCERTIFYINGACCO"/>
      <w:bookmarkStart w:id="120" w:name="_d990b3d7_e68f_44b6_99a5_0c1f5d3015ec"/>
      <w:bookmarkEnd w:id="119"/>
      <w:bookmarkEnd w:id="120"/>
      <w:r>
        <w:rPr>
          <w:rFonts w:ascii="Times New Roman;Times;serif" w:hAnsi="Times New Roman;Times;serif"/>
          <w:b/>
          <w:sz w:val="20"/>
        </w:rPr>
        <w:t>ITEM 16F.        CHANGE IN REGISTRANT’S CERTIFYING ACCOUNTANT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1" w:name="ITEM16GCORPORATEGOVERNANCE_15671"/>
      <w:bookmarkStart w:id="122" w:name="_6ef4c5bc_3795_46ed_93a4_ca4055e8af39"/>
      <w:bookmarkEnd w:id="121"/>
      <w:bookmarkEnd w:id="122"/>
      <w:r>
        <w:rPr>
          <w:rFonts w:ascii="Times New Roman;Times;serif" w:hAnsi="Times New Roman;Times;serif"/>
          <w:b/>
          <w:sz w:val="20"/>
        </w:rPr>
        <w:t>ITEM 16G.        CORPORATE GOVERNANCE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a Cayman Islands company listed on the New York Stock Exchange, we are subject to the NYSE corporate governance listing standards. However, NYSE rules permit a foreign private issuer like us to follow the corporate governance practices of its home country. Certain corporate governance practices in the Cayman Islands, which is our home country, may differ significantly from the NYSE corporate governance listing standards.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chosen to (i) rely on the home country exemption from Section 303A.01 of the NYSE Listed Company Manual, which requires a listed company to have a majority of independent directors, (ii) rely on the home country exemption from Section 303A.05 of the NYSE Listed Company Manual, which requires a listed company to have a compensation committee composed entirely of independent directors, and (iii) rely on the home country exemption from Section 303A.08 of the NYSE Listed Company Manual, which requires that shareholders be given the opportunity to vote on all equity-compensation plans and material revisions thereto. In these respects, and in such other respects where we choose to follow home country practice in the future, our shareholders may be afforded less protection than they otherwise would under the NYSE corporate governance listing standards applicable to U.S. domestic issuers. See “Item 3. Key Information—D. Risk Factors—Risks related to our ADSs and Class A Ordinary Shares—Our shareholders may face difficulties in protecting their interests, and ability to protect their rights through U.S. courts may be limited, because we are incorporated under Cayman Islands law.”</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Other than the home country practice described above, we are not aware of any significant differences between our corporate governance practices and those followed by U.S. domestic companies under the NYSE corporate governance listing standards.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3" w:name="ITEM16HMINESAFETYDISCLOSURE_996240"/>
      <w:bookmarkStart w:id="124" w:name="_5f3b041f_ad38_412b_8e95_dde970391951"/>
      <w:bookmarkEnd w:id="123"/>
      <w:bookmarkEnd w:id="124"/>
      <w:r>
        <w:rPr>
          <w:rFonts w:ascii="Times New Roman;Times;serif" w:hAnsi="Times New Roman;Times;serif"/>
          <w:b/>
          <w:sz w:val="20"/>
        </w:rPr>
        <w:t>ITEM 16H.        MINE SAFETY DISCLOSURE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bookmarkStart w:id="125" w:name="ITEM16IDISCLOSUREREGARDINGFOREIGN_94417"/>
      <w:bookmarkStart w:id="126" w:name="_b37a4077_d2d7_4276_b6ee_487fae708138"/>
      <w:bookmarkEnd w:id="125"/>
      <w:bookmarkEnd w:id="126"/>
      <w:r>
        <w:rPr>
          <w:rFonts w:ascii="Times New Roman;Times;serif" w:hAnsi="Times New Roman;Times;serif"/>
          <w:b/>
          <w:i w:val="false"/>
          <w:caps w:val="false"/>
          <w:smallCaps w:val="false"/>
          <w:sz w:val="20"/>
        </w:rPr>
        <w:t>ITEM 16I.</w:t>
      </w:r>
      <w:r>
        <w:rPr>
          <w:rFonts w:ascii="Times New Roman;Times;serif" w:hAnsi="Times New Roman;Times;serif"/>
          <w:b/>
          <w:sz w:val="20"/>
        </w:rPr>
        <w:t>DISCLOSURE REGARDING FOREIGN JURISDICTIONS THAT PREVENT INSPECTIONS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200" w:after="0"/>
        <w:ind w:left="0" w:right="0" w:hanging="0"/>
        <w:jc w:val="left"/>
        <w:rPr>
          <w:rFonts w:ascii="Times New Roman;Times;serif" w:hAnsi="Times New Roman;Times;serif"/>
          <w:b/>
          <w:sz w:val="20"/>
        </w:rPr>
      </w:pPr>
      <w:bookmarkStart w:id="127" w:name="ITEM16JINSIDERTRADINGPOLICIES_500942"/>
      <w:bookmarkStart w:id="128" w:name="_be0fb635_2308_430a_92a0_15e57ec7d029"/>
      <w:bookmarkStart w:id="129" w:name="_Toc161871262"/>
      <w:bookmarkEnd w:id="127"/>
      <w:bookmarkEnd w:id="128"/>
      <w:bookmarkEnd w:id="129"/>
      <w:r>
        <w:rPr>
          <w:rFonts w:ascii="Times New Roman;Times;serif" w:hAnsi="Times New Roman;Times;serif"/>
          <w:b/>
          <w:sz w:val="20"/>
        </w:rPr>
        <w:t>ITEM 16J. INSIDER TRADING POLICIES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Our board of directors has established insider trading policies and procedures to provide guidance on the purchases, sales, and other dispositions of our securities by our directors, officers, employees, and consultants, with the goal of promoting compliance with applicable laws, listing rules, and regulations relating to insider trading.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 Amended and Restated Statement of Policies Governing Material, Non-Public Information and the Prevention of Insider Trading is filed as Exhibit 11.2 to this annual report on Form 20-F.</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30" w:name="ITEM16KCYBERSECURITY_797065"/>
      <w:bookmarkStart w:id="131" w:name="_f7888329_6005_4e86_bdea_cf5841cdde72"/>
      <w:bookmarkEnd w:id="130"/>
      <w:bookmarkEnd w:id="131"/>
      <w:r>
        <w:rPr>
          <w:rFonts w:ascii="Times New Roman;Times;serif" w:hAnsi="Times New Roman;Times;serif"/>
          <w:b/>
          <w:sz w:val="20"/>
        </w:rPr>
        <w:t xml:space="preserve">ITEM 16K. CYBERSECURITY </w:t>
      </w:r>
    </w:p>
    <w:p>
      <w:pPr>
        <w:pStyle w:val="TextBody"/>
        <w:bidi w:val="0"/>
        <w:spacing w:before="200" w:after="200"/>
        <w:ind w:left="0" w:right="0" w:hanging="0"/>
        <w:jc w:val="both"/>
        <w:rPr>
          <w:rFonts w:ascii="Times New Roman;Times;serif" w:hAnsi="Times New Roman;Times;serif"/>
          <w:b/>
          <w:sz w:val="20"/>
        </w:rPr>
      </w:pPr>
      <w:r>
        <w:rPr>
          <w:rFonts w:ascii="Times New Roman;Times;serif" w:hAnsi="Times New Roman;Times;serif"/>
          <w:b/>
          <w:sz w:val="20"/>
        </w:rPr>
        <w:t>Cybersecurity Risk Management and Strategy</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We have implemented comprehensive cybersecurity risk assessment procedures to ensure effectiveness in cybersecurity management, strategy and governance and reporting cybersecurity risks. We have also integrated cybersecurity risk management into our overall enterprise risk management system.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have developed a comprehensive cybersecurity threat detection and defense system to address both internal and external threats. This system encompasses various levels, including network, host and application security and incorporates systematic security capabilities for threat protection, detection, monitoring, analysis, response, deception and countermeasures. We strive to manage cybersecurity risks and protect sensitive information through various means, such as technical safeguards, procedural requirements, an intensive program of monitoring on our corporate network, continuous testing of aspects of our security posture internally and with outside vendors, a robust incident response program and regular cybersecurity awareness training for employees. Our cybersecurity-related departments regularly monitor the security risk exposure of our apps, platforms and infrastructure to enable us to respond quickly to potential problems, including potential cybersecurity threats.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pStyle w:val="TextBody"/>
        <w:bidi w:val="0"/>
        <w:spacing w:before="200" w:after="200"/>
        <w:ind w:left="0" w:right="0" w:hanging="0"/>
        <w:jc w:val="both"/>
        <w:rPr>
          <w:rFonts w:ascii="Times New Roman;Times;serif" w:hAnsi="Times New Roman;Times;serif"/>
          <w:b/>
          <w:sz w:val="20"/>
        </w:rPr>
      </w:pPr>
      <w:r>
        <w:rPr>
          <w:rFonts w:ascii="Times New Roman;Times;serif" w:hAnsi="Times New Roman;Times;serif"/>
          <w:b/>
          <w:sz w:val="20"/>
        </w:rPr>
        <w:t>Cybersecurity Governance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Our board of directors is responsible for overseeing risks related to cybersecurity. Our board of directors shall (i) maintain oversight of the disclosure related to cybersecurity matters in current reports or periodic reports of our company, (ii) review updates to the status of any material cybersecurity incidents or material risks from cybersecurity threats to our company, and the disclosure issues, if any, presented by our management on a quarterly basis, and (iii) review disclosure concerning cybersecurity matters in our annual report on Form 20-F presented by our management.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At the management level, our CEO, CFO and the head of the departments in connection with cybersecurity-related matters, including our chief digital safety and security officer, who is an expert in cybersecurity with over 15 years of academic and industrial experience in security research and development, operations and management, are responsible for assessing, identifying and managing cybersecurity risks and monitoring the prevention, detection, mitigation, and remediation of cybersecurity incidents. Our CEO and CFO report to our board of directors (i) on a quarterly basis on updates to the status of any material cybersecurity incidents or material risks from cybersecurity threats to our company, and the disclosure issues, if any, and (ii) in connection with disclosure concerning cybersecurity matters in our annual report on Form 20-F.</w:t>
      </w:r>
    </w:p>
    <w:p>
      <w:pPr>
        <w:pStyle w:val="TextBody"/>
        <w:bidi w:val="0"/>
        <w:spacing w:before="200" w:after="0"/>
        <w:ind w:left="0" w:right="0" w:firstLine="720"/>
        <w:jc w:val="both"/>
        <w:rPr>
          <w:rFonts w:ascii="Times New Roman;Times;serif" w:hAnsi="Times New Roman;Times;serif"/>
          <w:sz w:val="20"/>
        </w:rPr>
      </w:pPr>
      <w:r>
        <w:rPr>
          <w:rFonts w:ascii="Times New Roman;Times;serif" w:hAnsi="Times New Roman;Times;serif"/>
          <w:sz w:val="20"/>
        </w:rPr>
        <w:t>If a cybersecurity incident occurs, our cybersecurity-related departments will promptly organize personnel for internal assessment. If it is further determined that the incident could potentially be a material cybersecurity event, the cybersecurity-related departments will promptly report the incident and assessment results to our CEO and CFO, and, to the extent appropriate, involve external legal counsels to provide advice. Our management shall prepare disclosure material on the cybersecurity incident for review and approval by our board of directors before it is disseminated to the public.</w:t>
      </w:r>
    </w:p>
    <w:p>
      <w:pPr>
        <w:pStyle w:val="TextBody"/>
        <w:bidi w:val="0"/>
        <w:spacing w:before="0" w:after="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132" w:name="PARTIII_669066"/>
      <w:bookmarkStart w:id="133" w:name="_99583c83_263d_4001_96d8_a107bee16351"/>
      <w:bookmarkEnd w:id="132"/>
      <w:bookmarkEnd w:id="133"/>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134" w:name="ITEM17FINANCIALSTATEMENTS_53801"/>
      <w:bookmarkEnd w:id="134"/>
      <w:r>
        <w:rPr>
          <w:rFonts w:ascii="Times New Roman;Times;serif" w:hAnsi="Times New Roman;Times;serif"/>
          <w:b/>
          <w:sz w:val="20"/>
        </w:rPr>
        <w:t>ITEM 17.       FINANCIAL STATEMENTS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elected to provide financial statements pursuant to “Item 18. Financial Statements.”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5" w:name="ITEM18FINANCIALSTATEMENTS_61780"/>
      <w:bookmarkStart w:id="136" w:name="_be1b24c4_ba68_47a8_82be_c8aaee165b7a"/>
      <w:bookmarkEnd w:id="135"/>
      <w:bookmarkEnd w:id="136"/>
      <w:r>
        <w:rPr>
          <w:rFonts w:ascii="Times New Roman;Times;serif" w:hAnsi="Times New Roman;Times;serif"/>
          <w:b/>
          <w:sz w:val="20"/>
        </w:rPr>
        <w:t>ITEM 18.       FINANCIAL STATEMENTS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consolidated financial statements of NIO Inc. and its subsidiaries and the related notes are included at the end of this annual report.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7" w:name="ITEM19EXHIBITS_846193"/>
      <w:bookmarkStart w:id="138" w:name="_ae25fd6e_8550_449c_a699_40f927d27740"/>
      <w:bookmarkEnd w:id="137"/>
      <w:bookmarkEnd w:id="138"/>
      <w:r>
        <w:rPr>
          <w:rFonts w:ascii="Times New Roman;Times;serif" w:hAnsi="Times New Roman;Times;serif"/>
          <w:b/>
          <w:sz w:val="20"/>
        </w:rPr>
        <w:t>ITEM 19.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85"/>
        <w:gridCol w:w="146"/>
        <w:gridCol w:w="9074"/>
      </w:tblGrid>
      <w:tr>
        <w:trPr/>
        <w:tc>
          <w:tcPr>
            <w:tcW w:w="985"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074" w:type="dxa"/>
            <w:tcBorders/>
            <w:vAlign w:val="center"/>
          </w:tcPr>
          <w:p>
            <w:pPr>
              <w:pStyle w:val="TableContents"/>
              <w:bidi w:val="0"/>
              <w:spacing w:before="0" w:after="0"/>
              <w:ind w:left="0" w:right="0" w:hanging="0"/>
              <w:jc w:val="left"/>
              <w:rPr/>
            </w:pPr>
            <w:r>
              <w:rPr/>
              <w:t>​</w:t>
            </w:r>
          </w:p>
        </w:tc>
      </w:tr>
      <w:tr>
        <w:trPr/>
        <w:tc>
          <w:tcPr>
            <w:tcW w:w="9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Number</w:t>
            </w:r>
          </w:p>
        </w:tc>
        <w:tc>
          <w:tcPr>
            <w:tcW w:w="146" w:type="dxa"/>
            <w:tcBorders/>
            <w:vAlign w:val="center"/>
          </w:tcPr>
          <w:p>
            <w:pPr>
              <w:pStyle w:val="TableContents"/>
              <w:bidi w:val="0"/>
              <w:spacing w:before="0" w:after="0"/>
              <w:ind w:left="0" w:right="0" w:hanging="0"/>
              <w:jc w:val="left"/>
              <w:rPr/>
            </w:pPr>
            <w:r>
              <w:rPr/>
              <w:t>​</w:t>
            </w:r>
          </w:p>
        </w:tc>
        <w:tc>
          <w:tcPr>
            <w:tcW w:w="90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Document</w:t>
            </w:r>
          </w:p>
        </w:tc>
      </w:tr>
      <w:tr>
        <w:trPr/>
        <w:tc>
          <w:tcPr>
            <w:tcW w:w="98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w:t>
            </w:r>
          </w:p>
        </w:tc>
        <w:tc>
          <w:tcPr>
            <w:tcW w:w="146" w:type="dxa"/>
            <w:tcBorders/>
            <w:vAlign w:val="center"/>
          </w:tcPr>
          <w:p>
            <w:pPr>
              <w:pStyle w:val="TableContents"/>
              <w:bidi w:val="0"/>
              <w:spacing w:before="0" w:after="0"/>
              <w:ind w:left="0" w:right="0" w:hanging="0"/>
              <w:jc w:val="left"/>
              <w:rPr/>
            </w:pPr>
            <w:r>
              <w:rPr/>
              <w:t> </w:t>
            </w:r>
          </w:p>
        </w:tc>
        <w:tc>
          <w:tcPr>
            <w:tcW w:w="9074" w:type="dxa"/>
            <w:tcBorders>
              <w:top w:val="single" w:sz="2" w:space="0" w:color="000000"/>
            </w:tcBorders>
            <w:tcMar>
              <w:top w:w="28" w:type="dxa"/>
            </w:tcMar>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Thirteenth Amended and Restated Memorandum and Articles of Association of the Registrant (incorporated herein by reference to Exhibit 3.1 to the current report on Form 6-K (File No. 001-38638), furnished with the SEC on  August 25, 2022)</w:t>
              </w:r>
            </w:hyperlink>
          </w:p>
        </w:tc>
      </w:tr>
      <w:tr>
        <w:trPr/>
        <w:tc>
          <w:tcPr>
            <w:tcW w:w="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146" w:type="dxa"/>
            <w:tcBorders/>
            <w:vAlign w:val="center"/>
          </w:tcPr>
          <w:p>
            <w:pPr>
              <w:pStyle w:val="TableContents"/>
              <w:bidi w:val="0"/>
              <w:spacing w:before="0" w:after="0"/>
              <w:ind w:left="0" w:right="0" w:hanging="0"/>
              <w:jc w:val="left"/>
              <w:rPr/>
            </w:pPr>
            <w:r>
              <w:rPr/>
              <w:t> </w:t>
            </w:r>
          </w:p>
        </w:tc>
        <w:tc>
          <w:tcPr>
            <w:tcW w:w="9074"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Registrant’s Specimen American Depositary Receipt (included in Exhibit 2.3)</w:t>
              </w:r>
            </w:hyperlink>
          </w:p>
        </w:tc>
      </w:tr>
      <w:tr>
        <w:trPr/>
        <w:tc>
          <w:tcPr>
            <w:tcW w:w="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146" w:type="dxa"/>
            <w:tcBorders/>
            <w:vAlign w:val="center"/>
          </w:tcPr>
          <w:p>
            <w:pPr>
              <w:pStyle w:val="TableContents"/>
              <w:bidi w:val="0"/>
              <w:spacing w:before="0" w:after="0"/>
              <w:ind w:left="0" w:right="0" w:hanging="0"/>
              <w:jc w:val="left"/>
              <w:rPr/>
            </w:pPr>
            <w:r>
              <w:rPr/>
              <w:t> </w:t>
            </w:r>
          </w:p>
        </w:tc>
        <w:tc>
          <w:tcPr>
            <w:tcW w:w="9074"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Registrant’s Specimen Certificate for Class A ordinary shares (incorporated herein by reference to Exhibit 4.2 to the registration statement on Form F-1 (File No. 333-226822), as amended, initially filed with the SEC on August 13, 2018)</w:t>
              </w:r>
            </w:hyperlink>
          </w:p>
        </w:tc>
      </w:tr>
      <w:tr>
        <w:trPr/>
        <w:tc>
          <w:tcPr>
            <w:tcW w:w="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w:t>
            </w:r>
          </w:p>
        </w:tc>
        <w:tc>
          <w:tcPr>
            <w:tcW w:w="146" w:type="dxa"/>
            <w:tcBorders/>
            <w:vAlign w:val="center"/>
          </w:tcPr>
          <w:p>
            <w:pPr>
              <w:pStyle w:val="TableContents"/>
              <w:bidi w:val="0"/>
              <w:spacing w:before="0" w:after="0"/>
              <w:ind w:left="0" w:right="0" w:hanging="0"/>
              <w:jc w:val="left"/>
              <w:rPr/>
            </w:pPr>
            <w:r>
              <w:rPr/>
              <w:t> </w:t>
            </w:r>
          </w:p>
        </w:tc>
        <w:tc>
          <w:tcPr>
            <w:tcW w:w="9074"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Deposit Agreement, dated as of September 11, 2018, among the Registrant, Deutsche Bank Trust Company Americas, as the depositary, and all holders and beneficial owners of the American Depositary Shares issued thereunder (incorporated herein by reference to Exhibit 4.3 to the registration statement on Form S-8 (File No. 333-229952), filed with the SEC on February 28, 2019)</w:t>
              </w:r>
            </w:hyperlink>
          </w:p>
        </w:tc>
      </w:tr>
      <w:tr>
        <w:trPr/>
        <w:tc>
          <w:tcPr>
            <w:tcW w:w="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2.4</w:t>
            </w:r>
          </w:p>
        </w:tc>
        <w:tc>
          <w:tcPr>
            <w:tcW w:w="146" w:type="dxa"/>
            <w:tcBorders/>
            <w:vAlign w:val="center"/>
          </w:tcPr>
          <w:p>
            <w:pPr>
              <w:pStyle w:val="TableContents"/>
              <w:bidi w:val="0"/>
              <w:spacing w:before="0" w:after="0"/>
              <w:ind w:left="0" w:right="0" w:hanging="0"/>
              <w:jc w:val="left"/>
              <w:rPr/>
            </w:pPr>
            <w:r>
              <w:rPr/>
              <w:t> </w:t>
            </w:r>
          </w:p>
        </w:tc>
        <w:tc>
          <w:tcPr>
            <w:tcW w:w="9074"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Fifth Amended and Restated Shareholders’ Agreement, dated as of November 10, 2017, among the Registrant and the other signatories thereto (incorporated herein by reference to Exhibit 4.4 to the registration statement on Form F-1 (File No. 333-226822), as amended, initially filed with the SEC on August 13, 2018)</w:t>
              </w:r>
            </w:hyperlink>
          </w:p>
        </w:tc>
      </w:tr>
      <w:tr>
        <w:trPr/>
        <w:tc>
          <w:tcPr>
            <w:tcW w:w="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w:t>
            </w:r>
          </w:p>
        </w:tc>
        <w:tc>
          <w:tcPr>
            <w:tcW w:w="146" w:type="dxa"/>
            <w:tcBorders/>
            <w:vAlign w:val="center"/>
          </w:tcPr>
          <w:p>
            <w:pPr>
              <w:pStyle w:val="TableContents"/>
              <w:bidi w:val="0"/>
              <w:spacing w:before="0" w:after="0"/>
              <w:ind w:left="0" w:right="0" w:hanging="0"/>
              <w:jc w:val="left"/>
              <w:rPr/>
            </w:pPr>
            <w:r>
              <w:rPr/>
              <w:t>​</w:t>
            </w:r>
          </w:p>
        </w:tc>
        <w:tc>
          <w:tcPr>
            <w:tcW w:w="9074" w:type="dxa"/>
            <w:tcBorders/>
            <w:vAlign w:val="center"/>
          </w:tcPr>
          <w:p>
            <w:pPr>
              <w:pStyle w:val="TableContents"/>
              <w:bidi w:val="0"/>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Description of American Depositary Shares of the Registrant (incorporated herein by reference to Exhibit 2.5 to the Company’s Report on Form 20-F (File No. 001-38638), filed with the SEC on May 14, 2020)</w:t>
              </w:r>
            </w:hyperlink>
          </w:p>
        </w:tc>
      </w:tr>
      <w:tr>
        <w:trPr/>
        <w:tc>
          <w:tcPr>
            <w:tcW w:w="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2.6</w:t>
            </w:r>
          </w:p>
        </w:tc>
        <w:tc>
          <w:tcPr>
            <w:tcW w:w="146" w:type="dxa"/>
            <w:tcBorders/>
            <w:vAlign w:val="center"/>
          </w:tcPr>
          <w:p>
            <w:pPr>
              <w:pStyle w:val="TableContents"/>
              <w:bidi w:val="0"/>
              <w:spacing w:before="0" w:after="0"/>
              <w:ind w:left="0" w:right="0" w:hanging="0"/>
              <w:jc w:val="left"/>
              <w:rPr/>
            </w:pPr>
            <w:r>
              <w:rPr/>
              <w:t>​</w:t>
            </w:r>
          </w:p>
        </w:tc>
        <w:tc>
          <w:tcPr>
            <w:tcW w:w="9074" w:type="dxa"/>
            <w:tcBorders/>
            <w:vAlign w:val="center"/>
          </w:tcPr>
          <w:p>
            <w:pPr>
              <w:pStyle w:val="TableContents"/>
              <w:bidi w:val="0"/>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Description of Class A ordinary shares of the Registrant (incorporated herein by reference to Exhibit 2.6 to the Company’s Report on Form 20-F (File No. 001-38638), filed with the SEC on May 14, 2020)</w:t>
              </w:r>
            </w:hyperlink>
          </w:p>
        </w:tc>
      </w:tr>
      <w:tr>
        <w:trPr/>
        <w:tc>
          <w:tcPr>
            <w:tcW w:w="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146" w:type="dxa"/>
            <w:tcBorders/>
            <w:vAlign w:val="center"/>
          </w:tcPr>
          <w:p>
            <w:pPr>
              <w:pStyle w:val="TableContents"/>
              <w:bidi w:val="0"/>
              <w:spacing w:before="0" w:after="0"/>
              <w:ind w:left="0" w:right="0" w:hanging="0"/>
              <w:jc w:val="left"/>
              <w:rPr/>
            </w:pPr>
            <w:r>
              <w:rPr/>
              <w:t> </w:t>
            </w:r>
          </w:p>
        </w:tc>
        <w:tc>
          <w:tcPr>
            <w:tcW w:w="9074" w:type="dxa"/>
            <w:tcBorders/>
            <w:vAlign w:val="center"/>
          </w:tcPr>
          <w:p>
            <w:pPr>
              <w:pStyle w:val="TableContents"/>
              <w:bidi w:val="0"/>
              <w:spacing w:before="0" w:after="0"/>
              <w:ind w:left="0" w:right="0" w:hanging="0"/>
              <w:jc w:val="both"/>
              <w:rPr/>
            </w:pPr>
            <w:hyperlink r:id="rId12">
              <w:r>
                <w:rPr>
                  <w:rStyle w:val="InternetLink"/>
                  <w:rFonts w:ascii="Times New Roman;Times;serif" w:hAnsi="Times New Roman;Times;serif"/>
                  <w:b w:val="false"/>
                  <w:i w:val="false"/>
                  <w:caps w:val="false"/>
                  <w:smallCaps w:val="false"/>
                  <w:sz w:val="20"/>
                </w:rPr>
                <w:t>2015 Share Incentive Plan (incorporated herein by reference to Exhibit 10.1 to the registration statement on Form F-1 (File No. 333-226822), as amended, initially filed with the SEC on August 13, 2018)</w:t>
              </w:r>
            </w:hyperlink>
          </w:p>
        </w:tc>
      </w:tr>
      <w:tr>
        <w:trPr/>
        <w:tc>
          <w:tcPr>
            <w:tcW w:w="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146" w:type="dxa"/>
            <w:tcBorders/>
            <w:vAlign w:val="center"/>
          </w:tcPr>
          <w:p>
            <w:pPr>
              <w:pStyle w:val="TableContents"/>
              <w:bidi w:val="0"/>
              <w:spacing w:before="0" w:after="0"/>
              <w:ind w:left="0" w:right="0" w:hanging="0"/>
              <w:jc w:val="left"/>
              <w:rPr/>
            </w:pPr>
            <w:r>
              <w:rPr/>
              <w:t> </w:t>
            </w:r>
          </w:p>
        </w:tc>
        <w:tc>
          <w:tcPr>
            <w:tcW w:w="9074" w:type="dxa"/>
            <w:tcBorders/>
            <w:vAlign w:val="center"/>
          </w:tcPr>
          <w:p>
            <w:pPr>
              <w:pStyle w:val="TableContents"/>
              <w:bidi w:val="0"/>
              <w:spacing w:before="0" w:after="0"/>
              <w:ind w:left="0" w:right="0" w:hanging="0"/>
              <w:jc w:val="both"/>
              <w:rPr/>
            </w:pPr>
            <w:hyperlink r:id="rId13">
              <w:r>
                <w:rPr>
                  <w:rStyle w:val="InternetLink"/>
                  <w:rFonts w:ascii="Times New Roman;Times;serif" w:hAnsi="Times New Roman;Times;serif"/>
                  <w:b w:val="false"/>
                  <w:i w:val="false"/>
                  <w:caps w:val="false"/>
                  <w:smallCaps w:val="false"/>
                  <w:sz w:val="20"/>
                </w:rPr>
                <w:t>2016 Share Incentive Plan (incorporated herein by reference to Exhibit 10.2 to the registration statement on Form F-1 (File No. 333-226822), as amended, initially filed with the SEC on August 13, 2018)</w:t>
              </w:r>
            </w:hyperlink>
          </w:p>
        </w:tc>
      </w:tr>
      <w:tr>
        <w:trPr/>
        <w:tc>
          <w:tcPr>
            <w:tcW w:w="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146" w:type="dxa"/>
            <w:tcBorders/>
            <w:vAlign w:val="center"/>
          </w:tcPr>
          <w:p>
            <w:pPr>
              <w:pStyle w:val="TableContents"/>
              <w:bidi w:val="0"/>
              <w:spacing w:before="0" w:after="0"/>
              <w:ind w:left="0" w:right="0" w:hanging="0"/>
              <w:jc w:val="left"/>
              <w:rPr/>
            </w:pPr>
            <w:r>
              <w:rPr/>
              <w:t> </w:t>
            </w:r>
          </w:p>
        </w:tc>
        <w:tc>
          <w:tcPr>
            <w:tcW w:w="9074" w:type="dxa"/>
            <w:tcBorders/>
            <w:vAlign w:val="center"/>
          </w:tcPr>
          <w:p>
            <w:pPr>
              <w:pStyle w:val="TableContents"/>
              <w:bidi w:val="0"/>
              <w:spacing w:before="0" w:after="0"/>
              <w:ind w:left="0" w:right="0" w:hanging="0"/>
              <w:jc w:val="both"/>
              <w:rPr/>
            </w:pPr>
            <w:hyperlink r:id="rId14">
              <w:r>
                <w:rPr>
                  <w:rStyle w:val="InternetLink"/>
                  <w:rFonts w:ascii="Times New Roman;Times;serif" w:hAnsi="Times New Roman;Times;serif"/>
                  <w:b w:val="false"/>
                  <w:i w:val="false"/>
                  <w:caps w:val="false"/>
                  <w:smallCaps w:val="false"/>
                  <w:sz w:val="20"/>
                </w:rPr>
                <w:t>2017 Share Incentive Plan (incorporated herein by reference to Exhibit 10.3 to the registration statement on Form F-1 (File No. 333-226822), as amended, initially filed with the SEC on August 13, 2018)</w:t>
              </w:r>
            </w:hyperlink>
          </w:p>
        </w:tc>
      </w:tr>
      <w:tr>
        <w:trPr/>
        <w:tc>
          <w:tcPr>
            <w:tcW w:w="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146" w:type="dxa"/>
            <w:tcBorders/>
            <w:vAlign w:val="center"/>
          </w:tcPr>
          <w:p>
            <w:pPr>
              <w:pStyle w:val="TableContents"/>
              <w:bidi w:val="0"/>
              <w:spacing w:before="0" w:after="0"/>
              <w:ind w:left="0" w:right="0" w:hanging="0"/>
              <w:jc w:val="left"/>
              <w:rPr/>
            </w:pPr>
            <w:r>
              <w:rPr/>
              <w:t> </w:t>
            </w:r>
          </w:p>
        </w:tc>
        <w:tc>
          <w:tcPr>
            <w:tcW w:w="9074" w:type="dxa"/>
            <w:tcBorders/>
            <w:vAlign w:val="center"/>
          </w:tcPr>
          <w:p>
            <w:pPr>
              <w:pStyle w:val="TableContents"/>
              <w:bidi w:val="0"/>
              <w:spacing w:before="0" w:after="0"/>
              <w:ind w:left="0" w:right="0" w:hanging="0"/>
              <w:jc w:val="both"/>
              <w:rPr/>
            </w:pPr>
            <w:hyperlink r:id="rId15">
              <w:r>
                <w:rPr>
                  <w:rStyle w:val="InternetLink"/>
                  <w:rFonts w:ascii="Times New Roman;Times;serif" w:hAnsi="Times New Roman;Times;serif"/>
                  <w:b w:val="false"/>
                  <w:i w:val="false"/>
                  <w:caps w:val="false"/>
                  <w:smallCaps w:val="false"/>
                  <w:sz w:val="20"/>
                </w:rPr>
                <w:t>2018 Share Incentive Plan (incorporated herein by reference to Exhibit 10.4 to the registration statement on Form F-1 (File No. 333-226822), as amended, initially filed with the SEC on August 13, 2018)</w:t>
              </w:r>
            </w:hyperlink>
          </w:p>
        </w:tc>
      </w:tr>
      <w:tr>
        <w:trPr/>
        <w:tc>
          <w:tcPr>
            <w:tcW w:w="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w:t>
            </w:r>
          </w:p>
        </w:tc>
        <w:tc>
          <w:tcPr>
            <w:tcW w:w="146" w:type="dxa"/>
            <w:tcBorders/>
            <w:vAlign w:val="center"/>
          </w:tcPr>
          <w:p>
            <w:pPr>
              <w:pStyle w:val="TableContents"/>
              <w:bidi w:val="0"/>
              <w:spacing w:before="0" w:after="0"/>
              <w:ind w:left="0" w:right="0" w:hanging="0"/>
              <w:jc w:val="left"/>
              <w:rPr/>
            </w:pPr>
            <w:r>
              <w:rPr/>
              <w:t>​</w:t>
            </w:r>
          </w:p>
        </w:tc>
        <w:tc>
          <w:tcPr>
            <w:tcW w:w="9074" w:type="dxa"/>
            <w:tcBorders/>
            <w:vAlign w:val="center"/>
          </w:tcPr>
          <w:p>
            <w:pPr>
              <w:pStyle w:val="TableContents"/>
              <w:bidi w:val="0"/>
              <w:spacing w:before="0" w:after="0"/>
              <w:ind w:left="0" w:right="0" w:hanging="0"/>
              <w:jc w:val="both"/>
              <w:rPr/>
            </w:pPr>
            <w:hyperlink r:id="rId16">
              <w:r>
                <w:rPr>
                  <w:rStyle w:val="InternetLink"/>
                  <w:rFonts w:ascii="Times New Roman;Times;serif" w:hAnsi="Times New Roman;Times;serif"/>
                  <w:b w:val="false"/>
                  <w:i w:val="false"/>
                  <w:caps w:val="false"/>
                  <w:smallCaps w:val="false"/>
                  <w:sz w:val="20"/>
                </w:rPr>
                <w:t>2024 Share Incentive Plan (incorporated herein by reference to Exhibit 99.1 to the Company’s Current Report on Form 6-K (File No. 001-38638), filed with the SEC on February 7, 2024)</w:t>
              </w:r>
            </w:hyperlink>
          </w:p>
        </w:tc>
      </w:tr>
      <w:tr>
        <w:trPr/>
        <w:tc>
          <w:tcPr>
            <w:tcW w:w="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4.6</w:t>
            </w:r>
          </w:p>
        </w:tc>
        <w:tc>
          <w:tcPr>
            <w:tcW w:w="146" w:type="dxa"/>
            <w:tcBorders/>
            <w:vAlign w:val="center"/>
          </w:tcPr>
          <w:p>
            <w:pPr>
              <w:pStyle w:val="TableContents"/>
              <w:bidi w:val="0"/>
              <w:spacing w:before="0" w:after="0"/>
              <w:ind w:left="0" w:right="0" w:hanging="0"/>
              <w:jc w:val="left"/>
              <w:rPr/>
            </w:pPr>
            <w:r>
              <w:rPr/>
              <w:t> </w:t>
            </w:r>
          </w:p>
        </w:tc>
        <w:tc>
          <w:tcPr>
            <w:tcW w:w="9074" w:type="dxa"/>
            <w:tcBorders/>
            <w:vAlign w:val="center"/>
          </w:tcPr>
          <w:p>
            <w:pPr>
              <w:pStyle w:val="TableContents"/>
              <w:bidi w:val="0"/>
              <w:spacing w:before="0" w:after="0"/>
              <w:ind w:left="0" w:right="0" w:hanging="0"/>
              <w:jc w:val="both"/>
              <w:rPr/>
            </w:pPr>
            <w:hyperlink r:id="rId17">
              <w:r>
                <w:rPr>
                  <w:rStyle w:val="InternetLink"/>
                  <w:rFonts w:ascii="Times New Roman;Times;serif" w:hAnsi="Times New Roman;Times;serif"/>
                  <w:b w:val="false"/>
                  <w:i w:val="false"/>
                  <w:caps w:val="false"/>
                  <w:smallCaps w:val="false"/>
                  <w:sz w:val="20"/>
                </w:rPr>
                <w:t>Form of Indemnification Agreement, between the Registrant and its directors and executive officers (incorporated herein by reference to Exhibit 10.5 to the registration statement on Form F-1 (File No. 333-226822), as amended, initially filed with the SEC on August 13, 2018)</w:t>
              </w:r>
            </w:hyperlink>
          </w:p>
        </w:tc>
      </w:tr>
      <w:tr>
        <w:trPr/>
        <w:tc>
          <w:tcPr>
            <w:tcW w:w="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4.7</w:t>
            </w:r>
          </w:p>
        </w:tc>
        <w:tc>
          <w:tcPr>
            <w:tcW w:w="146" w:type="dxa"/>
            <w:tcBorders/>
            <w:vAlign w:val="center"/>
          </w:tcPr>
          <w:p>
            <w:pPr>
              <w:pStyle w:val="TableContents"/>
              <w:bidi w:val="0"/>
              <w:spacing w:before="0" w:after="0"/>
              <w:ind w:left="0" w:right="0" w:hanging="0"/>
              <w:jc w:val="left"/>
              <w:rPr/>
            </w:pPr>
            <w:r>
              <w:rPr/>
              <w:t> </w:t>
            </w:r>
          </w:p>
        </w:tc>
        <w:tc>
          <w:tcPr>
            <w:tcW w:w="9074" w:type="dxa"/>
            <w:tcBorders/>
            <w:vAlign w:val="center"/>
          </w:tcPr>
          <w:p>
            <w:pPr>
              <w:pStyle w:val="TableContents"/>
              <w:bidi w:val="0"/>
              <w:spacing w:before="0" w:after="0"/>
              <w:ind w:left="0" w:right="0" w:hanging="0"/>
              <w:jc w:val="both"/>
              <w:rPr/>
            </w:pPr>
            <w:hyperlink r:id="rId18">
              <w:r>
                <w:rPr>
                  <w:rStyle w:val="InternetLink"/>
                  <w:rFonts w:ascii="Times New Roman;Times;serif" w:hAnsi="Times New Roman;Times;serif"/>
                  <w:b w:val="false"/>
                  <w:i w:val="false"/>
                  <w:caps w:val="false"/>
                  <w:smallCaps w:val="false"/>
                  <w:sz w:val="20"/>
                </w:rPr>
                <w:t>Form of Employment Agreement, between the Registrant and its executive officers (Non-PRC citizens) (incorporated herein by reference to Exhibit 10.6 to the registration statement on Form F-1 (File No. 333-226822), as amended, initially filed with the SEC on August 13, 2018)</w:t>
              </w:r>
            </w:hyperlink>
          </w:p>
        </w:tc>
      </w:tr>
      <w:tr>
        <w:trPr/>
        <w:tc>
          <w:tcPr>
            <w:tcW w:w="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4.8</w:t>
            </w:r>
          </w:p>
        </w:tc>
        <w:tc>
          <w:tcPr>
            <w:tcW w:w="146" w:type="dxa"/>
            <w:tcBorders/>
            <w:vAlign w:val="center"/>
          </w:tcPr>
          <w:p>
            <w:pPr>
              <w:pStyle w:val="TableContents"/>
              <w:bidi w:val="0"/>
              <w:spacing w:before="0" w:after="0"/>
              <w:ind w:left="0" w:right="0" w:hanging="0"/>
              <w:jc w:val="left"/>
              <w:rPr/>
            </w:pPr>
            <w:r>
              <w:rPr/>
              <w:t> </w:t>
            </w:r>
          </w:p>
        </w:tc>
        <w:tc>
          <w:tcPr>
            <w:tcW w:w="9074" w:type="dxa"/>
            <w:tcBorders/>
            <w:vAlign w:val="center"/>
          </w:tcPr>
          <w:p>
            <w:pPr>
              <w:pStyle w:val="TableContents"/>
              <w:bidi w:val="0"/>
              <w:spacing w:before="0" w:after="0"/>
              <w:ind w:left="0" w:right="0" w:hanging="0"/>
              <w:jc w:val="both"/>
              <w:rPr/>
            </w:pPr>
            <w:hyperlink r:id="rId19">
              <w:r>
                <w:rPr>
                  <w:rStyle w:val="InternetLink"/>
                  <w:rFonts w:ascii="Times New Roman;Times;serif" w:hAnsi="Times New Roman;Times;serif"/>
                  <w:b w:val="false"/>
                  <w:i w:val="false"/>
                  <w:caps w:val="false"/>
                  <w:smallCaps w:val="false"/>
                  <w:sz w:val="20"/>
                </w:rPr>
                <w:t>Form of Employment Agreement, between the Registrant and its executive officers (PRC citizens) (incorporated herein by reference to Exhibit 10.7 to the registration statement on Form F-1 (File No. 333-226822), as amended, initially filed with the SEC on August 13, 2018)</w:t>
              </w:r>
            </w:hyperlink>
            <w:r>
              <w:rPr>
                <w:rFonts w:ascii="Times New Roman;Times;serif" w:hAnsi="Times New Roman;Times;serif"/>
                <w:sz w:val="20"/>
              </w:rPr>
              <w:t xml:space="preserve"> </w:t>
            </w:r>
          </w:p>
        </w:tc>
      </w:tr>
      <w:tr>
        <w:trPr/>
        <w:tc>
          <w:tcPr>
            <w:tcW w:w="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4.9</w:t>
            </w:r>
          </w:p>
        </w:tc>
        <w:tc>
          <w:tcPr>
            <w:tcW w:w="146" w:type="dxa"/>
            <w:tcBorders/>
            <w:vAlign w:val="center"/>
          </w:tcPr>
          <w:p>
            <w:pPr>
              <w:pStyle w:val="TableContents"/>
              <w:bidi w:val="0"/>
              <w:spacing w:before="0" w:after="0"/>
              <w:ind w:left="0" w:right="0" w:hanging="0"/>
              <w:jc w:val="left"/>
              <w:rPr/>
            </w:pPr>
            <w:r>
              <w:rPr/>
              <w:t> </w:t>
            </w:r>
          </w:p>
        </w:tc>
        <w:tc>
          <w:tcPr>
            <w:tcW w:w="9074" w:type="dxa"/>
            <w:tcBorders/>
            <w:vAlign w:val="center"/>
          </w:tcPr>
          <w:p>
            <w:pPr>
              <w:pStyle w:val="TableContents"/>
              <w:bidi w:val="0"/>
              <w:spacing w:before="0" w:after="0"/>
              <w:ind w:left="0" w:right="0" w:hanging="0"/>
              <w:jc w:val="both"/>
              <w:rPr/>
            </w:pPr>
            <w:hyperlink r:id="rId20">
              <w:r>
                <w:rPr>
                  <w:rStyle w:val="InternetLink"/>
                  <w:rFonts w:ascii="Times New Roman;Times;serif" w:hAnsi="Times New Roman;Times;serif"/>
                  <w:b w:val="false"/>
                  <w:i w:val="false"/>
                  <w:caps w:val="false"/>
                  <w:smallCaps w:val="false"/>
                  <w:sz w:val="20"/>
                </w:rPr>
                <w:t>English translation of Power of Attorney, dated as of April 12, 2021, executed by the shareholders of Beijing NIO, Beijing NIO and Shanghai NIO (incorporated herein by reference to Exhibit 4.10 to the Company’s Report on Form 20-F (File No. 001-38638), filed with the SEC on April 29, 2022)</w:t>
              </w:r>
            </w:hyperlink>
          </w:p>
        </w:tc>
      </w:tr>
      <w:tr>
        <w:trPr/>
        <w:tc>
          <w:tcPr>
            <w:tcW w:w="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4.10</w:t>
            </w:r>
          </w:p>
        </w:tc>
        <w:tc>
          <w:tcPr>
            <w:tcW w:w="146" w:type="dxa"/>
            <w:tcBorders/>
            <w:vAlign w:val="center"/>
          </w:tcPr>
          <w:p>
            <w:pPr>
              <w:pStyle w:val="TableContents"/>
              <w:bidi w:val="0"/>
              <w:spacing w:before="0" w:after="0"/>
              <w:ind w:left="0" w:right="0" w:hanging="0"/>
              <w:jc w:val="left"/>
              <w:rPr/>
            </w:pPr>
            <w:r>
              <w:rPr/>
              <w:t> </w:t>
            </w:r>
          </w:p>
        </w:tc>
        <w:tc>
          <w:tcPr>
            <w:tcW w:w="9074" w:type="dxa"/>
            <w:tcBorders/>
            <w:vAlign w:val="center"/>
          </w:tcPr>
          <w:p>
            <w:pPr>
              <w:pStyle w:val="TableContents"/>
              <w:bidi w:val="0"/>
              <w:spacing w:before="0" w:after="0"/>
              <w:ind w:left="0" w:right="0" w:hanging="0"/>
              <w:jc w:val="both"/>
              <w:rPr/>
            </w:pPr>
            <w:hyperlink r:id="rId21">
              <w:r>
                <w:rPr>
                  <w:rStyle w:val="InternetLink"/>
                  <w:rFonts w:ascii="Times New Roman;Times;serif" w:hAnsi="Times New Roman;Times;serif"/>
                  <w:b w:val="false"/>
                  <w:i w:val="false"/>
                  <w:caps w:val="false"/>
                  <w:smallCaps w:val="false"/>
                  <w:sz w:val="20"/>
                </w:rPr>
                <w:t>English translation of Loan Agreements, dated April 12, 2021, between shareholders of Beijing NIO and Shanghai NIO (incorporated herein by reference to Exhibit 4.11 to the Company’s Report on Form 20-F (File No. 001-38638), filed with the SEC on April 29, 2022)</w:t>
              </w:r>
            </w:hyperlink>
          </w:p>
        </w:tc>
      </w:tr>
      <w:tr>
        <w:trPr/>
        <w:tc>
          <w:tcPr>
            <w:tcW w:w="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4.11</w:t>
            </w:r>
          </w:p>
        </w:tc>
        <w:tc>
          <w:tcPr>
            <w:tcW w:w="146" w:type="dxa"/>
            <w:tcBorders/>
            <w:vAlign w:val="center"/>
          </w:tcPr>
          <w:p>
            <w:pPr>
              <w:pStyle w:val="TableContents"/>
              <w:bidi w:val="0"/>
              <w:spacing w:before="0" w:after="0"/>
              <w:ind w:left="0" w:right="0" w:hanging="0"/>
              <w:jc w:val="left"/>
              <w:rPr/>
            </w:pPr>
            <w:r>
              <w:rPr/>
              <w:t> </w:t>
            </w:r>
          </w:p>
        </w:tc>
        <w:tc>
          <w:tcPr>
            <w:tcW w:w="9074" w:type="dxa"/>
            <w:tcBorders/>
            <w:vAlign w:val="center"/>
          </w:tcPr>
          <w:p>
            <w:pPr>
              <w:pStyle w:val="TableContents"/>
              <w:bidi w:val="0"/>
              <w:spacing w:before="0" w:after="0"/>
              <w:ind w:left="0" w:right="0" w:hanging="0"/>
              <w:jc w:val="both"/>
              <w:rPr/>
            </w:pPr>
            <w:hyperlink r:id="rId22">
              <w:r>
                <w:rPr>
                  <w:rStyle w:val="InternetLink"/>
                  <w:rFonts w:ascii="Times New Roman;Times;serif" w:hAnsi="Times New Roman;Times;serif"/>
                  <w:b w:val="false"/>
                  <w:i w:val="false"/>
                  <w:caps w:val="false"/>
                  <w:smallCaps w:val="false"/>
                  <w:sz w:val="20"/>
                </w:rPr>
                <w:t>English translation of Equity Pledge Agreements, dated as of April 12, 2021, among shareholders of Beijing NIO, Beijing NIO and Shanghai NIO (incorporated herein by reference to Exhibit 4.12 to the Company’s Report on Form 20-F (File No. 001-38638), filed with the SEC on April 29, 2022)</w:t>
              </w:r>
            </w:hyperlink>
            <w:r>
              <w:rPr>
                <w:rFonts w:ascii="Times New Roman;Times;serif" w:hAnsi="Times New Roman;Times;serif"/>
                <w:sz w:val="20"/>
              </w:rPr>
              <w:t xml:space="preserve"> </w:t>
            </w:r>
          </w:p>
        </w:tc>
      </w:tr>
      <w:tr>
        <w:trPr/>
        <w:tc>
          <w:tcPr>
            <w:tcW w:w="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4.12</w:t>
            </w:r>
          </w:p>
        </w:tc>
        <w:tc>
          <w:tcPr>
            <w:tcW w:w="146" w:type="dxa"/>
            <w:tcBorders/>
            <w:vAlign w:val="center"/>
          </w:tcPr>
          <w:p>
            <w:pPr>
              <w:pStyle w:val="TableContents"/>
              <w:bidi w:val="0"/>
              <w:spacing w:before="0" w:after="0"/>
              <w:ind w:left="0" w:right="0" w:hanging="0"/>
              <w:jc w:val="left"/>
              <w:rPr/>
            </w:pPr>
            <w:r>
              <w:rPr/>
              <w:t> </w:t>
            </w:r>
          </w:p>
        </w:tc>
        <w:tc>
          <w:tcPr>
            <w:tcW w:w="9074" w:type="dxa"/>
            <w:tcBorders/>
            <w:vAlign w:val="center"/>
          </w:tcPr>
          <w:p>
            <w:pPr>
              <w:pStyle w:val="TableContents"/>
              <w:bidi w:val="0"/>
              <w:spacing w:before="0" w:after="0"/>
              <w:ind w:left="0" w:right="0" w:hanging="0"/>
              <w:jc w:val="both"/>
              <w:rPr/>
            </w:pPr>
            <w:hyperlink r:id="rId23">
              <w:r>
                <w:rPr>
                  <w:rStyle w:val="InternetLink"/>
                  <w:rFonts w:ascii="Times New Roman;Times;serif" w:hAnsi="Times New Roman;Times;serif"/>
                  <w:b w:val="false"/>
                  <w:i w:val="false"/>
                  <w:caps w:val="false"/>
                  <w:smallCaps w:val="false"/>
                  <w:sz w:val="20"/>
                </w:rPr>
                <w:t>English translation of Exclusive Business Cooperation Agreement, dated as of April 12, 2021, between Beijing NIO and Shanghai NIO (incorporated herein by reference to Exhibit 4.13 to the Company’s Report on Form 20-F (File No. 001-38638), filed with the SEC on April 29, 2022)</w:t>
              </w:r>
            </w:hyperlink>
          </w:p>
        </w:tc>
      </w:tr>
      <w:tr>
        <w:trPr/>
        <w:tc>
          <w:tcPr>
            <w:tcW w:w="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4.13</w:t>
            </w:r>
          </w:p>
        </w:tc>
        <w:tc>
          <w:tcPr>
            <w:tcW w:w="146" w:type="dxa"/>
            <w:tcBorders/>
            <w:vAlign w:val="center"/>
          </w:tcPr>
          <w:p>
            <w:pPr>
              <w:pStyle w:val="TableContents"/>
              <w:bidi w:val="0"/>
              <w:spacing w:before="0" w:after="0"/>
              <w:ind w:left="0" w:right="0" w:hanging="0"/>
              <w:jc w:val="left"/>
              <w:rPr/>
            </w:pPr>
            <w:r>
              <w:rPr/>
              <w:t> </w:t>
            </w:r>
          </w:p>
        </w:tc>
        <w:tc>
          <w:tcPr>
            <w:tcW w:w="9074" w:type="dxa"/>
            <w:tcBorders/>
            <w:vAlign w:val="center"/>
          </w:tcPr>
          <w:p>
            <w:pPr>
              <w:pStyle w:val="TableContents"/>
              <w:bidi w:val="0"/>
              <w:spacing w:before="0" w:after="0"/>
              <w:ind w:left="0" w:right="0" w:hanging="0"/>
              <w:jc w:val="both"/>
              <w:rPr/>
            </w:pPr>
            <w:hyperlink r:id="rId24">
              <w:r>
                <w:rPr>
                  <w:rStyle w:val="InternetLink"/>
                  <w:rFonts w:ascii="Times New Roman;Times;serif" w:hAnsi="Times New Roman;Times;serif"/>
                  <w:b w:val="false"/>
                  <w:i w:val="false"/>
                  <w:caps w:val="false"/>
                  <w:smallCaps w:val="false"/>
                  <w:sz w:val="20"/>
                </w:rPr>
                <w:t>English translation of Exclusive Option Agreements, dated as of April 12, 2021, among shareholders of Beijing NIO, Beijing NIO and Shanghai NIO (incorporated herein by reference to Exhibit 4.14 to the Company’s Report on Form 20-F (File No. 001-38638), filed with the SEC on April 29, 2022)</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04"/>
        <w:gridCol w:w="146"/>
        <w:gridCol w:w="9555"/>
      </w:tblGrid>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4.14</w:t>
            </w:r>
          </w:p>
        </w:tc>
        <w:tc>
          <w:tcPr>
            <w:tcW w:w="146"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both"/>
              <w:rPr/>
            </w:pPr>
            <w:hyperlink r:id="rId25">
              <w:r>
                <w:rPr>
                  <w:rStyle w:val="InternetLink"/>
                  <w:rFonts w:ascii="Times New Roman;Times;serif" w:hAnsi="Times New Roman;Times;serif"/>
                  <w:b w:val="false"/>
                  <w:i w:val="false"/>
                  <w:caps w:val="false"/>
                  <w:smallCaps w:val="false"/>
                  <w:sz w:val="20"/>
                </w:rPr>
                <w:t>English translation of Confirmation and Undertaking Letters, dated as of April 12, 2021, executed by shareholders of Beijing NIO (incorporated herein by reference to Exhibit 4.15 to the Company’s Report on Form 20-F (File No. 001-38638), filed with the SEC on April 29, 2022)</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4.15</w:t>
            </w:r>
          </w:p>
        </w:tc>
        <w:tc>
          <w:tcPr>
            <w:tcW w:w="146"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both"/>
              <w:rPr/>
            </w:pPr>
            <w:hyperlink r:id="rId26">
              <w:r>
                <w:rPr>
                  <w:rStyle w:val="InternetLink"/>
                  <w:rFonts w:ascii="Times New Roman;Times;serif" w:hAnsi="Times New Roman;Times;serif"/>
                  <w:b w:val="false"/>
                  <w:i w:val="false"/>
                  <w:caps w:val="false"/>
                  <w:smallCaps w:val="false"/>
                  <w:sz w:val="20"/>
                </w:rPr>
                <w:t>English translation of Consent Letters, dated as of April 12, 2021, executed by the spouses of the shareholders of Beijing NIO (incorporated herein by reference to Exhibit 4.16 to the Company’s Report on Form 20-F (File No. 001-38638), filed with the SEC on April 29, 2022)</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4.16</w:t>
            </w:r>
          </w:p>
        </w:tc>
        <w:tc>
          <w:tcPr>
            <w:tcW w:w="146" w:type="dxa"/>
            <w:tcBorders/>
            <w:vAlign w:val="center"/>
          </w:tcPr>
          <w:p>
            <w:pPr>
              <w:pStyle w:val="TableContents"/>
              <w:bidi w:val="0"/>
              <w:spacing w:before="0" w:after="0"/>
              <w:ind w:left="0" w:right="0" w:hanging="0"/>
              <w:jc w:val="left"/>
              <w:rPr/>
            </w:pPr>
            <w:r>
              <w:rPr/>
              <w:t> </w:t>
            </w:r>
          </w:p>
        </w:tc>
        <w:tc>
          <w:tcPr>
            <w:tcW w:w="9555" w:type="dxa"/>
            <w:tcBorders/>
            <w:vAlign w:val="center"/>
          </w:tcPr>
          <w:p>
            <w:pPr>
              <w:pStyle w:val="TableContents"/>
              <w:bidi w:val="0"/>
              <w:spacing w:before="0" w:after="0"/>
              <w:ind w:left="0" w:right="0" w:hanging="0"/>
              <w:jc w:val="both"/>
              <w:rPr/>
            </w:pPr>
            <w:hyperlink r:id="rId27">
              <w:r>
                <w:rPr>
                  <w:rStyle w:val="InternetLink"/>
                  <w:rFonts w:ascii="Times New Roman;Times;serif" w:hAnsi="Times New Roman;Times;serif"/>
                  <w:b w:val="false"/>
                  <w:i w:val="false"/>
                  <w:caps w:val="false"/>
                  <w:smallCaps w:val="false"/>
                  <w:sz w:val="20"/>
                </w:rPr>
                <w:t>Deposit Agreement for Restricted Securities, dated as of February 4, 2019, among the Registrant, Deutsche Bank Trust Company Americas, as the depositary, and all holders and beneficial owners of the American Depositary Shares issued thereunder (incorporated herein by reference to Exhibit 4.24 to the Company’s Report on Form 20-F (File No. 001-38638), filed with the SEC on April 2, 2019)</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4.17</w:t>
            </w:r>
          </w:p>
        </w:tc>
        <w:tc>
          <w:tcPr>
            <w:tcW w:w="146"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both"/>
              <w:rPr/>
            </w:pPr>
            <w:hyperlink r:id="rId28">
              <w:r>
                <w:rPr>
                  <w:rStyle w:val="InternetLink"/>
                  <w:rFonts w:ascii="Times New Roman;Times;serif" w:hAnsi="Times New Roman;Times;serif"/>
                  <w:b w:val="false"/>
                  <w:i w:val="false"/>
                  <w:caps w:val="false"/>
                  <w:smallCaps w:val="false"/>
                  <w:sz w:val="20"/>
                </w:rPr>
                <w:t>English translation of Investment Agreement, dated April 29, 2020, among Hefei Construction Investment Holdings (Group) Co., Ltd., the Registrant, Nio Nextev Limited, NIO Power Express Limited, NIO (Anhui) Holding Co., Ltd. and other parties thereto (incorporated herein by reference to Exhibit 4.35 to the Company’s Report on Form 20-F (File No. 001-38638), filed with the SEC on May 14, 2020)</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4.18</w:t>
            </w:r>
          </w:p>
        </w:tc>
        <w:tc>
          <w:tcPr>
            <w:tcW w:w="146"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both"/>
              <w:rPr/>
            </w:pPr>
            <w:hyperlink r:id="rId29">
              <w:r>
                <w:rPr>
                  <w:rStyle w:val="InternetLink"/>
                  <w:rFonts w:ascii="Times New Roman;Times;serif" w:hAnsi="Times New Roman;Times;serif"/>
                  <w:b w:val="false"/>
                  <w:i w:val="false"/>
                  <w:caps w:val="false"/>
                  <w:smallCaps w:val="false"/>
                  <w:sz w:val="20"/>
                </w:rPr>
                <w:t>English translation of Amendment and Supplementary Agreement to Investment Agreement, dated May 29, 2020, among Hefei Construction Investment Holdings (Group) Co., Ltd., the Registrant, Nio Nextev Limited, NIO Power Express Limited, NIO (Anhui) Holding Co., Ltd. and other parties thereto (incorporated herein by reference to Exhibit 99.1 to the Company’s Current Report on Form 6-K (File No. 001-38638), furnished with the SEC on June 9, 2020)</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4.19</w:t>
            </w:r>
          </w:p>
        </w:tc>
        <w:tc>
          <w:tcPr>
            <w:tcW w:w="146"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both"/>
              <w:rPr/>
            </w:pPr>
            <w:hyperlink r:id="rId30">
              <w:r>
                <w:rPr>
                  <w:rStyle w:val="InternetLink"/>
                  <w:rFonts w:ascii="Times New Roman;Times;serif" w:hAnsi="Times New Roman;Times;serif"/>
                  <w:b w:val="false"/>
                  <w:i w:val="false"/>
                  <w:caps w:val="false"/>
                  <w:smallCaps w:val="false"/>
                  <w:sz w:val="20"/>
                </w:rPr>
                <w:t>English translation of Amendment and Supplementary Agreement II to Investment Agreement, dated June 18, 2020, among Hefei Construction Investment Holdings (Group) Co., Ltd., the Registrant, Nio Nextev Limited, NIO Power Express Limited, NIO (Anhui) Holding Co., Ltd. and other parties thereto (incorporated herein by reference to Exhibit 99.1 to the Company’s Current Report on Form 6 - K (File No. 001 - 38638), furnished with the SEC on June 30, 2020)</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4.20</w:t>
            </w:r>
          </w:p>
        </w:tc>
        <w:tc>
          <w:tcPr>
            <w:tcW w:w="146"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both"/>
              <w:rPr/>
            </w:pPr>
            <w:hyperlink r:id="rId31">
              <w:r>
                <w:rPr>
                  <w:rStyle w:val="InternetLink"/>
                  <w:rFonts w:ascii="Times New Roman;Times;serif" w:hAnsi="Times New Roman;Times;serif"/>
                  <w:b w:val="false"/>
                  <w:i w:val="false"/>
                  <w:caps w:val="false"/>
                  <w:smallCaps w:val="false"/>
                  <w:sz w:val="20"/>
                </w:rPr>
                <w:t>Indenture, dated as of January 15, 2021, by and between the Registrant, as issuer, and Deutsche Bank Trust Company Americas, as trustee, constituting US$750 million 0.00% Convertible Senior Notes due 2026 (incorporated herein by reference to Exhibit 4.39 to the Company’s Report on Form 20-F (File No. 001-38638), filed with the SEC on April 6, 2021)</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4.21</w:t>
            </w:r>
          </w:p>
        </w:tc>
        <w:tc>
          <w:tcPr>
            <w:tcW w:w="146"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both"/>
              <w:rPr/>
            </w:pPr>
            <w:hyperlink r:id="rId32">
              <w:r>
                <w:rPr>
                  <w:rStyle w:val="InternetLink"/>
                  <w:rFonts w:ascii="Times New Roman;Times;serif" w:hAnsi="Times New Roman;Times;serif"/>
                  <w:b w:val="false"/>
                  <w:i w:val="false"/>
                  <w:caps w:val="false"/>
                  <w:smallCaps w:val="false"/>
                  <w:sz w:val="20"/>
                </w:rPr>
                <w:t>Form of 0.00% Convertible Senior Notes due 2026 (included in Exhibit 4.20)</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4.22</w:t>
            </w:r>
          </w:p>
        </w:tc>
        <w:tc>
          <w:tcPr>
            <w:tcW w:w="146"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both"/>
              <w:rPr/>
            </w:pPr>
            <w:hyperlink r:id="rId33">
              <w:r>
                <w:rPr>
                  <w:rStyle w:val="InternetLink"/>
                  <w:rFonts w:ascii="Times New Roman;Times;serif" w:hAnsi="Times New Roman;Times;serif"/>
                  <w:b w:val="false"/>
                  <w:i w:val="false"/>
                  <w:caps w:val="false"/>
                  <w:smallCaps w:val="false"/>
                  <w:sz w:val="20"/>
                </w:rPr>
                <w:t>Indenture, dated as of January 15, 2021, by and between the Registrant, as issuer, and Deutsche Bank Trust Company Americas, as trustee, constituting US$750 million 0.50% Convertible Senior Notes due 2027 (incorporated herein by reference to Exhibit 4.41 to the Company’s Report on Form 20-F (File No. 001-38638), filed with the SEC on April 6, 2021)</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4.23</w:t>
            </w:r>
          </w:p>
        </w:tc>
        <w:tc>
          <w:tcPr>
            <w:tcW w:w="146"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both"/>
              <w:rPr/>
            </w:pPr>
            <w:hyperlink r:id="rId34">
              <w:r>
                <w:rPr>
                  <w:rStyle w:val="InternetLink"/>
                  <w:rFonts w:ascii="Times New Roman;Times;serif" w:hAnsi="Times New Roman;Times;serif"/>
                  <w:b w:val="false"/>
                  <w:i w:val="false"/>
                  <w:caps w:val="false"/>
                  <w:smallCaps w:val="false"/>
                  <w:sz w:val="20"/>
                </w:rPr>
                <w:t>Form of 0.50% Convertible Senior Notes due 2027 (included in Exhibit 4.22)</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4.24†</w:t>
            </w:r>
          </w:p>
        </w:tc>
        <w:tc>
          <w:tcPr>
            <w:tcW w:w="146"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both"/>
              <w:rPr/>
            </w:pPr>
            <w:hyperlink r:id="rId35">
              <w:r>
                <w:rPr>
                  <w:rStyle w:val="InternetLink"/>
                  <w:rFonts w:ascii="Times New Roman;Times;serif" w:hAnsi="Times New Roman;Times;serif"/>
                  <w:b w:val="false"/>
                  <w:i w:val="false"/>
                  <w:caps w:val="false"/>
                  <w:smallCaps w:val="false"/>
                  <w:sz w:val="20"/>
                </w:rPr>
                <w:t>English translation of Renewal Joint Manufacturing Agreement, by and between the Registrant, Anhui Jianghuai Automobile Co., Ltd. and Jianglai Advanced Manufacturing Technology (Anhui) Co., Ltd., dated May 22, 2021 (incorporated herein by reference to Exhibit 4.45 to the Company’s Report on Form 20-F (File No. 001-38638), filed with the SEC on April 29, 2022)</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4.25†</w:t>
            </w:r>
          </w:p>
        </w:tc>
        <w:tc>
          <w:tcPr>
            <w:tcW w:w="146"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both"/>
              <w:rPr/>
            </w:pPr>
            <w:hyperlink r:id="rId36">
              <w:r>
                <w:rPr>
                  <w:rStyle w:val="InternetLink"/>
                  <w:rFonts w:ascii="Times New Roman;Times;serif" w:hAnsi="Times New Roman;Times;serif"/>
                  <w:b w:val="false"/>
                  <w:i w:val="false"/>
                  <w:caps w:val="false"/>
                  <w:smallCaps w:val="false"/>
                  <w:sz w:val="20"/>
                </w:rPr>
                <w:t>English translation of Manufacturing Cooperation Agreement, by and among NIO Technology (Anhui) Co., Ltd., NIO (Anhui) Co., Ltd., and Anhui Jianghuai Automobile Co., Ltd. dated September 2022 (incorporated by reference to Exhibit 4.46 of the Company’s Report on Form 20 - F (File No. 001 - 38638), filed with the SEC on April 28, 2023)</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4.26</w:t>
            </w:r>
          </w:p>
        </w:tc>
        <w:tc>
          <w:tcPr>
            <w:tcW w:w="146"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both"/>
              <w:rPr/>
            </w:pPr>
            <w:hyperlink r:id="rId37">
              <w:r>
                <w:rPr>
                  <w:rStyle w:val="InternetLink"/>
                  <w:rFonts w:ascii="Times New Roman;Times;serif" w:hAnsi="Times New Roman;Times;serif"/>
                  <w:b w:val="false"/>
                  <w:i w:val="false"/>
                  <w:caps w:val="false"/>
                  <w:smallCaps w:val="false"/>
                  <w:sz w:val="20"/>
                </w:rPr>
                <w:t>English translation of NIO Park (Phase I) Assets Transfer Agreement and its supplementary agreement, each dated December 23, 2022, executed by and between NIO (Anhui) Co., Ltd. and Anhui Jianghuai Automobile Co., Ltd. (incorporated by reference to Exhibit 4.47 of the Company’s Report on Form 20 - F (File No. 001 - 38638), filed with the SEC on April 28, 2023)</w:t>
              </w:r>
            </w:hyperlink>
            <w:r>
              <w:rPr>
                <w:rFonts w:ascii="Times New Roman;Times;serif" w:hAnsi="Times New Roman;Times;serif"/>
                <w:sz w:val="20"/>
              </w:rPr>
              <w:t xml:space="preserve"> </w:t>
            </w:r>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4.27</w:t>
            </w:r>
          </w:p>
        </w:tc>
        <w:tc>
          <w:tcPr>
            <w:tcW w:w="146"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both"/>
              <w:rPr/>
            </w:pPr>
            <w:hyperlink r:id="rId38">
              <w:r>
                <w:rPr>
                  <w:rStyle w:val="InternetLink"/>
                  <w:rFonts w:ascii="Times New Roman;Times;serif" w:hAnsi="Times New Roman;Times;serif"/>
                  <w:b w:val="false"/>
                  <w:i w:val="false"/>
                  <w:caps w:val="false"/>
                  <w:smallCaps w:val="false"/>
                  <w:sz w:val="20"/>
                </w:rPr>
                <w:t>English translation of Power of Attorney, dated November 30, 2022, executed by the shareholders of Anhui NIO AT, Anhui NIO AT and Anhui NIO AD. (incorporated by reference to Exhibit 4.48 of the Company’s Report on Form 20 - F (File No. 001 - 38638), filed with the SEC on April 28, 2023)</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4.28</w:t>
            </w:r>
          </w:p>
        </w:tc>
        <w:tc>
          <w:tcPr>
            <w:tcW w:w="146"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both"/>
              <w:rPr/>
            </w:pPr>
            <w:hyperlink r:id="rId39">
              <w:r>
                <w:rPr>
                  <w:rStyle w:val="InternetLink"/>
                  <w:rFonts w:ascii="Times New Roman;Times;serif" w:hAnsi="Times New Roman;Times;serif"/>
                  <w:b w:val="false"/>
                  <w:i w:val="false"/>
                  <w:caps w:val="false"/>
                  <w:smallCaps w:val="false"/>
                  <w:sz w:val="20"/>
                </w:rPr>
                <w:t>English translation of Loan Agreements, dated November 30, 2022, between shareholders of Anhui NIO AT and Anhui NIO AD (incorporated by reference to Exhibit 4.49 of the Company’s Report on Form 20 - F (File No. 001 - 38638), filed with the SEC on April 28, 2023)</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4.29</w:t>
            </w:r>
          </w:p>
        </w:tc>
        <w:tc>
          <w:tcPr>
            <w:tcW w:w="146"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both"/>
              <w:rPr/>
            </w:pPr>
            <w:hyperlink r:id="rId40">
              <w:r>
                <w:rPr>
                  <w:rStyle w:val="InternetLink"/>
                  <w:rFonts w:ascii="Times New Roman;Times;serif" w:hAnsi="Times New Roman;Times;serif"/>
                  <w:b w:val="false"/>
                  <w:i w:val="false"/>
                  <w:caps w:val="false"/>
                  <w:smallCaps w:val="false"/>
                  <w:sz w:val="20"/>
                </w:rPr>
                <w:t>English translation of Equity Pledge Agreements, dated November 30, 2022, among shareholders of Anhui NIO AT, Anhui NIO AT and Anhui NIO AD (incorporated by reference to Exhibit 4.50 of the Company’s Report on Form 20-F (File No. 001-38638), filed with the SEC on April 28, 2023)</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16"/>
        <w:gridCol w:w="109"/>
        <w:gridCol w:w="9580"/>
      </w:tblGrid>
      <w:tr>
        <w:trPr/>
        <w:tc>
          <w:tcPr>
            <w:tcW w:w="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4.30</w:t>
            </w:r>
          </w:p>
        </w:tc>
        <w:tc>
          <w:tcPr>
            <w:tcW w:w="109"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both"/>
              <w:rPr/>
            </w:pPr>
            <w:hyperlink r:id="rId41">
              <w:r>
                <w:rPr>
                  <w:rStyle w:val="InternetLink"/>
                  <w:rFonts w:ascii="Times New Roman;Times;serif" w:hAnsi="Times New Roman;Times;serif"/>
                  <w:b w:val="false"/>
                  <w:i w:val="false"/>
                  <w:caps w:val="false"/>
                  <w:smallCaps w:val="false"/>
                  <w:sz w:val="20"/>
                </w:rPr>
                <w:t>English translation of Exclusive Business Cooperation Agreement, dated November 30, 2022, between Anhui NIO AT and Anhui NIO AD (incorporated by reference to Exhibit 4.51 of the Company’s Report on Form 20-F (File No. 001-38638), filed with the SEC on April 28, 2023)</w:t>
              </w:r>
            </w:hyperlink>
          </w:p>
        </w:tc>
      </w:tr>
      <w:tr>
        <w:trPr/>
        <w:tc>
          <w:tcPr>
            <w:tcW w:w="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4.31</w:t>
            </w:r>
          </w:p>
        </w:tc>
        <w:tc>
          <w:tcPr>
            <w:tcW w:w="109"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both"/>
              <w:rPr/>
            </w:pPr>
            <w:hyperlink r:id="rId42">
              <w:r>
                <w:rPr>
                  <w:rStyle w:val="InternetLink"/>
                  <w:rFonts w:ascii="Times New Roman;Times;serif" w:hAnsi="Times New Roman;Times;serif"/>
                  <w:b w:val="false"/>
                  <w:i w:val="false"/>
                  <w:caps w:val="false"/>
                  <w:smallCaps w:val="false"/>
                  <w:sz w:val="20"/>
                </w:rPr>
                <w:t>English translation of Exclusive Option Agreements, dated November 30, 2022, among shareholders of Anhui NIO AT, Anhui NIO AT and Anhui NIO AD (incorporated by reference to Exhibit 4.52 of the Company’s Report on Form 20 - F (File No. 001 - 38638), filed with the SEC on April 28, 2023)</w:t>
              </w:r>
            </w:hyperlink>
          </w:p>
        </w:tc>
      </w:tr>
      <w:tr>
        <w:trPr/>
        <w:tc>
          <w:tcPr>
            <w:tcW w:w="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4.32</w:t>
            </w:r>
          </w:p>
        </w:tc>
        <w:tc>
          <w:tcPr>
            <w:tcW w:w="109"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both"/>
              <w:rPr/>
            </w:pPr>
            <w:hyperlink r:id="rId43">
              <w:r>
                <w:rPr>
                  <w:rStyle w:val="InternetLink"/>
                  <w:rFonts w:ascii="Times New Roman;Times;serif" w:hAnsi="Times New Roman;Times;serif"/>
                  <w:b w:val="false"/>
                  <w:i w:val="false"/>
                  <w:caps w:val="false"/>
                  <w:smallCaps w:val="false"/>
                  <w:sz w:val="20"/>
                </w:rPr>
                <w:t>English translation of Confirmation and Undertaking Letters, dated November 30, 2022, executed by shareholders of Anhui NIO AT (incorporated by reference to Exhibit 4.53 of the Company’s Report on Form 20 - F (File No. 001 - 38638), filed with the SEC on April 28, 2023)</w:t>
              </w:r>
            </w:hyperlink>
          </w:p>
        </w:tc>
      </w:tr>
      <w:tr>
        <w:trPr/>
        <w:tc>
          <w:tcPr>
            <w:tcW w:w="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4.33</w:t>
            </w:r>
          </w:p>
        </w:tc>
        <w:tc>
          <w:tcPr>
            <w:tcW w:w="109"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both"/>
              <w:rPr/>
            </w:pPr>
            <w:hyperlink r:id="rId44">
              <w:r>
                <w:rPr>
                  <w:rStyle w:val="InternetLink"/>
                  <w:rFonts w:ascii="Times New Roman;Times;serif" w:hAnsi="Times New Roman;Times;serif"/>
                  <w:b w:val="false"/>
                  <w:i w:val="false"/>
                  <w:caps w:val="false"/>
                  <w:smallCaps w:val="false"/>
                  <w:sz w:val="20"/>
                </w:rPr>
                <w:t>English translation of Consent Letters, dated November 30, 2022, executed by the spouses of the shareholders of Anhui NIO AT (incorporated by reference to Exhibit 4.54 of the Company’s Report on Form 20 - F (File No. 001 - 38638), filed with the SEC on April 28, 2023)</w:t>
              </w:r>
            </w:hyperlink>
          </w:p>
        </w:tc>
      </w:tr>
      <w:tr>
        <w:trPr/>
        <w:tc>
          <w:tcPr>
            <w:tcW w:w="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4.34</w:t>
            </w:r>
          </w:p>
        </w:tc>
        <w:tc>
          <w:tcPr>
            <w:tcW w:w="109"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both"/>
              <w:rPr/>
            </w:pPr>
            <w:hyperlink r:id="rId45">
              <w:r>
                <w:rPr>
                  <w:rStyle w:val="InternetLink"/>
                  <w:rFonts w:ascii="Times New Roman;Times;serif" w:hAnsi="Times New Roman;Times;serif"/>
                  <w:b w:val="false"/>
                  <w:i w:val="false"/>
                  <w:caps w:val="false"/>
                  <w:smallCaps w:val="false"/>
                  <w:sz w:val="20"/>
                </w:rPr>
                <w:t>English translation of Power of Attorney, dated December 12, 2022, executed by the shareholders of Anhui NIO DT, Anhui NIO DT and NIO China (incorporated by reference to Exhibit 4.55 of the Company’s Report on Form 20 - F (File No. 001 - 38638), filed with the SEC on April 28, 2023)</w:t>
              </w:r>
            </w:hyperlink>
          </w:p>
        </w:tc>
      </w:tr>
      <w:tr>
        <w:trPr/>
        <w:tc>
          <w:tcPr>
            <w:tcW w:w="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4.35</w:t>
            </w:r>
          </w:p>
        </w:tc>
        <w:tc>
          <w:tcPr>
            <w:tcW w:w="109"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both"/>
              <w:rPr/>
            </w:pPr>
            <w:hyperlink r:id="rId46">
              <w:r>
                <w:rPr>
                  <w:rStyle w:val="InternetLink"/>
                  <w:rFonts w:ascii="Times New Roman;Times;serif" w:hAnsi="Times New Roman;Times;serif"/>
                  <w:b w:val="false"/>
                  <w:i w:val="false"/>
                  <w:caps w:val="false"/>
                  <w:smallCaps w:val="false"/>
                  <w:sz w:val="20"/>
                </w:rPr>
                <w:t>English translation of Loan Agreements, dated December 12, 2022, between shareholders of Anhui NIO DT and NIO China (incorporated by reference to Exhibit 4.56 of the Company’s Report on Form 20 - F (File No. 001 - 38638), filed with the SEC on April 28, 2023)</w:t>
              </w:r>
            </w:hyperlink>
          </w:p>
        </w:tc>
      </w:tr>
      <w:tr>
        <w:trPr/>
        <w:tc>
          <w:tcPr>
            <w:tcW w:w="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4.36</w:t>
            </w:r>
          </w:p>
        </w:tc>
        <w:tc>
          <w:tcPr>
            <w:tcW w:w="109"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both"/>
              <w:rPr/>
            </w:pPr>
            <w:hyperlink r:id="rId47">
              <w:r>
                <w:rPr>
                  <w:rStyle w:val="InternetLink"/>
                  <w:rFonts w:ascii="Times New Roman;Times;serif" w:hAnsi="Times New Roman;Times;serif"/>
                  <w:b w:val="false"/>
                  <w:i w:val="false"/>
                  <w:caps w:val="false"/>
                  <w:smallCaps w:val="false"/>
                  <w:sz w:val="20"/>
                </w:rPr>
                <w:t>English translation of Equity Pledge Agreements, dated December 12, 2022, among shareholders of Anhui NIO DT, Anhui NIO DT and NIO China (incorporated by reference to Exhibit 4.57 of the Company’s Report on Form 20 - F (File No. 001 - 38638), filed with the SEC on April 28, 2023)</w:t>
              </w:r>
            </w:hyperlink>
          </w:p>
        </w:tc>
      </w:tr>
      <w:tr>
        <w:trPr/>
        <w:tc>
          <w:tcPr>
            <w:tcW w:w="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4.37</w:t>
            </w:r>
          </w:p>
        </w:tc>
        <w:tc>
          <w:tcPr>
            <w:tcW w:w="109"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both"/>
              <w:rPr/>
            </w:pPr>
            <w:hyperlink r:id="rId48">
              <w:r>
                <w:rPr>
                  <w:rStyle w:val="InternetLink"/>
                  <w:rFonts w:ascii="Times New Roman;Times;serif" w:hAnsi="Times New Roman;Times;serif"/>
                  <w:b w:val="false"/>
                  <w:i w:val="false"/>
                  <w:caps w:val="false"/>
                  <w:smallCaps w:val="false"/>
                  <w:sz w:val="20"/>
                </w:rPr>
                <w:t>English translation of Exclusive Business Cooperation Agreement, dated December 12, 2022, between Anhui NIO DT and NIO China (incorporated by reference to Exhibit 4.58 of the Company’s Report on Form 20 - F (File No. 001 - 38638), filed with the SEC on April 28, 2023)</w:t>
              </w:r>
            </w:hyperlink>
          </w:p>
        </w:tc>
      </w:tr>
      <w:tr>
        <w:trPr/>
        <w:tc>
          <w:tcPr>
            <w:tcW w:w="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4.38</w:t>
            </w:r>
          </w:p>
        </w:tc>
        <w:tc>
          <w:tcPr>
            <w:tcW w:w="109"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both"/>
              <w:rPr/>
            </w:pPr>
            <w:hyperlink r:id="rId49">
              <w:r>
                <w:rPr>
                  <w:rStyle w:val="InternetLink"/>
                  <w:rFonts w:ascii="Times New Roman;Times;serif" w:hAnsi="Times New Roman;Times;serif"/>
                  <w:b w:val="false"/>
                  <w:i w:val="false"/>
                  <w:caps w:val="false"/>
                  <w:smallCaps w:val="false"/>
                  <w:sz w:val="20"/>
                </w:rPr>
                <w:t>English translation of Exclusive Option Agreements, dated December 12, 2022, among shareholders of Anhui NIO DT, Anhui NIO DT and NIO China (incorporated by reference to Exhibit 4.59 of the Company’s Report on Form 20 - F (File No. 001 - 38638), filed with the SEC on April 28, 2023)</w:t>
              </w:r>
            </w:hyperlink>
          </w:p>
        </w:tc>
      </w:tr>
      <w:tr>
        <w:trPr/>
        <w:tc>
          <w:tcPr>
            <w:tcW w:w="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4.39</w:t>
            </w:r>
          </w:p>
        </w:tc>
        <w:tc>
          <w:tcPr>
            <w:tcW w:w="109"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both"/>
              <w:rPr/>
            </w:pPr>
            <w:hyperlink r:id="rId50">
              <w:r>
                <w:rPr>
                  <w:rStyle w:val="InternetLink"/>
                  <w:rFonts w:ascii="Times New Roman;Times;serif" w:hAnsi="Times New Roman;Times;serif"/>
                  <w:b w:val="false"/>
                  <w:i w:val="false"/>
                  <w:caps w:val="false"/>
                  <w:smallCaps w:val="false"/>
                  <w:sz w:val="20"/>
                </w:rPr>
                <w:t>English translation of Confirmation and Undertaking Letters, dated December 12, 2022, executed by shareholders of Anhui NIO DT (incorporated by reference to Exhibit 4.60 of the Company’s Report on Form 20 - F (File No. 001 - 38638), filed with the SEC on April 28, 2023)</w:t>
              </w:r>
            </w:hyperlink>
          </w:p>
        </w:tc>
      </w:tr>
      <w:tr>
        <w:trPr/>
        <w:tc>
          <w:tcPr>
            <w:tcW w:w="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4.40</w:t>
            </w:r>
          </w:p>
        </w:tc>
        <w:tc>
          <w:tcPr>
            <w:tcW w:w="109"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both"/>
              <w:rPr/>
            </w:pPr>
            <w:hyperlink r:id="rId51">
              <w:r>
                <w:rPr>
                  <w:rStyle w:val="InternetLink"/>
                  <w:rFonts w:ascii="Times New Roman;Times;serif" w:hAnsi="Times New Roman;Times;serif"/>
                  <w:b w:val="false"/>
                  <w:i w:val="false"/>
                  <w:caps w:val="false"/>
                  <w:smallCaps w:val="false"/>
                  <w:sz w:val="20"/>
                </w:rPr>
                <w:t>English translation of Consent Letters, dated December 12, 2022, executed by the spouses of the shareholders of Anhui NIO DT (incorporated by reference to Exhibit 4.61 of the Company’s Report on Form 20 - F (File No. 001 - 38638), filed with the SEC on April 28, 2023)</w:t>
              </w:r>
            </w:hyperlink>
          </w:p>
        </w:tc>
      </w:tr>
      <w:tr>
        <w:trPr/>
        <w:tc>
          <w:tcPr>
            <w:tcW w:w="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4.41</w:t>
            </w:r>
          </w:p>
        </w:tc>
        <w:tc>
          <w:tcPr>
            <w:tcW w:w="109"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both"/>
              <w:rPr/>
            </w:pPr>
            <w:hyperlink r:id="rId52">
              <w:r>
                <w:rPr>
                  <w:rStyle w:val="InternetLink"/>
                  <w:rFonts w:ascii="Times New Roman;Times;serif" w:hAnsi="Times New Roman;Times;serif"/>
                  <w:b w:val="false"/>
                  <w:i w:val="false"/>
                  <w:caps w:val="false"/>
                  <w:smallCaps w:val="false"/>
                  <w:sz w:val="20"/>
                </w:rPr>
                <w:t>Share Subscription Agreement, dated June 20, 2023, by and between the Registrant and CYVN Holdings L.L.C. (incorporated by reference to Exhibit 4.44 of the Company’s Report on Form 20-F (File No. 001-38638), filed with the SEC on April 9, 2024)</w:t>
              </w:r>
            </w:hyperlink>
          </w:p>
        </w:tc>
      </w:tr>
      <w:tr>
        <w:trPr/>
        <w:tc>
          <w:tcPr>
            <w:tcW w:w="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4.42</w:t>
            </w:r>
          </w:p>
        </w:tc>
        <w:tc>
          <w:tcPr>
            <w:tcW w:w="109"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both"/>
              <w:rPr/>
            </w:pPr>
            <w:hyperlink r:id="rId53">
              <w:r>
                <w:rPr>
                  <w:rStyle w:val="InternetLink"/>
                  <w:rFonts w:ascii="Times New Roman;Times;serif" w:hAnsi="Times New Roman;Times;serif"/>
                  <w:b w:val="false"/>
                  <w:i w:val="false"/>
                  <w:caps w:val="false"/>
                  <w:smallCaps w:val="false"/>
                  <w:sz w:val="20"/>
                </w:rPr>
                <w:t>Registration Rights Agreement, dated June 20, 2023, by and between the Registrant and CYVN Holdings L.L.C. (incorporated by reference to Exhibit 4.45 of the Company’s Report on Form 20-F (File No. 001-38638), filed with the SEC on April 9, 2024)</w:t>
              </w:r>
            </w:hyperlink>
          </w:p>
        </w:tc>
      </w:tr>
      <w:tr>
        <w:trPr/>
        <w:tc>
          <w:tcPr>
            <w:tcW w:w="51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4.43</w:t>
            </w:r>
            <w:r>
              <w:rPr>
                <w:rFonts w:ascii="Times New Roman;Times;serif" w:hAnsi="Times New Roman;Times;serif"/>
                <w:sz w:val="15"/>
              </w:rPr>
              <w:t>*</w:t>
            </w:r>
          </w:p>
        </w:tc>
        <w:tc>
          <w:tcPr>
            <w:tcW w:w="109"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both"/>
              <w:rPr/>
            </w:pPr>
            <w:hyperlink w:anchor="nio-20241231xex4d43.htm">
              <w:r>
                <w:rPr>
                  <w:rStyle w:val="InternetLink"/>
                  <w:rFonts w:ascii="Times New Roman;Times;serif" w:hAnsi="Times New Roman;Times;serif"/>
                  <w:b w:val="false"/>
                  <w:i w:val="false"/>
                  <w:caps w:val="false"/>
                  <w:smallCaps w:val="false"/>
                  <w:sz w:val="20"/>
                </w:rPr>
                <w:t>Indenture, dated as of September 22, 2023, by and between the Registrant, as issuer, and Deutsche Bank Trust Company Americas, as trustee, constituting US$500 million 3.875% Convertible Senior Notes due 2029</w:t>
              </w:r>
            </w:hyperlink>
          </w:p>
        </w:tc>
      </w:tr>
      <w:tr>
        <w:trPr/>
        <w:tc>
          <w:tcPr>
            <w:tcW w:w="51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4.44</w:t>
            </w:r>
            <w:r>
              <w:rPr>
                <w:rFonts w:ascii="Times New Roman;Times;serif" w:hAnsi="Times New Roman;Times;serif"/>
                <w:sz w:val="15"/>
              </w:rPr>
              <w:t>*</w:t>
            </w:r>
          </w:p>
        </w:tc>
        <w:tc>
          <w:tcPr>
            <w:tcW w:w="109"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both"/>
              <w:rPr/>
            </w:pPr>
            <w:hyperlink w:anchor="nio-20241231xex4d43.htm">
              <w:r>
                <w:rPr>
                  <w:rStyle w:val="InternetLink"/>
                  <w:rFonts w:ascii="Times New Roman;Times;serif" w:hAnsi="Times New Roman;Times;serif"/>
                  <w:b w:val="false"/>
                  <w:i w:val="false"/>
                  <w:caps w:val="false"/>
                  <w:smallCaps w:val="false"/>
                  <w:sz w:val="20"/>
                </w:rPr>
                <w:t>Form of 3.875% Convertible Senior Notes due 2029 (included in Exhibit 4.43)</w:t>
              </w:r>
            </w:hyperlink>
          </w:p>
        </w:tc>
      </w:tr>
      <w:tr>
        <w:trPr/>
        <w:tc>
          <w:tcPr>
            <w:tcW w:w="51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4.45</w:t>
            </w:r>
            <w:r>
              <w:rPr>
                <w:rFonts w:ascii="Times New Roman;Times;serif" w:hAnsi="Times New Roman;Times;serif"/>
                <w:sz w:val="15"/>
              </w:rPr>
              <w:t>*</w:t>
            </w:r>
          </w:p>
        </w:tc>
        <w:tc>
          <w:tcPr>
            <w:tcW w:w="109"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both"/>
              <w:rPr/>
            </w:pPr>
            <w:hyperlink w:anchor="nio-20241231xex4d45.htm">
              <w:r>
                <w:rPr>
                  <w:rStyle w:val="InternetLink"/>
                  <w:rFonts w:ascii="Times New Roman;Times;serif" w:hAnsi="Times New Roman;Times;serif"/>
                  <w:b w:val="false"/>
                  <w:i w:val="false"/>
                  <w:caps w:val="false"/>
                  <w:smallCaps w:val="false"/>
                  <w:sz w:val="20"/>
                </w:rPr>
                <w:t>Indenture, dated as of September 22, 2023, by and between the Registrant, as issuer, and Deutsche Bank Trust Company Americas, as trustee, constituting US$500 million 4.625% Convertible Senior Notes due 2030</w:t>
              </w:r>
            </w:hyperlink>
          </w:p>
        </w:tc>
      </w:tr>
      <w:tr>
        <w:trPr/>
        <w:tc>
          <w:tcPr>
            <w:tcW w:w="51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4.46</w:t>
            </w:r>
            <w:r>
              <w:rPr>
                <w:rFonts w:ascii="Times New Roman;Times;serif" w:hAnsi="Times New Roman;Times;serif"/>
                <w:sz w:val="15"/>
              </w:rPr>
              <w:t>*</w:t>
            </w:r>
          </w:p>
        </w:tc>
        <w:tc>
          <w:tcPr>
            <w:tcW w:w="109"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both"/>
              <w:rPr/>
            </w:pPr>
            <w:hyperlink w:anchor="nio-20241231xex4d45.htm">
              <w:r>
                <w:rPr>
                  <w:rStyle w:val="InternetLink"/>
                  <w:rFonts w:ascii="Times New Roman;Times;serif" w:hAnsi="Times New Roman;Times;serif"/>
                  <w:b w:val="false"/>
                  <w:i w:val="false"/>
                  <w:caps w:val="false"/>
                  <w:smallCaps w:val="false"/>
                  <w:sz w:val="20"/>
                </w:rPr>
                <w:t>Form of 4.625% Convertible Senior Notes due 2030 (included in Exhibit 4.45)</w:t>
              </w:r>
            </w:hyperlink>
          </w:p>
        </w:tc>
      </w:tr>
      <w:tr>
        <w:trPr/>
        <w:tc>
          <w:tcPr>
            <w:tcW w:w="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4.47</w:t>
            </w:r>
          </w:p>
        </w:tc>
        <w:tc>
          <w:tcPr>
            <w:tcW w:w="109"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both"/>
              <w:rPr/>
            </w:pPr>
            <w:hyperlink r:id="rId54">
              <w:r>
                <w:rPr>
                  <w:rStyle w:val="InternetLink"/>
                  <w:rFonts w:ascii="Times New Roman;Times;serif" w:hAnsi="Times New Roman;Times;serif"/>
                  <w:b w:val="false"/>
                  <w:i w:val="false"/>
                  <w:caps w:val="false"/>
                  <w:smallCaps w:val="false"/>
                  <w:sz w:val="20"/>
                </w:rPr>
                <w:t>Share Subscription Agreement, dated December 18, 2023, by and between the Registrant and CYVN Investments RSC Ltd (incorporated by reference to Exhibit 4.46 of the Company’s Report on Form 20-F (File No. 001-38638), filed with the SEC on April 9, 2024)</w:t>
              </w:r>
            </w:hyperlink>
          </w:p>
        </w:tc>
      </w:tr>
      <w:tr>
        <w:trPr/>
        <w:tc>
          <w:tcPr>
            <w:tcW w:w="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4.48†</w:t>
            </w:r>
          </w:p>
        </w:tc>
        <w:tc>
          <w:tcPr>
            <w:tcW w:w="109"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both"/>
              <w:rPr/>
            </w:pPr>
            <w:hyperlink r:id="rId55">
              <w:r>
                <w:rPr>
                  <w:rStyle w:val="InternetLink"/>
                  <w:rFonts w:ascii="Times New Roman;Times;serif" w:hAnsi="Times New Roman;Times;serif"/>
                  <w:b w:val="false"/>
                  <w:i w:val="false"/>
                  <w:caps w:val="false"/>
                  <w:smallCaps w:val="false"/>
                  <w:sz w:val="20"/>
                </w:rPr>
                <w:t>English translation of Asset Transaction Agreements, dated December 5, 2023, by and between NIO Technology (Anhui) Co., Ltd. and Anhui Jianghuai Automobile Group Co., Ltd. (incorporated by reference to Exhibit 4.47 of the Company’s Report on Form 20-F (File No. 001-38638), filed with the SEC on April 9, 2024)</w:t>
              </w:r>
            </w:hyperlink>
          </w:p>
        </w:tc>
      </w:tr>
      <w:tr>
        <w:trPr/>
        <w:tc>
          <w:tcPr>
            <w:tcW w:w="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4.49†</w:t>
            </w:r>
          </w:p>
        </w:tc>
        <w:tc>
          <w:tcPr>
            <w:tcW w:w="109" w:type="dxa"/>
            <w:tcBorders/>
            <w:vAlign w:val="center"/>
          </w:tcPr>
          <w:p>
            <w:pPr>
              <w:pStyle w:val="TableContents"/>
              <w:bidi w:val="0"/>
              <w:spacing w:before="0" w:after="0"/>
              <w:ind w:left="0" w:right="0" w:hanging="0"/>
              <w:jc w:val="left"/>
              <w:rPr/>
            </w:pPr>
            <w:r>
              <w:rPr/>
              <w:t>​</w:t>
            </w:r>
          </w:p>
        </w:tc>
        <w:tc>
          <w:tcPr>
            <w:tcW w:w="9580" w:type="dxa"/>
            <w:tcBorders/>
            <w:vAlign w:val="center"/>
          </w:tcPr>
          <w:p>
            <w:pPr>
              <w:pStyle w:val="TableContents"/>
              <w:bidi w:val="0"/>
              <w:spacing w:before="0" w:after="0"/>
              <w:ind w:left="0" w:right="0" w:hanging="0"/>
              <w:jc w:val="both"/>
              <w:rPr/>
            </w:pPr>
            <w:hyperlink r:id="rId56">
              <w:r>
                <w:rPr>
                  <w:rStyle w:val="InternetLink"/>
                  <w:rFonts w:ascii="Times New Roman;Times;serif" w:hAnsi="Times New Roman;Times;serif"/>
                  <w:b w:val="false"/>
                  <w:i w:val="false"/>
                  <w:caps w:val="false"/>
                  <w:smallCaps w:val="false"/>
                  <w:sz w:val="20"/>
                </w:rPr>
                <w:t>Technology License Agreement, dated February 26, 2024, by and between NIO Technology (Anhui) Co., Ltd. and Forseven Limited (incorporated by reference to Exhibit 4.48 of the Company’s Report on Form 20-F (File No. 001-38638), filed with the SEC on April 9, 2024)</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64"/>
        <w:gridCol w:w="146"/>
        <w:gridCol w:w="9495"/>
      </w:tblGrid>
      <w:tr>
        <w:trPr/>
        <w:tc>
          <w:tcPr>
            <w:tcW w:w="5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4.50*</w:t>
            </w:r>
          </w:p>
        </w:tc>
        <w:tc>
          <w:tcPr>
            <w:tcW w:w="146" w:type="dxa"/>
            <w:tcBorders/>
            <w:vAlign w:val="center"/>
          </w:tcPr>
          <w:p>
            <w:pPr>
              <w:pStyle w:val="TableContents"/>
              <w:bidi w:val="0"/>
              <w:spacing w:before="0" w:after="0"/>
              <w:ind w:left="0" w:right="0" w:hanging="0"/>
              <w:jc w:val="left"/>
              <w:rPr/>
            </w:pPr>
            <w:r>
              <w:rPr/>
              <w:t>​</w:t>
            </w:r>
          </w:p>
        </w:tc>
        <w:tc>
          <w:tcPr>
            <w:tcW w:w="9495" w:type="dxa"/>
            <w:tcBorders/>
            <w:vAlign w:val="center"/>
          </w:tcPr>
          <w:p>
            <w:pPr>
              <w:pStyle w:val="TableContents"/>
              <w:bidi w:val="0"/>
              <w:spacing w:before="0" w:after="0"/>
              <w:ind w:left="0" w:right="0" w:hanging="0"/>
              <w:jc w:val="both"/>
              <w:rPr/>
            </w:pPr>
            <w:hyperlink w:anchor="nio-20241231xex4d50.htm">
              <w:r>
                <w:rPr>
                  <w:rStyle w:val="InternetLink"/>
                  <w:rFonts w:ascii="Times New Roman;Times;serif" w:hAnsi="Times New Roman;Times;serif"/>
                  <w:b w:val="false"/>
                  <w:i w:val="false"/>
                  <w:caps w:val="false"/>
                  <w:smallCaps w:val="false"/>
                  <w:sz w:val="20"/>
                </w:rPr>
                <w:t>English translation of NIO China Series B Investment Agreement, dated September 30, 2024, by and among Hefei Jianheng New Energy Automobile Investment Fund Partnership (Limited Partnership), Anhui Provincial Emerging Industry Investment Co., Ltd., CS Capital Co., Ltd., the Registrant, Nio Nextev Limited, NIO User Enterprise Limited, NIO Power Express Limited and NIO Holding Co., Ltd.</w:t>
              </w:r>
            </w:hyperlink>
          </w:p>
        </w:tc>
      </w:tr>
      <w:tr>
        <w:trPr/>
        <w:tc>
          <w:tcPr>
            <w:tcW w:w="5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4.51*</w:t>
            </w:r>
          </w:p>
        </w:tc>
        <w:tc>
          <w:tcPr>
            <w:tcW w:w="146" w:type="dxa"/>
            <w:tcBorders/>
            <w:vAlign w:val="center"/>
          </w:tcPr>
          <w:p>
            <w:pPr>
              <w:pStyle w:val="TableContents"/>
              <w:bidi w:val="0"/>
              <w:spacing w:before="0" w:after="0"/>
              <w:ind w:left="0" w:right="0" w:hanging="0"/>
              <w:jc w:val="left"/>
              <w:rPr/>
            </w:pPr>
            <w:r>
              <w:rPr/>
              <w:t>​</w:t>
            </w:r>
          </w:p>
        </w:tc>
        <w:tc>
          <w:tcPr>
            <w:tcW w:w="9495" w:type="dxa"/>
            <w:tcBorders/>
            <w:vAlign w:val="center"/>
          </w:tcPr>
          <w:p>
            <w:pPr>
              <w:pStyle w:val="TableContents"/>
              <w:bidi w:val="0"/>
              <w:spacing w:before="0" w:after="0"/>
              <w:ind w:left="0" w:right="0" w:hanging="0"/>
              <w:jc w:val="both"/>
              <w:rPr/>
            </w:pPr>
            <w:hyperlink w:anchor="nio-20241231xex4d51.htm">
              <w:r>
                <w:rPr>
                  <w:rStyle w:val="InternetLink"/>
                  <w:rFonts w:ascii="Times New Roman;Times;serif" w:hAnsi="Times New Roman;Times;serif"/>
                  <w:b w:val="false"/>
                  <w:i w:val="false"/>
                  <w:caps w:val="false"/>
                  <w:smallCaps w:val="false"/>
                  <w:sz w:val="20"/>
                </w:rPr>
                <w:t>English translation of NIO China Shareholders Agreement, dated September 30, 2024, by and among Hefei Jianheng New Energy Automobile Investment Fund Partnership (Limited Partnership), CS Capital Co., Ltd., Anhui Provincial Emerging Industry Investment Co., Ltd., Anhui Provincial Sanzhong Yichuang Industry Development Fund Co., Ltd., Anhui Jintong New Energy Automobile II Fund Partnership (Limited Partnership), Advanced Manufacturing Industry Investment Fund II (Limited Partnership), the Registrant, Nio Nextev Limited, NIO User Enterprise Limited, NIO Power Express Limited and NIO Holding Co., Ltd.</w:t>
              </w:r>
            </w:hyperlink>
          </w:p>
        </w:tc>
      </w:tr>
      <w:tr>
        <w:trPr/>
        <w:tc>
          <w:tcPr>
            <w:tcW w:w="5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4.52*</w:t>
            </w:r>
          </w:p>
        </w:tc>
        <w:tc>
          <w:tcPr>
            <w:tcW w:w="146" w:type="dxa"/>
            <w:tcBorders/>
            <w:vAlign w:val="center"/>
          </w:tcPr>
          <w:p>
            <w:pPr>
              <w:pStyle w:val="TableContents"/>
              <w:bidi w:val="0"/>
              <w:spacing w:before="0" w:after="0"/>
              <w:ind w:left="0" w:right="0" w:hanging="0"/>
              <w:jc w:val="left"/>
              <w:rPr/>
            </w:pPr>
            <w:r>
              <w:rPr/>
              <w:t>​</w:t>
            </w:r>
          </w:p>
        </w:tc>
        <w:tc>
          <w:tcPr>
            <w:tcW w:w="9495" w:type="dxa"/>
            <w:tcBorders/>
            <w:vAlign w:val="center"/>
          </w:tcPr>
          <w:p>
            <w:pPr>
              <w:pStyle w:val="TableContents"/>
              <w:bidi w:val="0"/>
              <w:spacing w:before="0" w:after="0"/>
              <w:ind w:left="0" w:right="0" w:hanging="0"/>
              <w:jc w:val="both"/>
              <w:rPr/>
            </w:pPr>
            <w:hyperlink w:anchor="nio-20241231xex4d52.htm">
              <w:r>
                <w:rPr>
                  <w:rStyle w:val="InternetLink"/>
                  <w:rFonts w:ascii="Times New Roman;Times;serif" w:hAnsi="Times New Roman;Times;serif"/>
                  <w:b w:val="false"/>
                  <w:i w:val="false"/>
                  <w:caps w:val="false"/>
                  <w:smallCaps w:val="false"/>
                  <w:sz w:val="20"/>
                </w:rPr>
                <w:t>English translation of Amendment and Supplemental Agreement to NIO China Series B Investment Agreement, dated December 28, 2024, by and among with Hefei Jianheng New Energy Automobile Investment Fund Partnership (Limited Partnership), Hefei Jianxiang Investment Co., Ltd., CS Capital Co., Ltd., Anhui Provincial Emerging Industry Investment Co., Ltd., Anhui Emerging Industry Yuwen Weiyuan Technology Partnership Enterprise (Limited Partnership), the Registrant, Nio Nextev Limited, NIO User Enterprise Limited, NIO Power Express Limited and NIO Holding Co., Ltd.</w:t>
              </w:r>
            </w:hyperlink>
          </w:p>
        </w:tc>
      </w:tr>
      <w:tr>
        <w:trPr/>
        <w:tc>
          <w:tcPr>
            <w:tcW w:w="5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4.53*</w:t>
            </w:r>
          </w:p>
        </w:tc>
        <w:tc>
          <w:tcPr>
            <w:tcW w:w="146" w:type="dxa"/>
            <w:tcBorders/>
            <w:vAlign w:val="center"/>
          </w:tcPr>
          <w:p>
            <w:pPr>
              <w:pStyle w:val="TableContents"/>
              <w:bidi w:val="0"/>
              <w:spacing w:before="0" w:after="0"/>
              <w:ind w:left="0" w:right="0" w:hanging="0"/>
              <w:jc w:val="left"/>
              <w:rPr/>
            </w:pPr>
            <w:r>
              <w:rPr/>
              <w:t>​</w:t>
            </w:r>
          </w:p>
        </w:tc>
        <w:tc>
          <w:tcPr>
            <w:tcW w:w="9495" w:type="dxa"/>
            <w:tcBorders/>
            <w:vAlign w:val="center"/>
          </w:tcPr>
          <w:p>
            <w:pPr>
              <w:pStyle w:val="TableContents"/>
              <w:bidi w:val="0"/>
              <w:spacing w:before="0" w:after="0"/>
              <w:ind w:left="0" w:right="0" w:hanging="0"/>
              <w:jc w:val="both"/>
              <w:rPr/>
            </w:pPr>
            <w:hyperlink w:anchor="nio-20241231xex4d53.htm">
              <w:r>
                <w:rPr>
                  <w:rStyle w:val="InternetLink"/>
                  <w:rFonts w:ascii="Times New Roman;Times;serif" w:hAnsi="Times New Roman;Times;serif"/>
                  <w:b w:val="false"/>
                  <w:i w:val="false"/>
                  <w:caps w:val="false"/>
                  <w:smallCaps w:val="false"/>
                  <w:sz w:val="20"/>
                </w:rPr>
                <w:t>English translation of Amendment and Supplemental Agreement to NIO China Shareholders Agreement, dated December 28, 2024, by and among Hefei Jianheng New Energy Automobile Investment Fund Partnership (Limited Partnership), Hefei Jianxiang Investment Co., Ltd., CS Capital Co., Ltd., Anhui Provincial Emerging Industry Investment Co., Ltd., Anhui Emerging Industry Yuwen Weiyuan Technology Partnership Enterprise (Limited Partnership), Anhui Provincial Sanzhong Yichuang Industry Development Fund Co., Ltd., Anhui Jintong New Energy Automobile II Fund Partnership (Limited Partnership), Advanced Manufacturing Industry Investment Fund II (Limited Partnership), the Registrant, Nio Nextev Limited, NIO User Enterprise Limited, NIO Power Express Limited and NIO Holding Co., Ltd.</w:t>
              </w:r>
            </w:hyperlink>
          </w:p>
        </w:tc>
      </w:tr>
      <w:tr>
        <w:trPr/>
        <w:tc>
          <w:tcPr>
            <w:tcW w:w="5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8.1*</w:t>
            </w:r>
          </w:p>
        </w:tc>
        <w:tc>
          <w:tcPr>
            <w:tcW w:w="146" w:type="dxa"/>
            <w:tcBorders/>
            <w:vAlign w:val="center"/>
          </w:tcPr>
          <w:p>
            <w:pPr>
              <w:pStyle w:val="TableContents"/>
              <w:bidi w:val="0"/>
              <w:spacing w:before="0" w:after="0"/>
              <w:ind w:left="0" w:right="0" w:hanging="0"/>
              <w:jc w:val="left"/>
              <w:rPr/>
            </w:pPr>
            <w:r>
              <w:rPr/>
              <w:t> </w:t>
            </w:r>
          </w:p>
        </w:tc>
        <w:tc>
          <w:tcPr>
            <w:tcW w:w="9495" w:type="dxa"/>
            <w:tcBorders/>
            <w:vAlign w:val="center"/>
          </w:tcPr>
          <w:p>
            <w:pPr>
              <w:pStyle w:val="TableContents"/>
              <w:bidi w:val="0"/>
              <w:spacing w:before="0" w:after="0"/>
              <w:ind w:left="0" w:right="0" w:hanging="0"/>
              <w:jc w:val="both"/>
              <w:rPr/>
            </w:pPr>
            <w:hyperlink w:anchor="nio-20241231xex8d1.htm">
              <w:r>
                <w:rPr>
                  <w:rStyle w:val="InternetLink"/>
                  <w:rFonts w:ascii="Times New Roman;Times;serif" w:hAnsi="Times New Roman;Times;serif"/>
                  <w:b w:val="false"/>
                  <w:i w:val="false"/>
                  <w:caps w:val="false"/>
                  <w:smallCaps w:val="false"/>
                  <w:sz w:val="20"/>
                </w:rPr>
                <w:t>List of Principal Subsidiaries and Consolidated Variable Interest Entities</w:t>
              </w:r>
            </w:hyperlink>
          </w:p>
        </w:tc>
      </w:tr>
      <w:tr>
        <w:trPr/>
        <w:tc>
          <w:tcPr>
            <w:tcW w:w="5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11.1</w:t>
            </w:r>
          </w:p>
        </w:tc>
        <w:tc>
          <w:tcPr>
            <w:tcW w:w="146" w:type="dxa"/>
            <w:tcBorders/>
            <w:vAlign w:val="center"/>
          </w:tcPr>
          <w:p>
            <w:pPr>
              <w:pStyle w:val="TableContents"/>
              <w:bidi w:val="0"/>
              <w:spacing w:before="0" w:after="0"/>
              <w:ind w:left="0" w:right="0" w:hanging="0"/>
              <w:jc w:val="left"/>
              <w:rPr/>
            </w:pPr>
            <w:r>
              <w:rPr/>
              <w:t> </w:t>
            </w:r>
          </w:p>
        </w:tc>
        <w:tc>
          <w:tcPr>
            <w:tcW w:w="9495" w:type="dxa"/>
            <w:tcBorders/>
            <w:vAlign w:val="center"/>
          </w:tcPr>
          <w:p>
            <w:pPr>
              <w:pStyle w:val="TableContents"/>
              <w:bidi w:val="0"/>
              <w:spacing w:before="0" w:after="0"/>
              <w:ind w:left="0" w:right="0" w:hanging="0"/>
              <w:jc w:val="both"/>
              <w:rPr/>
            </w:pPr>
            <w:hyperlink r:id="rId57">
              <w:r>
                <w:rPr>
                  <w:rStyle w:val="InternetLink"/>
                  <w:rFonts w:ascii="Times New Roman;Times;serif" w:hAnsi="Times New Roman;Times;serif"/>
                  <w:b w:val="false"/>
                  <w:i w:val="false"/>
                  <w:caps w:val="false"/>
                  <w:smallCaps w:val="false"/>
                  <w:sz w:val="20"/>
                </w:rPr>
                <w:t>Global Code of Business Conduct and Ethics of the Registrant  (incorporated by reference to Exhibit 11.1 of the Company’s Report on Form 20-F (File No. 001-38638), filed with the SEC on April 9, 2024)</w:t>
              </w:r>
            </w:hyperlink>
            <w:r>
              <w:rPr>
                <w:rFonts w:ascii="Times New Roman;Times;serif" w:hAnsi="Times New Roman;Times;serif"/>
                <w:sz w:val="20"/>
              </w:rPr>
              <w:t> </w:t>
            </w:r>
          </w:p>
        </w:tc>
      </w:tr>
      <w:tr>
        <w:trPr/>
        <w:tc>
          <w:tcPr>
            <w:tcW w:w="5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11.2*</w:t>
            </w:r>
          </w:p>
        </w:tc>
        <w:tc>
          <w:tcPr>
            <w:tcW w:w="146" w:type="dxa"/>
            <w:tcBorders/>
            <w:vAlign w:val="center"/>
          </w:tcPr>
          <w:p>
            <w:pPr>
              <w:pStyle w:val="TableContents"/>
              <w:bidi w:val="0"/>
              <w:spacing w:before="0" w:after="0"/>
              <w:ind w:left="0" w:right="0" w:hanging="0"/>
              <w:jc w:val="left"/>
              <w:rPr/>
            </w:pPr>
            <w:r>
              <w:rPr/>
              <w:t>​</w:t>
            </w:r>
          </w:p>
        </w:tc>
        <w:tc>
          <w:tcPr>
            <w:tcW w:w="9495" w:type="dxa"/>
            <w:tcBorders/>
            <w:vAlign w:val="center"/>
          </w:tcPr>
          <w:p>
            <w:pPr>
              <w:pStyle w:val="TableContents"/>
              <w:bidi w:val="0"/>
              <w:spacing w:before="0" w:after="0"/>
              <w:ind w:left="0" w:right="0" w:hanging="0"/>
              <w:jc w:val="both"/>
              <w:rPr/>
            </w:pPr>
            <w:hyperlink w:anchor="nio-20241231xex11d2.htm">
              <w:r>
                <w:rPr>
                  <w:rStyle w:val="InternetLink"/>
                  <w:rFonts w:ascii="Times New Roman;Times;serif" w:hAnsi="Times New Roman;Times;serif"/>
                  <w:b w:val="false"/>
                  <w:i w:val="false"/>
                  <w:caps w:val="false"/>
                  <w:smallCaps w:val="false"/>
                  <w:sz w:val="20"/>
                </w:rPr>
                <w:t>Amended and Restated Statement of Policies Governing Material, Non-Public Information and the Prevention of Insider Trading of the Registrant</w:t>
              </w:r>
            </w:hyperlink>
          </w:p>
        </w:tc>
      </w:tr>
      <w:tr>
        <w:trPr/>
        <w:tc>
          <w:tcPr>
            <w:tcW w:w="5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12.1*</w:t>
            </w:r>
          </w:p>
        </w:tc>
        <w:tc>
          <w:tcPr>
            <w:tcW w:w="146" w:type="dxa"/>
            <w:tcBorders/>
            <w:vAlign w:val="center"/>
          </w:tcPr>
          <w:p>
            <w:pPr>
              <w:pStyle w:val="TableContents"/>
              <w:bidi w:val="0"/>
              <w:spacing w:before="0" w:after="0"/>
              <w:ind w:left="0" w:right="0" w:hanging="0"/>
              <w:jc w:val="left"/>
              <w:rPr/>
            </w:pPr>
            <w:r>
              <w:rPr/>
              <w:t> </w:t>
            </w:r>
          </w:p>
        </w:tc>
        <w:tc>
          <w:tcPr>
            <w:tcW w:w="9495" w:type="dxa"/>
            <w:tcBorders/>
            <w:vAlign w:val="center"/>
          </w:tcPr>
          <w:p>
            <w:pPr>
              <w:pStyle w:val="TableContents"/>
              <w:bidi w:val="0"/>
              <w:spacing w:before="0" w:after="0"/>
              <w:ind w:left="0" w:right="0" w:hanging="0"/>
              <w:jc w:val="both"/>
              <w:rPr/>
            </w:pPr>
            <w:hyperlink w:anchor="nio-20241231xex12d1.htm">
              <w:r>
                <w:rPr>
                  <w:rStyle w:val="InternetLink"/>
                  <w:rFonts w:ascii="Times New Roman;Times;serif" w:hAnsi="Times New Roman;Times;serif"/>
                  <w:b w:val="false"/>
                  <w:i w:val="false"/>
                  <w:caps w:val="false"/>
                  <w:smallCaps w:val="false"/>
                  <w:sz w:val="20"/>
                </w:rPr>
                <w:t>CEO Certification Pursuant to Section 302 of the Sarbanes-Oxley Act of 2002</w:t>
              </w:r>
            </w:hyperlink>
          </w:p>
        </w:tc>
      </w:tr>
      <w:tr>
        <w:trPr/>
        <w:tc>
          <w:tcPr>
            <w:tcW w:w="5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12.2*</w:t>
            </w:r>
          </w:p>
        </w:tc>
        <w:tc>
          <w:tcPr>
            <w:tcW w:w="146" w:type="dxa"/>
            <w:tcBorders/>
            <w:vAlign w:val="center"/>
          </w:tcPr>
          <w:p>
            <w:pPr>
              <w:pStyle w:val="TableContents"/>
              <w:bidi w:val="0"/>
              <w:spacing w:before="0" w:after="0"/>
              <w:ind w:left="0" w:right="0" w:hanging="0"/>
              <w:jc w:val="left"/>
              <w:rPr/>
            </w:pPr>
            <w:r>
              <w:rPr/>
              <w:t> </w:t>
            </w:r>
          </w:p>
        </w:tc>
        <w:tc>
          <w:tcPr>
            <w:tcW w:w="9495" w:type="dxa"/>
            <w:tcBorders/>
            <w:vAlign w:val="center"/>
          </w:tcPr>
          <w:p>
            <w:pPr>
              <w:pStyle w:val="TableContents"/>
              <w:bidi w:val="0"/>
              <w:spacing w:before="0" w:after="0"/>
              <w:ind w:left="0" w:right="0" w:hanging="0"/>
              <w:jc w:val="both"/>
              <w:rPr/>
            </w:pPr>
            <w:hyperlink w:anchor="nio-20241231xex12d2.htm">
              <w:r>
                <w:rPr>
                  <w:rStyle w:val="InternetLink"/>
                  <w:rFonts w:ascii="Times New Roman;Times;serif" w:hAnsi="Times New Roman;Times;serif"/>
                  <w:b w:val="false"/>
                  <w:i w:val="false"/>
                  <w:caps w:val="false"/>
                  <w:smallCaps w:val="false"/>
                  <w:sz w:val="20"/>
                </w:rPr>
                <w:t>CFO Certification Pursuant to Section 302 of the Sarbanes-Oxley Act of 2002</w:t>
              </w:r>
            </w:hyperlink>
          </w:p>
        </w:tc>
      </w:tr>
      <w:tr>
        <w:trPr/>
        <w:tc>
          <w:tcPr>
            <w:tcW w:w="5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13.1**</w:t>
            </w:r>
          </w:p>
        </w:tc>
        <w:tc>
          <w:tcPr>
            <w:tcW w:w="146" w:type="dxa"/>
            <w:tcBorders/>
            <w:vAlign w:val="center"/>
          </w:tcPr>
          <w:p>
            <w:pPr>
              <w:pStyle w:val="TableContents"/>
              <w:bidi w:val="0"/>
              <w:spacing w:before="0" w:after="0"/>
              <w:ind w:left="0" w:right="0" w:hanging="0"/>
              <w:jc w:val="left"/>
              <w:rPr/>
            </w:pPr>
            <w:r>
              <w:rPr/>
              <w:t> </w:t>
            </w:r>
          </w:p>
        </w:tc>
        <w:tc>
          <w:tcPr>
            <w:tcW w:w="9495" w:type="dxa"/>
            <w:tcBorders/>
            <w:vAlign w:val="center"/>
          </w:tcPr>
          <w:p>
            <w:pPr>
              <w:pStyle w:val="TableContents"/>
              <w:bidi w:val="0"/>
              <w:spacing w:before="0" w:after="0"/>
              <w:ind w:left="0" w:right="0" w:hanging="0"/>
              <w:jc w:val="both"/>
              <w:rPr/>
            </w:pPr>
            <w:hyperlink w:anchor="nio-20241231xex13d1.htm">
              <w:r>
                <w:rPr>
                  <w:rStyle w:val="InternetLink"/>
                  <w:rFonts w:ascii="Times New Roman;Times;serif" w:hAnsi="Times New Roman;Times;serif"/>
                  <w:b w:val="false"/>
                  <w:i w:val="false"/>
                  <w:caps w:val="false"/>
                  <w:smallCaps w:val="false"/>
                  <w:sz w:val="20"/>
                </w:rPr>
                <w:t>CEO Certification Pursuant to Section 906 of the Sarbanes-Oxley Act of 2002</w:t>
              </w:r>
            </w:hyperlink>
          </w:p>
        </w:tc>
      </w:tr>
      <w:tr>
        <w:trPr/>
        <w:tc>
          <w:tcPr>
            <w:tcW w:w="5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13.2**</w:t>
            </w:r>
          </w:p>
        </w:tc>
        <w:tc>
          <w:tcPr>
            <w:tcW w:w="146" w:type="dxa"/>
            <w:tcBorders/>
            <w:vAlign w:val="center"/>
          </w:tcPr>
          <w:p>
            <w:pPr>
              <w:pStyle w:val="TableContents"/>
              <w:bidi w:val="0"/>
              <w:spacing w:before="0" w:after="0"/>
              <w:ind w:left="0" w:right="0" w:hanging="0"/>
              <w:jc w:val="left"/>
              <w:rPr/>
            </w:pPr>
            <w:r>
              <w:rPr/>
              <w:t> </w:t>
            </w:r>
          </w:p>
        </w:tc>
        <w:tc>
          <w:tcPr>
            <w:tcW w:w="9495" w:type="dxa"/>
            <w:tcBorders/>
            <w:vAlign w:val="center"/>
          </w:tcPr>
          <w:p>
            <w:pPr>
              <w:pStyle w:val="TableContents"/>
              <w:bidi w:val="0"/>
              <w:spacing w:before="0" w:after="0"/>
              <w:ind w:left="0" w:right="0" w:hanging="0"/>
              <w:jc w:val="both"/>
              <w:rPr/>
            </w:pPr>
            <w:hyperlink w:anchor="nio-20241231xex13d2.htm">
              <w:r>
                <w:rPr>
                  <w:rStyle w:val="InternetLink"/>
                  <w:rFonts w:ascii="Times New Roman;Times;serif" w:hAnsi="Times New Roman;Times;serif"/>
                  <w:b w:val="false"/>
                  <w:i w:val="false"/>
                  <w:caps w:val="false"/>
                  <w:smallCaps w:val="false"/>
                  <w:sz w:val="20"/>
                </w:rPr>
                <w:t>CFO Certification Pursuant to Section 906 of the Sarbanes-Oxley Act of 2002</w:t>
              </w:r>
            </w:hyperlink>
          </w:p>
        </w:tc>
      </w:tr>
      <w:tr>
        <w:trPr/>
        <w:tc>
          <w:tcPr>
            <w:tcW w:w="5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15.1*</w:t>
            </w:r>
          </w:p>
        </w:tc>
        <w:tc>
          <w:tcPr>
            <w:tcW w:w="146" w:type="dxa"/>
            <w:tcBorders/>
            <w:vAlign w:val="center"/>
          </w:tcPr>
          <w:p>
            <w:pPr>
              <w:pStyle w:val="TableContents"/>
              <w:bidi w:val="0"/>
              <w:spacing w:before="0" w:after="0"/>
              <w:ind w:left="0" w:right="0" w:hanging="0"/>
              <w:jc w:val="left"/>
              <w:rPr/>
            </w:pPr>
            <w:r>
              <w:rPr/>
              <w:t> </w:t>
            </w:r>
          </w:p>
        </w:tc>
        <w:tc>
          <w:tcPr>
            <w:tcW w:w="9495" w:type="dxa"/>
            <w:tcBorders/>
            <w:vAlign w:val="center"/>
          </w:tcPr>
          <w:p>
            <w:pPr>
              <w:pStyle w:val="TableContents"/>
              <w:bidi w:val="0"/>
              <w:spacing w:before="0" w:after="0"/>
              <w:ind w:left="0" w:right="0" w:hanging="0"/>
              <w:jc w:val="both"/>
              <w:rPr/>
            </w:pPr>
            <w:hyperlink w:anchor="nio-20241231xex15d1.htm">
              <w:r>
                <w:rPr>
                  <w:rStyle w:val="InternetLink"/>
                  <w:rFonts w:ascii="Times New Roman;Times;serif" w:hAnsi="Times New Roman;Times;serif"/>
                  <w:b w:val="false"/>
                  <w:i w:val="false"/>
                  <w:caps w:val="false"/>
                  <w:smallCaps w:val="false"/>
                  <w:sz w:val="20"/>
                </w:rPr>
                <w:t>Consent of PricewaterhouseCoopers Zhong Tian LLP</w:t>
              </w:r>
            </w:hyperlink>
          </w:p>
        </w:tc>
      </w:tr>
      <w:tr>
        <w:trPr/>
        <w:tc>
          <w:tcPr>
            <w:tcW w:w="5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15.2*</w:t>
            </w:r>
          </w:p>
        </w:tc>
        <w:tc>
          <w:tcPr>
            <w:tcW w:w="146" w:type="dxa"/>
            <w:tcBorders/>
            <w:vAlign w:val="center"/>
          </w:tcPr>
          <w:p>
            <w:pPr>
              <w:pStyle w:val="TableContents"/>
              <w:bidi w:val="0"/>
              <w:spacing w:before="0" w:after="0"/>
              <w:ind w:left="0" w:right="0" w:hanging="0"/>
              <w:jc w:val="left"/>
              <w:rPr/>
            </w:pPr>
            <w:r>
              <w:rPr/>
              <w:t> </w:t>
            </w:r>
          </w:p>
        </w:tc>
        <w:tc>
          <w:tcPr>
            <w:tcW w:w="9495" w:type="dxa"/>
            <w:tcBorders/>
            <w:vAlign w:val="center"/>
          </w:tcPr>
          <w:p>
            <w:pPr>
              <w:pStyle w:val="TableContents"/>
              <w:bidi w:val="0"/>
              <w:spacing w:before="0" w:after="0"/>
              <w:ind w:left="0" w:right="0" w:hanging="0"/>
              <w:jc w:val="both"/>
              <w:rPr/>
            </w:pPr>
            <w:hyperlink w:anchor="nio-20241231xex15d2.htm">
              <w:r>
                <w:rPr>
                  <w:rStyle w:val="InternetLink"/>
                  <w:rFonts w:ascii="Times New Roman;Times;serif" w:hAnsi="Times New Roman;Times;serif"/>
                  <w:b w:val="false"/>
                  <w:i w:val="false"/>
                  <w:caps w:val="false"/>
                  <w:smallCaps w:val="false"/>
                  <w:sz w:val="20"/>
                </w:rPr>
                <w:t>Consent of Han Kun Law Offices</w:t>
              </w:r>
            </w:hyperlink>
            <w:r>
              <w:rPr>
                <w:rFonts w:ascii="Times New Roman;Times;serif" w:hAnsi="Times New Roman;Times;serif"/>
                <w:sz w:val="20"/>
              </w:rPr>
              <w:t xml:space="preserve"> </w:t>
            </w:r>
          </w:p>
        </w:tc>
      </w:tr>
      <w:tr>
        <w:trPr/>
        <w:tc>
          <w:tcPr>
            <w:tcW w:w="5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97.1</w:t>
            </w:r>
          </w:p>
        </w:tc>
        <w:tc>
          <w:tcPr>
            <w:tcW w:w="146" w:type="dxa"/>
            <w:tcBorders/>
            <w:vAlign w:val="center"/>
          </w:tcPr>
          <w:p>
            <w:pPr>
              <w:pStyle w:val="TableContents"/>
              <w:bidi w:val="0"/>
              <w:spacing w:before="0" w:after="0"/>
              <w:ind w:left="0" w:right="0" w:hanging="0"/>
              <w:jc w:val="left"/>
              <w:rPr/>
            </w:pPr>
            <w:r>
              <w:rPr/>
              <w:t>​</w:t>
            </w:r>
          </w:p>
        </w:tc>
        <w:tc>
          <w:tcPr>
            <w:tcW w:w="9495" w:type="dxa"/>
            <w:tcBorders/>
            <w:vAlign w:val="center"/>
          </w:tcPr>
          <w:p>
            <w:pPr>
              <w:pStyle w:val="TableContents"/>
              <w:bidi w:val="0"/>
              <w:spacing w:before="0" w:after="0"/>
              <w:ind w:left="0" w:right="0" w:hanging="0"/>
              <w:jc w:val="both"/>
              <w:rPr/>
            </w:pPr>
            <w:hyperlink r:id="rId58">
              <w:r>
                <w:rPr>
                  <w:rStyle w:val="InternetLink"/>
                  <w:rFonts w:ascii="Times New Roman;Times;serif" w:hAnsi="Times New Roman;Times;serif"/>
                  <w:b w:val="false"/>
                  <w:i w:val="false"/>
                  <w:caps w:val="false"/>
                  <w:smallCaps w:val="false"/>
                  <w:sz w:val="20"/>
                </w:rPr>
                <w:t>Clawback Policy of the Registrant (incorporated by reference to Exhibit 97.1 of the Company’s Report on Form 20-F (File No. 001-38638), filed with the SEC on April 9, 2024)</w:t>
              </w:r>
            </w:hyperlink>
          </w:p>
        </w:tc>
      </w:tr>
      <w:tr>
        <w:trPr/>
        <w:tc>
          <w:tcPr>
            <w:tcW w:w="5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46" w:type="dxa"/>
            <w:tcBorders/>
            <w:vAlign w:val="center"/>
          </w:tcPr>
          <w:p>
            <w:pPr>
              <w:pStyle w:val="TableContents"/>
              <w:bidi w:val="0"/>
              <w:spacing w:before="0" w:after="0"/>
              <w:ind w:left="0" w:right="0" w:hanging="0"/>
              <w:jc w:val="left"/>
              <w:rPr/>
            </w:pPr>
            <w:r>
              <w:rPr/>
              <w:t> </w:t>
            </w:r>
          </w:p>
        </w:tc>
        <w:tc>
          <w:tcPr>
            <w:tcW w:w="94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Document—this instance document does not appear in the Interactive Data File because its XBRL tags are embedded within the Inline XBRL document</w:t>
            </w:r>
          </w:p>
        </w:tc>
      </w:tr>
      <w:tr>
        <w:trPr/>
        <w:tc>
          <w:tcPr>
            <w:tcW w:w="5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46" w:type="dxa"/>
            <w:tcBorders/>
            <w:vAlign w:val="center"/>
          </w:tcPr>
          <w:p>
            <w:pPr>
              <w:pStyle w:val="TableContents"/>
              <w:bidi w:val="0"/>
              <w:spacing w:before="0" w:after="0"/>
              <w:ind w:left="0" w:right="0" w:hanging="0"/>
              <w:jc w:val="left"/>
              <w:rPr/>
            </w:pPr>
            <w:r>
              <w:rPr/>
              <w:t> </w:t>
            </w:r>
          </w:p>
        </w:tc>
        <w:tc>
          <w:tcPr>
            <w:tcW w:w="94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5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46" w:type="dxa"/>
            <w:tcBorders/>
            <w:vAlign w:val="center"/>
          </w:tcPr>
          <w:p>
            <w:pPr>
              <w:pStyle w:val="TableContents"/>
              <w:bidi w:val="0"/>
              <w:spacing w:before="0" w:after="0"/>
              <w:ind w:left="0" w:right="0" w:hanging="0"/>
              <w:jc w:val="left"/>
              <w:rPr/>
            </w:pPr>
            <w:r>
              <w:rPr/>
              <w:t> </w:t>
            </w:r>
          </w:p>
        </w:tc>
        <w:tc>
          <w:tcPr>
            <w:tcW w:w="94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5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46" w:type="dxa"/>
            <w:tcBorders/>
            <w:vAlign w:val="center"/>
          </w:tcPr>
          <w:p>
            <w:pPr>
              <w:pStyle w:val="TableContents"/>
              <w:bidi w:val="0"/>
              <w:spacing w:before="0" w:after="0"/>
              <w:ind w:left="0" w:right="0" w:hanging="0"/>
              <w:jc w:val="left"/>
              <w:rPr/>
            </w:pPr>
            <w:r>
              <w:rPr/>
              <w:t> </w:t>
            </w:r>
          </w:p>
        </w:tc>
        <w:tc>
          <w:tcPr>
            <w:tcW w:w="94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5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46" w:type="dxa"/>
            <w:tcBorders/>
            <w:vAlign w:val="center"/>
          </w:tcPr>
          <w:p>
            <w:pPr>
              <w:pStyle w:val="TableContents"/>
              <w:bidi w:val="0"/>
              <w:spacing w:before="0" w:after="0"/>
              <w:ind w:left="0" w:right="0" w:hanging="0"/>
              <w:jc w:val="left"/>
              <w:rPr/>
            </w:pPr>
            <w:r>
              <w:rPr/>
              <w:t> </w:t>
            </w:r>
          </w:p>
        </w:tc>
        <w:tc>
          <w:tcPr>
            <w:tcW w:w="94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5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46" w:type="dxa"/>
            <w:tcBorders/>
            <w:vAlign w:val="center"/>
          </w:tcPr>
          <w:p>
            <w:pPr>
              <w:pStyle w:val="TableContents"/>
              <w:bidi w:val="0"/>
              <w:spacing w:before="0" w:after="0"/>
              <w:ind w:left="0" w:right="0" w:hanging="0"/>
              <w:jc w:val="left"/>
              <w:rPr/>
            </w:pPr>
            <w:r>
              <w:rPr/>
              <w:t> </w:t>
            </w:r>
          </w:p>
        </w:tc>
        <w:tc>
          <w:tcPr>
            <w:tcW w:w="94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5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46" w:type="dxa"/>
            <w:tcBorders/>
            <w:vAlign w:val="center"/>
          </w:tcPr>
          <w:p>
            <w:pPr>
              <w:pStyle w:val="TableContents"/>
              <w:bidi w:val="0"/>
              <w:spacing w:before="0" w:after="0"/>
              <w:ind w:left="0" w:right="0" w:hanging="0"/>
              <w:jc w:val="left"/>
              <w:rPr/>
            </w:pPr>
            <w:r>
              <w:rPr/>
              <w:t>​</w:t>
            </w:r>
          </w:p>
        </w:tc>
        <w:tc>
          <w:tcPr>
            <w:tcW w:w="94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Cover Page Interactive Data File (embedded within the Inline XBRL document) </w:t>
            </w:r>
          </w:p>
        </w:tc>
      </w:tr>
    </w:tbl>
    <w:p>
      <w:pPr>
        <w:pStyle w:val="TextBody"/>
        <w:bidi w:val="0"/>
        <w:spacing w:before="0" w:after="240"/>
        <w:ind w:left="0" w:right="0" w:hanging="0"/>
        <w:jc w:val="left"/>
        <w:rPr>
          <w:rFonts w:ascii="Times New Roman;Times;serif" w:hAnsi="Times New Roman;Times;serif"/>
          <w:sz w:val="16"/>
        </w:rPr>
      </w:pPr>
      <w:r>
        <w:rPr>
          <w:rFonts w:ascii="Times New Roman;Times;serif" w:hAnsi="Times New Roman;Times;serif"/>
          <w:sz w:val="16"/>
        </w:rPr>
        <w:t>*     Filed herewith.</w:t>
      </w:r>
    </w:p>
    <w:p>
      <w:pPr>
        <w:pStyle w:val="TextBody"/>
        <w:bidi w:val="0"/>
        <w:spacing w:before="0" w:after="240"/>
        <w:ind w:left="0" w:right="0" w:hanging="0"/>
        <w:jc w:val="left"/>
        <w:rPr>
          <w:rFonts w:ascii="Times New Roman;Times;serif" w:hAnsi="Times New Roman;Times;serif"/>
          <w:sz w:val="16"/>
        </w:rPr>
      </w:pPr>
      <w:r>
        <w:rPr>
          <w:rFonts w:ascii="Times New Roman;Times;serif" w:hAnsi="Times New Roman;Times;serif"/>
          <w:sz w:val="16"/>
        </w:rPr>
        <w:t>**   Furnished herewith.</w:t>
      </w:r>
    </w:p>
    <w:p>
      <w:pPr>
        <w:pStyle w:val="TextBody"/>
        <w:pBdr/>
        <w:bidi w:val="0"/>
        <w:spacing w:before="0" w:after="240"/>
        <w:ind w:left="0" w:right="0" w:hanging="0"/>
        <w:jc w:val="left"/>
        <w:rPr/>
      </w:pPr>
      <w:r>
        <w:rPr/>
        <w:t>†     </w:t>
      </w:r>
      <w:r>
        <w:rPr>
          <w:rFonts w:ascii="Times New Roman;Times;serif" w:hAnsi="Times New Roman;Times;serif"/>
          <w:sz w:val="16"/>
        </w:rPr>
        <w:t>Confidential treatment has been requested for certain portions of this exhibit pursuant to Rule 406 under the Securities Act and Division of Corporation Finance Staff Legal Bulletin No. 1. In accordance with Rule 406 and Staff Legal Bulletin No. 1, these confidential portions have been omitted and filed separately with the SEC.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9" w:name="SIGNATURES_823750"/>
      <w:bookmarkStart w:id="140" w:name="_786470c4_1cac_4de2_9a29_d0daa86ab093"/>
      <w:bookmarkEnd w:id="139"/>
      <w:bookmarkEnd w:id="140"/>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registrant hereby certifies that it meets all of the requirements for filing its annual report on Form 20-F and that it has duly caused and authorized the undersigned to sign this annual report on its behalf.</w:t>
      </w:r>
    </w:p>
    <w:tbl>
      <w:tblPr>
        <w:tblW w:w="5704" w:type="dxa"/>
        <w:jc w:val="left"/>
        <w:tblInd w:w="0" w:type="dxa"/>
        <w:tblLayout w:type="fixed"/>
        <w:tblCellMar>
          <w:top w:w="0" w:type="dxa"/>
          <w:left w:w="0" w:type="dxa"/>
          <w:bottom w:w="0" w:type="dxa"/>
          <w:right w:w="0" w:type="dxa"/>
        </w:tblCellMar>
      </w:tblPr>
      <w:tblGrid>
        <w:gridCol w:w="1681"/>
        <w:gridCol w:w="406"/>
        <w:gridCol w:w="631"/>
        <w:gridCol w:w="2986"/>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617"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681" w:type="dxa"/>
            <w:tcBorders/>
            <w:vAlign w:val="center"/>
          </w:tcPr>
          <w:p>
            <w:pPr>
              <w:pStyle w:val="TableContents"/>
              <w:bidi w:val="0"/>
              <w:spacing w:before="0" w:after="283"/>
              <w:ind w:left="0" w:right="0" w:hanging="0"/>
              <w:jc w:val="left"/>
              <w:rPr>
                <w:sz w:val="4"/>
                <w:szCs w:val="4"/>
              </w:rPr>
            </w:pPr>
            <w:r>
              <w:rPr>
                <w:sz w:val="4"/>
                <w:szCs w:val="4"/>
              </w:rPr>
            </w:r>
          </w:p>
        </w:tc>
        <w:tc>
          <w:tcPr>
            <w:tcW w:w="4023"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NIO Inc. </w:t>
            </w:r>
          </w:p>
        </w:tc>
      </w:tr>
      <w:tr>
        <w:trPr/>
        <w:tc>
          <w:tcPr>
            <w:tcW w:w="1681" w:type="dxa"/>
            <w:tcBorders/>
            <w:vAlign w:val="center"/>
          </w:tcPr>
          <w:p>
            <w:pPr>
              <w:pStyle w:val="TableContents"/>
              <w:bidi w:val="0"/>
              <w:spacing w:before="0" w:after="0"/>
              <w:ind w:left="0" w:right="0" w:hanging="0"/>
              <w:jc w:val="left"/>
              <w:rPr/>
            </w:pPr>
            <w:r>
              <w:rPr/>
              <w:t> </w:t>
            </w:r>
          </w:p>
        </w:tc>
        <w:tc>
          <w:tcPr>
            <w:tcW w:w="4023" w:type="dxa"/>
            <w:gridSpan w:val="3"/>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61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Bin Li</w:t>
            </w:r>
          </w:p>
        </w:tc>
      </w:tr>
      <w:tr>
        <w:trPr/>
        <w:tc>
          <w:tcPr>
            <w:tcW w:w="168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Bin Li</w:t>
            </w:r>
          </w:p>
        </w:tc>
      </w:tr>
      <w:tr>
        <w:trPr/>
        <w:tc>
          <w:tcPr>
            <w:tcW w:w="168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w:t>
              <w:br/>
              <w:t>and Chief Executive Officer</w:t>
            </w:r>
          </w:p>
        </w:tc>
      </w:tr>
      <w:tr>
        <w:trPr/>
        <w:tc>
          <w:tcPr>
            <w:tcW w:w="168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8, 2025</w:t>
            </w:r>
          </w:p>
        </w:tc>
        <w:tc>
          <w:tcPr>
            <w:tcW w:w="406"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41" w:name="_8a18d2cb_e4f8_4eb5_9e76_2c893ef42b22"/>
      <w:bookmarkEnd w:id="141"/>
      <w:r>
        <w:rPr>
          <w:rFonts w:ascii="Times New Roman;Times;serif" w:hAnsi="Times New Roman;Times;serif"/>
          <w:b/>
          <w:sz w:val="20"/>
        </w:rPr>
        <w:t>INDEX TO CONSOLIDATED FINANCIAL STATEMENTS</w:t>
      </w:r>
    </w:p>
    <w:tbl>
      <w:tblPr>
        <w:tblW w:w="9212" w:type="dxa"/>
        <w:jc w:val="left"/>
        <w:tblInd w:w="0" w:type="dxa"/>
        <w:tblLayout w:type="fixed"/>
        <w:tblCellMar>
          <w:top w:w="0" w:type="dxa"/>
          <w:left w:w="0" w:type="dxa"/>
          <w:bottom w:w="0" w:type="dxa"/>
          <w:right w:w="0" w:type="dxa"/>
        </w:tblCellMar>
      </w:tblPr>
      <w:tblGrid>
        <w:gridCol w:w="8686"/>
        <w:gridCol w:w="526"/>
      </w:tblGrid>
      <w:tr>
        <w:trPr/>
        <w:tc>
          <w:tcPr>
            <w:tcW w:w="8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515610" cy="29210"/>
                      <wp:effectExtent l="0" t="0" r="0" b="0"/>
                      <wp:wrapNone/>
                      <wp:docPr id="121" name="Frame118"/>
                      <a:graphic xmlns:a="http://schemas.openxmlformats.org/drawingml/2006/main">
                        <a:graphicData uri="http://schemas.microsoft.com/office/word/2010/wordprocessingShape">
                          <wps:wsp>
                            <wps:cNvSpPr txBox="1"/>
                            <wps:spPr>
                              <a:xfrm>
                                <a:off x="0" y="0"/>
                                <a:ext cx="5515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34010" cy="29210"/>
                      <wp:effectExtent l="0" t="0" r="0" b="0"/>
                      <wp:wrapNone/>
                      <wp:docPr id="122" name="Frame119"/>
                      <a:graphic xmlns:a="http://schemas.openxmlformats.org/drawingml/2006/main">
                        <a:graphicData uri="http://schemas.microsoft.com/office/word/2010/wordprocessingShape">
                          <wps:wsp>
                            <wps:cNvSpPr txBox="1"/>
                            <wps:spPr>
                              <a:xfrm>
                                <a:off x="0" y="0"/>
                                <a:ext cx="334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686" w:type="dxa"/>
            <w:tcBorders/>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686" w:type="dxa"/>
            <w:tcBorders/>
            <w:vAlign w:val="center"/>
          </w:tcPr>
          <w:p>
            <w:pPr>
              <w:pStyle w:val="TableContents"/>
              <w:bidi w:val="0"/>
              <w:spacing w:before="0" w:after="0"/>
              <w:ind w:left="0" w:right="0" w:hanging="0"/>
              <w:jc w:val="left"/>
              <w:rPr/>
            </w:pPr>
            <w:r>
              <w:rPr/>
              <w:t> </w:t>
            </w:r>
          </w:p>
        </w:tc>
        <w:tc>
          <w:tcPr>
            <w:tcW w:w="526" w:type="dxa"/>
            <w:tcBorders>
              <w:top w:val="single" w:sz="2" w:space="0" w:color="000000"/>
            </w:tcBorders>
            <w:tcMar>
              <w:top w:w="28" w:type="dxa"/>
            </w:tcMar>
            <w:vAlign w:val="center"/>
          </w:tcPr>
          <w:p>
            <w:pPr>
              <w:pStyle w:val="TableContents"/>
              <w:bidi w:val="0"/>
              <w:spacing w:before="0" w:after="0"/>
              <w:ind w:left="0" w:right="0" w:hanging="0"/>
              <w:jc w:val="right"/>
              <w:rPr/>
            </w:pPr>
            <w:r>
              <w:rPr/>
              <w:t> </w:t>
            </w:r>
          </w:p>
        </w:tc>
      </w:tr>
      <w:tr>
        <w:trPr/>
        <w:tc>
          <w:tcPr>
            <w:tcW w:w="86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Financial Statements</w:t>
            </w:r>
          </w:p>
        </w:tc>
        <w:tc>
          <w:tcPr>
            <w:tcW w:w="526"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8686" w:type="dxa"/>
            <w:tcBorders/>
            <w:vAlign w:val="center"/>
          </w:tcPr>
          <w:p>
            <w:pPr>
              <w:pStyle w:val="TableContents"/>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Reported of Independent Registered Public Accounting Firm</w:t>
              </w:r>
            </w:hyperlink>
            <w:r>
              <w:rPr>
                <w:rFonts w:ascii="Times New Roman;Times;serif" w:hAnsi="Times New Roman;Times;serif"/>
                <w:sz w:val="20"/>
              </w:rPr>
              <w:t xml:space="preserve"> (PCAOB ID: 1424)</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F-2</w:t>
            </w:r>
          </w:p>
        </w:tc>
      </w:tr>
      <w:tr>
        <w:trPr/>
        <w:tc>
          <w:tcPr>
            <w:tcW w:w="8686" w:type="dxa"/>
            <w:tcBorders/>
            <w:shd w:fill="CCEEFF" w:val="clear"/>
            <w:vAlign w:val="center"/>
          </w:tcPr>
          <w:p>
            <w:pPr>
              <w:pStyle w:val="TableContents"/>
              <w:bidi w:val="0"/>
              <w:spacing w:before="0" w:after="0"/>
              <w:ind w:left="0" w:right="0" w:hanging="0"/>
              <w:jc w:val="left"/>
              <w:rPr/>
            </w:pPr>
            <w:hyperlink w:anchor="CONSOLIDATEDBALANCESHEETS_666162">
              <w:r>
                <w:rPr>
                  <w:rStyle w:val="InternetLink"/>
                  <w:rFonts w:ascii="Times New Roman;Times;serif" w:hAnsi="Times New Roman;Times;serif"/>
                  <w:b w:val="false"/>
                  <w:i w:val="false"/>
                  <w:caps w:val="false"/>
                  <w:smallCaps w:val="false"/>
                  <w:sz w:val="20"/>
                </w:rPr>
                <w:t>Consolidated Balance Sheets as of December 31, 2023 and 2024</w:t>
              </w:r>
            </w:hyperlink>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F-5</w:t>
            </w:r>
          </w:p>
        </w:tc>
      </w:tr>
      <w:tr>
        <w:trPr/>
        <w:tc>
          <w:tcPr>
            <w:tcW w:w="8686" w:type="dxa"/>
            <w:tcBorders/>
            <w:vAlign w:val="center"/>
          </w:tcPr>
          <w:p>
            <w:pPr>
              <w:pStyle w:val="TableContents"/>
              <w:bidi w:val="0"/>
              <w:spacing w:before="0" w:after="0"/>
              <w:ind w:left="0" w:right="0" w:hanging="0"/>
              <w:jc w:val="left"/>
              <w:rPr/>
            </w:pPr>
            <w:hyperlink w:anchor="CONSOLIDATEDSTATEMENTSOFCOMPREHENSIVELOS">
              <w:r>
                <w:rPr>
                  <w:rStyle w:val="InternetLink"/>
                  <w:rFonts w:ascii="Times New Roman;Times;serif" w:hAnsi="Times New Roman;Times;serif"/>
                  <w:b w:val="false"/>
                  <w:i w:val="false"/>
                  <w:caps w:val="false"/>
                  <w:smallCaps w:val="false"/>
                  <w:sz w:val="20"/>
                </w:rPr>
                <w:t>Consolidated Statements of Comprehensive Loss for the Years Ended December 31, 2022, 2023 and 2024</w:t>
              </w:r>
            </w:hyperlink>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F-7</w:t>
            </w:r>
          </w:p>
        </w:tc>
      </w:tr>
      <w:tr>
        <w:trPr/>
        <w:tc>
          <w:tcPr>
            <w:tcW w:w="8686" w:type="dxa"/>
            <w:tcBorders/>
            <w:shd w:fill="CCEEFF" w:val="clear"/>
            <w:vAlign w:val="center"/>
          </w:tcPr>
          <w:p>
            <w:pPr>
              <w:pStyle w:val="TableContents"/>
              <w:bidi w:val="0"/>
              <w:spacing w:before="0" w:after="0"/>
              <w:ind w:left="0" w:right="0" w:hanging="0"/>
              <w:jc w:val="left"/>
              <w:rPr/>
            </w:pPr>
            <w:hyperlink w:anchor="CONSOLIDATEDSTATEMENTSOFSHAREHOLDERSDEFI">
              <w:r>
                <w:rPr>
                  <w:rStyle w:val="InternetLink"/>
                  <w:rFonts w:ascii="Times New Roman;Times;serif" w:hAnsi="Times New Roman;Times;serif"/>
                  <w:b w:val="false"/>
                  <w:i w:val="false"/>
                  <w:caps w:val="false"/>
                  <w:smallCaps w:val="false"/>
                  <w:sz w:val="20"/>
                </w:rPr>
                <w:t>Consolidated Statements of Shareholders’ Equity for the Years Ended December 31, 2022, 2023 and 2024</w:t>
              </w:r>
            </w:hyperlink>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F-8</w:t>
            </w:r>
          </w:p>
        </w:tc>
      </w:tr>
      <w:tr>
        <w:trPr/>
        <w:tc>
          <w:tcPr>
            <w:tcW w:w="8686" w:type="dxa"/>
            <w:tcBorders/>
            <w:vAlign w:val="center"/>
          </w:tcPr>
          <w:p>
            <w:pPr>
              <w:pStyle w:val="TableContents"/>
              <w:bidi w:val="0"/>
              <w:spacing w:before="0" w:after="0"/>
              <w:ind w:left="0" w:right="0" w:hanging="0"/>
              <w:jc w:val="left"/>
              <w:rPr/>
            </w:pPr>
            <w:hyperlink w:anchor="CONSOLIDATEDSTATEMENTSOFCASHFLOWS_373185">
              <w:r>
                <w:rPr>
                  <w:rStyle w:val="InternetLink"/>
                  <w:rFonts w:ascii="Times New Roman;Times;serif" w:hAnsi="Times New Roman;Times;serif"/>
                  <w:b w:val="false"/>
                  <w:i w:val="false"/>
                  <w:caps w:val="false"/>
                  <w:smallCaps w:val="false"/>
                  <w:sz w:val="20"/>
                </w:rPr>
                <w:t>Consolidated Statements of Cash Flows for the Years Ended December 31, 2022, 2023 and 2024</w:t>
              </w:r>
            </w:hyperlink>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F-11</w:t>
            </w:r>
          </w:p>
        </w:tc>
      </w:tr>
      <w:tr>
        <w:trPr/>
        <w:tc>
          <w:tcPr>
            <w:tcW w:w="8686" w:type="dxa"/>
            <w:tcBorders/>
            <w:shd w:fill="CCEEFF" w:val="clear"/>
            <w:vAlign w:val="center"/>
          </w:tcPr>
          <w:p>
            <w:pPr>
              <w:pStyle w:val="TableContents"/>
              <w:bidi w:val="0"/>
              <w:spacing w:before="0" w:after="0"/>
              <w:ind w:left="0" w:right="0" w:hanging="0"/>
              <w:jc w:val="left"/>
              <w:rPr/>
            </w:pPr>
            <w:hyperlink w:anchor="a1OrganizationandNatureofOperations_8253">
              <w:r>
                <w:rPr>
                  <w:rStyle w:val="InternetLink"/>
                  <w:rFonts w:ascii="Times New Roman;Times;serif" w:hAnsi="Times New Roman;Times;serif"/>
                  <w:b w:val="false"/>
                  <w:i w:val="false"/>
                  <w:caps w:val="false"/>
                  <w:smallCaps w:val="false"/>
                  <w:sz w:val="20"/>
                </w:rPr>
                <w:t>Notes to Consolidated Financial Statements</w:t>
              </w:r>
            </w:hyperlink>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F-12</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42" w:name="ReportofIndependentRegisteredPublicAccou"/>
      <w:bookmarkStart w:id="143" w:name="_2c04344a_0a98_47f7_8deb_c192284eff17"/>
      <w:bookmarkEnd w:id="142"/>
      <w:bookmarkEnd w:id="143"/>
      <w:r>
        <w:rPr>
          <w:rFonts w:ascii="Times New Roman;Times;serif" w:hAnsi="Times New Roman;Times;serif"/>
          <w:b/>
          <w:sz w:val="20"/>
        </w:rPr>
        <w:t>Report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Board of Directors and Shareholders of NIO Inc.</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Opinions on the Financial Statements and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audited the accompanying consolidated balance sheets of NIO Inc. and its subsidiaries (the “Company”) as of December 31, 2024 and 2023, and the related consolidated statements of comprehensive loss, of shareholders’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Times New Roman;Times;serif" w:hAnsi="Times New Roman;Times;serif"/>
          <w:i/>
          <w:sz w:val="20"/>
        </w:rPr>
        <w:t xml:space="preserve">Internal Control - Integrated Framework </w:t>
      </w:r>
      <w:r>
        <w:rPr>
          <w:rFonts w:ascii="Times New Roman;Times;serif" w:hAnsi="Times New Roman;Times;serif"/>
          <w:sz w:val="20"/>
        </w:rPr>
        <w:t>(2013) issued by the Committee of Sponsoring Organizations of the Treadway Commission (COSO).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Times;serif" w:hAnsi="Times New Roman;Times;serif"/>
          <w:i/>
          <w:sz w:val="20"/>
        </w:rPr>
        <w:t xml:space="preserve">Internal Control - Integrated Framework </w:t>
      </w:r>
      <w:r>
        <w:rPr>
          <w:rFonts w:ascii="Times New Roman;Times;serif" w:hAnsi="Times New Roman;Times;serif"/>
          <w:sz w:val="20"/>
        </w:rPr>
        <w:t>(2013) issued by the COSO.</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for Opinions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Definition and Limitations of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Critical Audit Matters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Going concern assessment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described in Note 1 to the consolidated financial statements, the Company has been incurring losses from operations since inception and operating cash outflow for each of the three years in the period ended December 31, 2024. As of December 31, 2024, the Company had accumulated deficits, and the current liabilities exceeded current assets. The Company’s ability to continue as a going concern is largely dependent on the successful implementation of management’s business plan to mitigate these adverse conditions, based on which, management prepared a cash flows forecast covering the twelve months from the date of issuance of the consolidated financial statements after giving consideration to its business plan and the evaluation of the probability of the successful implementation of such business plan. Management has concluded it is probable that the business plan will be effectively implemented, and the Company’s available cash and cash equivalents, restricted cash and short-term investments, cash generated from operating activities and funds from available credit quotas and other sources will be sufficient to support its continuous operations and necessary capital expenditures, and to meet its payment obligations when liabilities fall due within the twelve months from the date of issuance of the consolidated financial statements. Such conclusion required management to make judgments related to its ability to successfully implement the business plan and the resulting growth in revenue, working capital turnover rate and raising funds from banks under available credit quotas and other sources when needed when developing the cash flows forecast.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principal considerations for our determination that performing procedures relating to the going concern assessment is a critical audit matter are the significant judgment by management when developing its business plan, assessing that the business plan will be effectively implemented, and developing the cash flows forecast included in management’s going concern assessment. This in turn led to a high degree of auditor judgment, subjectivity, and effort in performing procedures and evaluating audit evidence relating to management’s business plan, management’s assessment that the business plan will be effectively implemented and management’s cash flows forecast.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Addressing the matter involved performing procedures and evaluating audit evidence in connection with forming our overall opinion on the consolidated financial statements. These procedures included testing the effectiveness of internal controls relating to management’s going concern assessment, including the Company’s controls over the preparation of the business plan and the cash flows forecast. These procedures also included, among others, (i) testing management’s process for developing the business plan and the cash flows forecast included in the going concern assessment; (ii) testing the completeness, accuracy, and relevance of underlying data used in developing the business plan and the cash flows forecast; and (iii) evaluating the reasonableness of the judgments made by management in evaluating whether the business plan will be effectively implemented and in the cash flows forecast, by considering the Company’s current and past performance, relevant industry forecasts and market developments.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Accrual of warranty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described in Notes 2(p), 11 and 13 to the consolidated financial statements, the Company provides warranty to its customers for all new vehicles it sold. For the year ended December 31, 2024, the Company accrued warranty costs of RMB1,168.1 million. As of December 31, 2024, the Company recorded warranty liabilities of RMB4,720.7 million. The warranty cost is accrued based on the Company’s assumptions and judgments related to the nature and frequency of future claims and the estimate of the projected costs to repair or replace items under warranty. These estimates are based on actual claims incurred to date and an estimate of the nature, frequency and costs of future claims.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principal considerations for our determination that performing procedures relating to the accrual of warranty liabilities is a critical audit matter are the significant judgment by management when developing the assumptions related to the nature, frequency and costs of future claims in determining the accrual of warranty liabilities; this in turn led to a high degree of auditor judgment, subjectivity, and effort in designing and performing procedures relating to evaluating the reasonableness of management’s assumptions. In addition, the audit effort included the involvement of professionals with specialized skills and knowledge to assist in performing these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Addressing the matter involved performing procedures and evaluating audit evidence in connection with forming our overall opinion on the consolidated financial statements. These procedures included testing the effectiveness of controls relating to management’s estimate of the accrual of warranty liabilities, including controls over management’s estimate of the nature, frequency and costs of future claims as well as the completeness and accuracy of actual claims incurred to date. These procedures also included, among others, testing management’s process for determining the accrual of warranty liabilities by (a) evaluating the appropriateness of the model applied by management for the accrual of warranty liabilities; (b) evaluating the reasonableness of significant assumptions and judgments related to the nature and frequency of future claims and the related projected costs to repair or replace items under warranty, by considering current and past performance, including a lookback analysis comparing prior period forecasted claims to actual claims incurred; and (c) testing the completeness, accuracy and relevance of management’s data used in the estimate of future claims. These procedures also included developing an independent estimate of the accrual of warranty liabilities and comparing this estimate to management’s estimate to evaluate its reasonableness. Professionals with specialized skill and knowledge were used to assist in evaluating the appropriateness of the model applied by management for the accrual of warranty liabilities and developing an independent estimate of the accrual of warranty liabilities. Developing the independent estimate involved using independently determined assumptions related to the nature, frequency and costs of future claims.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/s/PricewaterhouseCoopers Zhong Tian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the People’s Republic of China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April 8,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2016.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4" w:name="_b2b35bc1_4715_4ef5_a9e7_4def36918f4d"/>
      <w:bookmarkEnd w:id="144"/>
      <w:r>
        <w:rPr>
          <w:rFonts w:ascii="Times New Roman;Times;serif" w:hAnsi="Times New Roman;Times;serif"/>
          <w:b/>
          <w:sz w:val="20"/>
        </w:rPr>
        <w:t>NIO INC.</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145" w:name="CONSOLIDATEDBALANCESHEETS_666162"/>
      <w:bookmarkEnd w:id="145"/>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46" w:name="Tc_CeVzkodZEEyE9C2LkXy6Dw_43_0"/>
      <w:bookmarkStart w:id="147" w:name="Tc_5HS2Mmu5dESqvuweyRmTWw_42_0"/>
      <w:bookmarkStart w:id="148" w:name="Tc_mubYibjviE2iVA14KVAPew_41_0"/>
      <w:bookmarkStart w:id="149" w:name="Tc_YZid6J-sBU-iV0JWJ6d2qg_40_0"/>
      <w:bookmarkStart w:id="150" w:name="Tc_hzWsGmv0fkiyN3szBlBElQ_39_0"/>
      <w:bookmarkStart w:id="151" w:name="Tc_-MdDMgU6NkWhgGKBPrDe1w_38_2"/>
      <w:bookmarkStart w:id="152" w:name="Tc_9Lo-L1RW7EaOt2aGrGMchQ_38_0"/>
      <w:bookmarkStart w:id="153" w:name="Tc_K5PJ6bMlp0-NSM7MiNUi7g_37_0"/>
      <w:bookmarkStart w:id="154" w:name="Tc_sRIGCHTuKEyr-W3P9H5usA_36_0"/>
      <w:bookmarkStart w:id="155" w:name="Tc_HxRmpW_U9k2Um0_PdINcCw_35_0"/>
      <w:bookmarkStart w:id="156" w:name="Tc_nrkyg4aV6ku1Dw88ObpdJg_34_0"/>
      <w:bookmarkStart w:id="157" w:name="Tc_tZfoYbEPZkOFJYifSIIVVQ_33_0"/>
      <w:bookmarkStart w:id="158" w:name="Tc_LkAqZ4B9-ESxQJa8We4Dig_32_0"/>
      <w:bookmarkStart w:id="159" w:name="Tc_IW4DRsg7z0y5XiyTaWdpUQ_31_0"/>
      <w:bookmarkStart w:id="160" w:name="Tc_KjwoVFn9oUCpnqemgXoA7Q_30_0"/>
      <w:bookmarkStart w:id="161" w:name="Tc_eli03jniKkOWYyk3UZX-Gg_28_0"/>
      <w:bookmarkStart w:id="162" w:name="Tc_rheXZkGL2kybEj2hzeU32g_27_0"/>
      <w:bookmarkStart w:id="163" w:name="Tc_30HWqP_iqE2knrsvtTpnag_26_0"/>
      <w:bookmarkStart w:id="164" w:name="Tc_ODcRt4sy70yr--HqFLon_Q_25_0"/>
      <w:bookmarkStart w:id="165" w:name="Tc_4A5b7AoM8UWzQzqqnhKxfg_24_0"/>
      <w:bookmarkStart w:id="166" w:name="Tc_e6gZ5VtQuUGOHEoR2EbWVg_23_0"/>
      <w:bookmarkStart w:id="167" w:name="Tc_vz09RvhRgEaEPI6UbsHu3w_22_0"/>
      <w:bookmarkStart w:id="168" w:name="Tc_bnnnzkMOiEObcnl5x7kqMQ_21_0"/>
      <w:bookmarkStart w:id="169" w:name="Tc_Mkhdnpn9vEi6GEBdBKk41w_20_0"/>
      <w:bookmarkStart w:id="170" w:name="Tc_oaOKJztd_k6FlrA77ztXfw_19_0"/>
      <w:bookmarkStart w:id="171" w:name="Tc_xu0ZHdn9-U-qT4C92wBT3Q_18_0"/>
      <w:bookmarkStart w:id="172" w:name="Tc_IL_MIBsSLkyCtpqhUEjyTA_17_0"/>
      <w:bookmarkStart w:id="173" w:name="Tc__MhbIKnAvE211vyAnwJEDQ_16_0"/>
      <w:bookmarkStart w:id="174" w:name="Tc_g4fyOwOSFkOCQxeDkg72Cg_15_0"/>
      <w:bookmarkStart w:id="175" w:name="Tc_qpVinpdnA0GAeboHp8ttrQ_14_0"/>
      <w:bookmarkStart w:id="176" w:name="Tc_ABN9eChwx0Gcc4qwN85Dyg_13_0"/>
      <w:bookmarkStart w:id="177" w:name="Tc_t3dspLaGikC-NTo7xLe02w_12_0"/>
      <w:bookmarkStart w:id="178" w:name="Tc_VmwIE7sU1kGFhDscwC-3LQ_11_0"/>
      <w:bookmarkStart w:id="179" w:name="Tc_Pzenh7mKekSh9ro2Y9pHjw_10_0"/>
      <w:bookmarkStart w:id="180" w:name="Tc_Dmq434AKhkSVLD1CcQcEsw_9_0"/>
      <w:bookmarkStart w:id="181" w:name="Tc_1ew7I4VgZUSJrljrHfJn2Q_8_0"/>
      <w:bookmarkStart w:id="182" w:name="Tc_m-jx33CaUk6QQZBk4Z1m9w_7_0"/>
      <w:bookmarkStart w:id="183" w:name="Tc_Mtb5ZVz4fEKGZv-3RPCxgw_6_0"/>
      <w:bookmarkStart w:id="184" w:name="Tc_10OhRIY4ZkieL-1iOfILDw_5_0"/>
      <w:bookmarkStart w:id="185" w:name="Tc_frDSAR5boUusdn6LN3b-yg_4_6"/>
      <w:bookmarkStart w:id="186" w:name="Tc_raXo-fxfY0-6v5sjVup09Q_3_6"/>
      <w:bookmarkStart w:id="187" w:name="Tc_fg9nCZngpkWLue09PTfhVw_3_4"/>
      <w:bookmarkStart w:id="188" w:name="Tc_ZkEPiBhDmEGhBpB8povz8Q_3_2"/>
      <w:bookmarkStart w:id="189" w:name="Tc_FiJsOkHpg0qxQvJOYShhIg_2_6"/>
      <w:bookmarkStart w:id="190" w:name="Tc_ENHlD04iCUW8nyyEb5ev0Q_2_4"/>
      <w:bookmarkStart w:id="191" w:name="Tc_xciJAG0BHUiwMKbOGs-ixg_2_2"/>
      <w:bookmarkStart w:id="192" w:name="Tc_yxQDeMO7XUSh-7qhsjQOtQ_1_2"/>
      <w:bookmarkStart w:id="193" w:name="_90f41ffd_5e37_4f4b_b405_b31ea5de3875"/>
      <w:bookmarkStart w:id="194" w:name="Tc_CeVzkodZEEyE9C2LkXy6Dw_43_0"/>
      <w:bookmarkStart w:id="195" w:name="Tc_5HS2Mmu5dESqvuweyRmTWw_42_0"/>
      <w:bookmarkStart w:id="196" w:name="Tc_mubYibjviE2iVA14KVAPew_41_0"/>
      <w:bookmarkStart w:id="197" w:name="Tc_YZid6J-sBU-iV0JWJ6d2qg_40_0"/>
      <w:bookmarkStart w:id="198" w:name="Tc_hzWsGmv0fkiyN3szBlBElQ_39_0"/>
      <w:bookmarkStart w:id="199" w:name="Tc_-MdDMgU6NkWhgGKBPrDe1w_38_2"/>
      <w:bookmarkStart w:id="200" w:name="Tc_9Lo-L1RW7EaOt2aGrGMchQ_38_0"/>
      <w:bookmarkStart w:id="201" w:name="Tc_K5PJ6bMlp0-NSM7MiNUi7g_37_0"/>
      <w:bookmarkStart w:id="202" w:name="Tc_sRIGCHTuKEyr-W3P9H5usA_36_0"/>
      <w:bookmarkStart w:id="203" w:name="Tc_HxRmpW_U9k2Um0_PdINcCw_35_0"/>
      <w:bookmarkStart w:id="204" w:name="Tc_nrkyg4aV6ku1Dw88ObpdJg_34_0"/>
      <w:bookmarkStart w:id="205" w:name="Tc_tZfoYbEPZkOFJYifSIIVVQ_33_0"/>
      <w:bookmarkStart w:id="206" w:name="Tc_LkAqZ4B9-ESxQJa8We4Dig_32_0"/>
      <w:bookmarkStart w:id="207" w:name="Tc_IW4DRsg7z0y5XiyTaWdpUQ_31_0"/>
      <w:bookmarkStart w:id="208" w:name="Tc_KjwoVFn9oUCpnqemgXoA7Q_30_0"/>
      <w:bookmarkStart w:id="209" w:name="Tc_eli03jniKkOWYyk3UZX-Gg_28_0"/>
      <w:bookmarkStart w:id="210" w:name="Tc_rheXZkGL2kybEj2hzeU32g_27_0"/>
      <w:bookmarkStart w:id="211" w:name="Tc_30HWqP_iqE2knrsvtTpnag_26_0"/>
      <w:bookmarkStart w:id="212" w:name="Tc_ODcRt4sy70yr--HqFLon_Q_25_0"/>
      <w:bookmarkStart w:id="213" w:name="Tc_4A5b7AoM8UWzQzqqnhKxfg_24_0"/>
      <w:bookmarkStart w:id="214" w:name="Tc_e6gZ5VtQuUGOHEoR2EbWVg_23_0"/>
      <w:bookmarkStart w:id="215" w:name="Tc_vz09RvhRgEaEPI6UbsHu3w_22_0"/>
      <w:bookmarkStart w:id="216" w:name="Tc_bnnnzkMOiEObcnl5x7kqMQ_21_0"/>
      <w:bookmarkStart w:id="217" w:name="Tc_Mkhdnpn9vEi6GEBdBKk41w_20_0"/>
      <w:bookmarkStart w:id="218" w:name="Tc_oaOKJztd_k6FlrA77ztXfw_19_0"/>
      <w:bookmarkStart w:id="219" w:name="Tc_xu0ZHdn9-U-qT4C92wBT3Q_18_0"/>
      <w:bookmarkStart w:id="220" w:name="Tc_IL_MIBsSLkyCtpqhUEjyTA_17_0"/>
      <w:bookmarkStart w:id="221" w:name="Tc__MhbIKnAvE211vyAnwJEDQ_16_0"/>
      <w:bookmarkStart w:id="222" w:name="Tc_g4fyOwOSFkOCQxeDkg72Cg_15_0"/>
      <w:bookmarkStart w:id="223" w:name="Tc_qpVinpdnA0GAeboHp8ttrQ_14_0"/>
      <w:bookmarkStart w:id="224" w:name="Tc_ABN9eChwx0Gcc4qwN85Dyg_13_0"/>
      <w:bookmarkStart w:id="225" w:name="Tc_t3dspLaGikC-NTo7xLe02w_12_0"/>
      <w:bookmarkStart w:id="226" w:name="Tc_VmwIE7sU1kGFhDscwC-3LQ_11_0"/>
      <w:bookmarkStart w:id="227" w:name="Tc_Pzenh7mKekSh9ro2Y9pHjw_10_0"/>
      <w:bookmarkStart w:id="228" w:name="Tc_Dmq434AKhkSVLD1CcQcEsw_9_0"/>
      <w:bookmarkStart w:id="229" w:name="Tc_1ew7I4VgZUSJrljrHfJn2Q_8_0"/>
      <w:bookmarkStart w:id="230" w:name="Tc_m-jx33CaUk6QQZBk4Z1m9w_7_0"/>
      <w:bookmarkStart w:id="231" w:name="Tc_Mtb5ZVz4fEKGZv-3RPCxgw_6_0"/>
      <w:bookmarkStart w:id="232" w:name="Tc_10OhRIY4ZkieL-1iOfILDw_5_0"/>
      <w:bookmarkStart w:id="233" w:name="Tc_frDSAR5boUusdn6LN3b-yg_4_6"/>
      <w:bookmarkStart w:id="234" w:name="Tc_raXo-fxfY0-6v5sjVup09Q_3_6"/>
      <w:bookmarkStart w:id="235" w:name="Tc_fg9nCZngpkWLue09PTfhVw_3_4"/>
      <w:bookmarkStart w:id="236" w:name="Tc_ZkEPiBhDmEGhBpB8povz8Q_3_2"/>
      <w:bookmarkStart w:id="237" w:name="Tc_FiJsOkHpg0qxQvJOYShhIg_2_6"/>
      <w:bookmarkStart w:id="238" w:name="Tc_ENHlD04iCUW8nyyEb5ev0Q_2_4"/>
      <w:bookmarkStart w:id="239" w:name="Tc_xciJAG0BHUiwMKbOGs-ixg_2_2"/>
      <w:bookmarkStart w:id="240" w:name="Tc_yxQDeMO7XUSh-7qhsjQOtQ_1_2"/>
      <w:bookmarkStart w:id="241" w:name="_90f41ffd_5e37_4f4b_b405_b31ea5de3875"/>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tbl>
      <w:tblPr>
        <w:tblW w:w="10205" w:type="dxa"/>
        <w:jc w:val="left"/>
        <w:tblInd w:w="0" w:type="dxa"/>
        <w:tblLayout w:type="fixed"/>
        <w:tblCellMar>
          <w:top w:w="0" w:type="dxa"/>
          <w:left w:w="0" w:type="dxa"/>
          <w:bottom w:w="0" w:type="dxa"/>
          <w:right w:w="0" w:type="dxa"/>
        </w:tblCellMar>
      </w:tblPr>
      <w:tblGrid>
        <w:gridCol w:w="6254"/>
        <w:gridCol w:w="326"/>
        <w:gridCol w:w="1006"/>
        <w:gridCol w:w="326"/>
        <w:gridCol w:w="1006"/>
        <w:gridCol w:w="326"/>
        <w:gridCol w:w="961"/>
      </w:tblGrid>
      <w:tr>
        <w:trPr/>
        <w:tc>
          <w:tcPr>
            <w:tcW w:w="6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971290" cy="175260"/>
                      <wp:effectExtent l="0" t="0" r="0" b="0"/>
                      <wp:wrapNone/>
                      <wp:docPr id="123" name="Frame120"/>
                      <a:graphic xmlns:a="http://schemas.openxmlformats.org/drawingml/2006/main">
                        <a:graphicData uri="http://schemas.microsoft.com/office/word/2010/wordprocessingShape">
                          <wps:wsp>
                            <wps:cNvSpPr txBox="1"/>
                            <wps:spPr>
                              <a:xfrm>
                                <a:off x="0" y="0"/>
                                <a:ext cx="397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24"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38810" cy="175260"/>
                      <wp:effectExtent l="0" t="0" r="0" b="0"/>
                      <wp:wrapNone/>
                      <wp:docPr id="125" name="Frame12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26"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38810" cy="175260"/>
                      <wp:effectExtent l="0" t="0" r="0" b="0"/>
                      <wp:wrapNone/>
                      <wp:docPr id="127" name="Frame124"/>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28"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10235" cy="175260"/>
                      <wp:effectExtent l="0" t="0" r="0" b="0"/>
                      <wp:wrapNone/>
                      <wp:docPr id="129" name="Frame126"/>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62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2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USD</w:t>
            </w:r>
          </w:p>
        </w:tc>
      </w:tr>
      <w:tr>
        <w:trPr/>
        <w:tc>
          <w:tcPr>
            <w:tcW w:w="62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 2(e)</w:t>
            </w:r>
          </w:p>
        </w:tc>
      </w:tr>
      <w:tr>
        <w:trPr/>
        <w:tc>
          <w:tcPr>
            <w:tcW w:w="625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r>
      <w:tr>
        <w:trPr/>
        <w:tc>
          <w:tcPr>
            <w:tcW w:w="625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r>
      <w:tr>
        <w:trPr/>
        <w:tc>
          <w:tcPr>
            <w:tcW w:w="62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32,935,111</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19,328,920</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2,648,051</w:t>
            </w:r>
          </w:p>
        </w:tc>
      </w:tr>
      <w:tr>
        <w:trPr/>
        <w:tc>
          <w:tcPr>
            <w:tcW w:w="625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5,542,271</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8,320,728</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1,139,935</w:t>
            </w:r>
          </w:p>
        </w:tc>
      </w:tr>
      <w:tr>
        <w:trPr/>
        <w:tc>
          <w:tcPr>
            <w:tcW w:w="62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16,810,107</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14,137,566</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1,936,839</w:t>
            </w:r>
          </w:p>
        </w:tc>
      </w:tr>
      <w:tr>
        <w:trPr/>
        <w:tc>
          <w:tcPr>
            <w:tcW w:w="625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Trade and notes receivables, net (Allowance for expected credit losses of RMB46.2 million and RMB38.5 million as of December 31, 2023 and 2024, respectively)</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4,657,652</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1,676,246</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229,645</w:t>
            </w:r>
          </w:p>
        </w:tc>
      </w:tr>
      <w:tr>
        <w:trPr/>
        <w:tc>
          <w:tcPr>
            <w:tcW w:w="62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Amounts due from related parties, net (Allowance for expected credit losses of RMB8.8 million and RMB10.1 million as of December 31, 2023 and 2024, respectively)</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1,722,603</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7,702,404</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1,055,225</w:t>
            </w:r>
          </w:p>
        </w:tc>
      </w:tr>
      <w:tr>
        <w:trPr/>
        <w:tc>
          <w:tcPr>
            <w:tcW w:w="625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Inventory</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5,277,726</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7,087,223</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970,946</w:t>
            </w:r>
          </w:p>
        </w:tc>
      </w:tr>
      <w:tr>
        <w:trPr/>
        <w:tc>
          <w:tcPr>
            <w:tcW w:w="62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Prepayments and other current assets, net (Allowance for expected credit losses of RMB5.4 million and RMB1.9 million as of December 31, 2023 and 2024, respectively)</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3,434,763</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3,632,956</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497,713</w:t>
            </w:r>
          </w:p>
        </w:tc>
      </w:tr>
      <w:tr>
        <w:trPr/>
        <w:tc>
          <w:tcPr>
            <w:tcW w:w="6254"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current assets</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70,380,233</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61,886,043</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8,478,354</w:t>
            </w:r>
          </w:p>
        </w:tc>
      </w:tr>
      <w:tr>
        <w:trPr/>
        <w:tc>
          <w:tcPr>
            <w:tcW w:w="62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625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restricted cash</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144,125</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97,720</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13,388</w:t>
            </w:r>
          </w:p>
        </w:tc>
      </w:tr>
      <w:tr>
        <w:trPr/>
        <w:tc>
          <w:tcPr>
            <w:tcW w:w="62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plant and equipment, net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24,847,004</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25,892,904</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3,547,313</w:t>
            </w:r>
          </w:p>
        </w:tc>
      </w:tr>
      <w:tr>
        <w:trPr/>
        <w:tc>
          <w:tcPr>
            <w:tcW w:w="625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Intangible assets, net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29,648</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29,648</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4,062</w:t>
            </w:r>
          </w:p>
        </w:tc>
      </w:tr>
      <w:tr>
        <w:trPr/>
        <w:tc>
          <w:tcPr>
            <w:tcW w:w="62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Land use rights, net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207,299</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201,995</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27,673</w:t>
            </w:r>
          </w:p>
        </w:tc>
      </w:tr>
      <w:tr>
        <w:trPr/>
        <w:tc>
          <w:tcPr>
            <w:tcW w:w="625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investments</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5,487,216</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3,126,007</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428,261</w:t>
            </w:r>
          </w:p>
        </w:tc>
      </w:tr>
      <w:tr>
        <w:trPr/>
        <w:tc>
          <w:tcPr>
            <w:tcW w:w="62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Right-of-use assets – operating lease</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11,404,116</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12,797,158</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1,753,203</w:t>
            </w:r>
          </w:p>
        </w:tc>
      </w:tr>
      <w:tr>
        <w:trPr/>
        <w:tc>
          <w:tcPr>
            <w:tcW w:w="625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assets, net (Allowance for expected credit losses of RMB53.4 million and RMB59.4 million as of December 31, 2023 and 2024, respectively)</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4,883,561</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3,573,137</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489,518</w:t>
            </w:r>
          </w:p>
        </w:tc>
      </w:tr>
      <w:tr>
        <w:trPr/>
        <w:tc>
          <w:tcPr>
            <w:tcW w:w="625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non-current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47,002,969</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45,718,569</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6,263,418</w:t>
            </w:r>
          </w:p>
        </w:tc>
      </w:tr>
      <w:tr>
        <w:trPr/>
        <w:tc>
          <w:tcPr>
            <w:tcW w:w="6254"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117,383,202</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107,604,612</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14,741,772</w:t>
            </w:r>
          </w:p>
        </w:tc>
      </w:tr>
      <w:tr>
        <w:trPr/>
        <w:tc>
          <w:tcPr>
            <w:tcW w:w="625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625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r>
      <w:tr>
        <w:trPr/>
        <w:tc>
          <w:tcPr>
            <w:tcW w:w="62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borrowings</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5,085,411</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5,729,561</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784,947</w:t>
            </w:r>
          </w:p>
        </w:tc>
      </w:tr>
      <w:tr>
        <w:trPr/>
        <w:tc>
          <w:tcPr>
            <w:tcW w:w="625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Trade and notes payable</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29,766,134</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34,387,266</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4,711,036</w:t>
            </w:r>
          </w:p>
        </w:tc>
      </w:tr>
      <w:tr>
        <w:trPr/>
        <w:tc>
          <w:tcPr>
            <w:tcW w:w="6254" w:type="dxa"/>
            <w:tcBorders/>
            <w:shd w:fill="CCEEFF" w:val="clear"/>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Amounts due to related parties, current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561,625</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409,363</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56,083</w:t>
            </w:r>
          </w:p>
        </w:tc>
      </w:tr>
      <w:tr>
        <w:trPr/>
        <w:tc>
          <w:tcPr>
            <w:tcW w:w="625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Taxes payable</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349,349</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400,146</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54,820</w:t>
            </w:r>
          </w:p>
        </w:tc>
      </w:tr>
      <w:tr>
        <w:trPr/>
        <w:tc>
          <w:tcPr>
            <w:tcW w:w="62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1,743,156</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1,945,987</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266,599</w:t>
            </w:r>
          </w:p>
        </w:tc>
      </w:tr>
      <w:tr>
        <w:trPr/>
        <w:tc>
          <w:tcPr>
            <w:tcW w:w="625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long-term borrowings</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4,736,087</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3,397,622</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465,472</w:t>
            </w:r>
          </w:p>
        </w:tc>
      </w:tr>
      <w:tr>
        <w:trPr/>
        <w:tc>
          <w:tcPr>
            <w:tcW w:w="62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Accruals and other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15,556,354</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16,041,079</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2,197,619</w:t>
            </w:r>
          </w:p>
        </w:tc>
      </w:tr>
      <w:tr>
        <w:trPr/>
        <w:tc>
          <w:tcPr>
            <w:tcW w:w="6254"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current liabilities</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57,798,116</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62,311,024</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8,536,576</w:t>
            </w:r>
          </w:p>
        </w:tc>
      </w:tr>
      <w:tr>
        <w:trPr/>
        <w:tc>
          <w:tcPr>
            <w:tcW w:w="62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625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borrowings</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13,042,861</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11,440,755</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1,567,377</w:t>
            </w:r>
          </w:p>
        </w:tc>
      </w:tr>
      <w:tr>
        <w:trPr/>
        <w:tc>
          <w:tcPr>
            <w:tcW w:w="62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Non-current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10,070,057</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11,260,735</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1,542,714</w:t>
            </w:r>
          </w:p>
        </w:tc>
      </w:tr>
      <w:tr>
        <w:trPr/>
        <w:tc>
          <w:tcPr>
            <w:tcW w:w="625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Amounts due to related parties, non-current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329,492</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45,140</w:t>
            </w:r>
          </w:p>
        </w:tc>
      </w:tr>
      <w:tr>
        <w:trPr/>
        <w:tc>
          <w:tcPr>
            <w:tcW w:w="62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212,347</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127,467</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17,463</w:t>
            </w:r>
          </w:p>
        </w:tc>
      </w:tr>
      <w:tr>
        <w:trPr/>
        <w:tc>
          <w:tcPr>
            <w:tcW w:w="625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liabilities</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6,663,805</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8,628,596</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1,182,114</w:t>
            </w:r>
          </w:p>
        </w:tc>
      </w:tr>
      <w:tr>
        <w:trPr/>
        <w:tc>
          <w:tcPr>
            <w:tcW w:w="625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non-current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29,989,070</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31,787,045</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4,354,808</w:t>
            </w:r>
          </w:p>
        </w:tc>
      </w:tr>
      <w:tr>
        <w:trPr/>
        <w:tc>
          <w:tcPr>
            <w:tcW w:w="6254"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liabilities</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87,787,186</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94,098,069</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12,891,384</w:t>
            </w:r>
          </w:p>
        </w:tc>
      </w:tr>
      <w:tr>
        <w:trPr/>
        <w:tc>
          <w:tcPr>
            <w:tcW w:w="625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Commitments and contingencies (Note 27)</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42" w:name="Tc_gbSh7CYBcEK2uwF4xKUjjQ_22_0"/>
      <w:bookmarkStart w:id="243" w:name="Tc_h6Pr87X4802dxJkG5FMf3w_20_0"/>
      <w:bookmarkStart w:id="244" w:name="Tc_PO4L0qKQekGQP2y9tAWUEQ_18_0"/>
      <w:bookmarkStart w:id="245" w:name="Tc_WHDro11VLkKnpBEkTUw7Ow_16_0"/>
      <w:bookmarkStart w:id="246" w:name="Tc_YeuHp0zK2keCKoRK7YTepA_14_0"/>
      <w:bookmarkStart w:id="247" w:name="Tc_iRrkMzuQz0GdEHwv63G58g_13_0"/>
      <w:bookmarkStart w:id="248" w:name="Tc_yFfk4ltJvUirvZwD9tVZ6w_12_0"/>
      <w:bookmarkStart w:id="249" w:name="Tc_-cfEWzHI9EyWi1kqeqbG5Q_11_0"/>
      <w:bookmarkStart w:id="250" w:name="_b11fc301_f5b7_490e_8f7a_7ca0ccc3aa8e_3"/>
      <w:bookmarkStart w:id="251" w:name="_b11fc301_f5b7_490e_8f7a_7ca0ccc3aa8e_2"/>
      <w:bookmarkStart w:id="252" w:name="_b11fc301_f5b7_490e_8f7a_7ca0ccc3aa8e"/>
      <w:bookmarkStart w:id="253" w:name="_1c58fdf2_f363_4eb8_94e1_3a06078c5dbd_3"/>
      <w:bookmarkStart w:id="254" w:name="_1c58fdf2_f363_4eb8_94e1_3a06078c5dbd_2"/>
      <w:bookmarkStart w:id="255" w:name="_1c58fdf2_f363_4eb8_94e1_3a06078c5dbd"/>
      <w:bookmarkStart w:id="256" w:name="Tc_YDX8Bjo5vkOs5izabIwRmQ_10_0"/>
      <w:bookmarkStart w:id="257" w:name="Tc_n_7szmSV0EacOXT56IOm1w_9_0"/>
      <w:bookmarkStart w:id="258" w:name="Tc_c6Lkzijs2kymJtoZt86Axw_8_0"/>
      <w:bookmarkStart w:id="259" w:name="Tc_UdcB9xVCZUS6i2sHdR6QJQ_7_0"/>
      <w:bookmarkStart w:id="260" w:name="Tc_MCY1NjySgUWISb-CJ05Wbg_6_0"/>
      <w:bookmarkStart w:id="261" w:name="Tc_YV8RJSkgokaRAFhtYQA1Ng_5_0"/>
      <w:bookmarkStart w:id="262" w:name="Tc_rd05Oo8dN02Q1yHzeFpE5A_4_6"/>
      <w:bookmarkStart w:id="263" w:name="Tc_4XgKYaDYrUi44ijrWFV-3Q_3_6"/>
      <w:bookmarkStart w:id="264" w:name="Tc_jib8N45INEG_CKUUMvo2rg_3_4"/>
      <w:bookmarkStart w:id="265" w:name="Tc_VTUeNmH5_0O8VCRNqg-7Ag_3_2"/>
      <w:bookmarkStart w:id="266" w:name="Tc_RQWRvhB1B0GGL_1mogH2pg_2_6"/>
      <w:bookmarkStart w:id="267" w:name="Tc_l7VJR9WUEk2MAUCOXOivZg_2_4"/>
      <w:bookmarkStart w:id="268" w:name="Tc_TRm_AIH5SEmh1N-dh40gog_2_2"/>
      <w:bookmarkStart w:id="269" w:name="Tc_nH4pI4b1WEORJmGX5sTCUw_1_2"/>
      <w:bookmarkStart w:id="270" w:name="_18aab1cc_250c_4640_985f_2f45899f8220"/>
      <w:bookmarkStart w:id="271" w:name="Tc_gbSh7CYBcEK2uwF4xKUjjQ_22_0"/>
      <w:bookmarkStart w:id="272" w:name="Tc_h6Pr87X4802dxJkG5FMf3w_20_0"/>
      <w:bookmarkStart w:id="273" w:name="Tc_PO4L0qKQekGQP2y9tAWUEQ_18_0"/>
      <w:bookmarkStart w:id="274" w:name="Tc_WHDro11VLkKnpBEkTUw7Ow_16_0"/>
      <w:bookmarkStart w:id="275" w:name="Tc_YeuHp0zK2keCKoRK7YTepA_14_0"/>
      <w:bookmarkStart w:id="276" w:name="Tc_iRrkMzuQz0GdEHwv63G58g_13_0"/>
      <w:bookmarkStart w:id="277" w:name="Tc_yFfk4ltJvUirvZwD9tVZ6w_12_0"/>
      <w:bookmarkStart w:id="278" w:name="Tc_-cfEWzHI9EyWi1kqeqbG5Q_11_0"/>
      <w:bookmarkStart w:id="279" w:name="_b11fc301_f5b7_490e_8f7a_7ca0ccc3aa8e_3"/>
      <w:bookmarkStart w:id="280" w:name="_b11fc301_f5b7_490e_8f7a_7ca0ccc3aa8e_2"/>
      <w:bookmarkStart w:id="281" w:name="_b11fc301_f5b7_490e_8f7a_7ca0ccc3aa8e"/>
      <w:bookmarkStart w:id="282" w:name="_1c58fdf2_f363_4eb8_94e1_3a06078c5dbd_3"/>
      <w:bookmarkStart w:id="283" w:name="_1c58fdf2_f363_4eb8_94e1_3a06078c5dbd_2"/>
      <w:bookmarkStart w:id="284" w:name="_1c58fdf2_f363_4eb8_94e1_3a06078c5dbd"/>
      <w:bookmarkStart w:id="285" w:name="Tc_YDX8Bjo5vkOs5izabIwRmQ_10_0"/>
      <w:bookmarkStart w:id="286" w:name="Tc_n_7szmSV0EacOXT56IOm1w_9_0"/>
      <w:bookmarkStart w:id="287" w:name="Tc_c6Lkzijs2kymJtoZt86Axw_8_0"/>
      <w:bookmarkStart w:id="288" w:name="Tc_UdcB9xVCZUS6i2sHdR6QJQ_7_0"/>
      <w:bookmarkStart w:id="289" w:name="Tc_MCY1NjySgUWISb-CJ05Wbg_6_0"/>
      <w:bookmarkStart w:id="290" w:name="Tc_YV8RJSkgokaRAFhtYQA1Ng_5_0"/>
      <w:bookmarkStart w:id="291" w:name="Tc_rd05Oo8dN02Q1yHzeFpE5A_4_6"/>
      <w:bookmarkStart w:id="292" w:name="Tc_4XgKYaDYrUi44ijrWFV-3Q_3_6"/>
      <w:bookmarkStart w:id="293" w:name="Tc_jib8N45INEG_CKUUMvo2rg_3_4"/>
      <w:bookmarkStart w:id="294" w:name="Tc_VTUeNmH5_0O8VCRNqg-7Ag_3_2"/>
      <w:bookmarkStart w:id="295" w:name="Tc_RQWRvhB1B0GGL_1mogH2pg_2_6"/>
      <w:bookmarkStart w:id="296" w:name="Tc_l7VJR9WUEk2MAUCOXOivZg_2_4"/>
      <w:bookmarkStart w:id="297" w:name="Tc_TRm_AIH5SEmh1N-dh40gog_2_2"/>
      <w:bookmarkStart w:id="298" w:name="Tc_nH4pI4b1WEORJmGX5sTCUw_1_2"/>
      <w:bookmarkStart w:id="299" w:name="_18aab1cc_250c_4640_985f_2f45899f822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tbl>
      <w:tblPr>
        <w:tblW w:w="10205" w:type="dxa"/>
        <w:jc w:val="left"/>
        <w:tblInd w:w="0" w:type="dxa"/>
        <w:tblLayout w:type="fixed"/>
        <w:tblCellMar>
          <w:top w:w="0" w:type="dxa"/>
          <w:left w:w="0" w:type="dxa"/>
          <w:bottom w:w="0" w:type="dxa"/>
          <w:right w:w="0" w:type="dxa"/>
        </w:tblCellMar>
      </w:tblPr>
      <w:tblGrid>
        <w:gridCol w:w="5715"/>
        <w:gridCol w:w="326"/>
        <w:gridCol w:w="1144"/>
        <w:gridCol w:w="326"/>
        <w:gridCol w:w="1213"/>
        <w:gridCol w:w="326"/>
        <w:gridCol w:w="1155"/>
      </w:tblGrid>
      <w:tr>
        <w:trPr/>
        <w:tc>
          <w:tcPr>
            <w:tcW w:w="57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629025" cy="175260"/>
                      <wp:effectExtent l="0" t="0" r="0" b="0"/>
                      <wp:wrapNone/>
                      <wp:docPr id="130" name="Frame127"/>
                      <a:graphic xmlns:a="http://schemas.openxmlformats.org/drawingml/2006/main">
                        <a:graphicData uri="http://schemas.microsoft.com/office/word/2010/wordprocessingShape">
                          <wps:wsp>
                            <wps:cNvSpPr txBox="1"/>
                            <wps:spPr>
                              <a:xfrm>
                                <a:off x="0" y="0"/>
                                <a:ext cx="3629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1"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726440" cy="175260"/>
                      <wp:effectExtent l="0" t="0" r="0" b="0"/>
                      <wp:wrapNone/>
                      <wp:docPr id="132" name="Frame129"/>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33"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770255" cy="175260"/>
                      <wp:effectExtent l="0" t="0" r="0" b="0"/>
                      <wp:wrapNone/>
                      <wp:docPr id="134" name="Frame131"/>
                      <a:graphic xmlns:a="http://schemas.openxmlformats.org/drawingml/2006/main">
                        <a:graphicData uri="http://schemas.microsoft.com/office/word/2010/wordprocessingShape">
                          <wps:wsp>
                            <wps:cNvSpPr txBox="1"/>
                            <wps:spPr>
                              <a:xfrm>
                                <a:off x="0" y="0"/>
                                <a:ext cx="770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35"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733425" cy="175260"/>
                      <wp:effectExtent l="0" t="0" r="0" b="0"/>
                      <wp:wrapNone/>
                      <wp:docPr id="136" name="Frame133"/>
                      <a:graphic xmlns:a="http://schemas.openxmlformats.org/drawingml/2006/main">
                        <a:graphicData uri="http://schemas.microsoft.com/office/word/2010/wordprocessingShape">
                          <wps:wsp>
                            <wps:cNvSpPr txBox="1"/>
                            <wps:spPr>
                              <a:xfrm>
                                <a:off x="0" y="0"/>
                                <a:ext cx="733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57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2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7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21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USD</w:t>
            </w:r>
          </w:p>
        </w:tc>
      </w:tr>
      <w:tr>
        <w:trPr/>
        <w:tc>
          <w:tcPr>
            <w:tcW w:w="57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 2(e)</w:t>
            </w:r>
          </w:p>
        </w:tc>
      </w:tr>
      <w:tr>
        <w:trPr/>
        <w:tc>
          <w:tcPr>
            <w:tcW w:w="571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MEZZANINE EQUITY</w:t>
            </w:r>
          </w:p>
        </w:tc>
        <w:tc>
          <w:tcPr>
            <w:tcW w:w="326"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1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left"/>
              <w:rPr/>
            </w:pPr>
            <w:r>
              <w:rPr/>
              <w:t>​</w:t>
            </w:r>
          </w:p>
        </w:tc>
      </w:tr>
      <w:tr>
        <w:trPr/>
        <w:tc>
          <w:tcPr>
            <w:tcW w:w="571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Redeemable non-controlling interests</w:t>
            </w:r>
          </w:p>
        </w:tc>
        <w:tc>
          <w:tcPr>
            <w:tcW w:w="326" w:type="dxa"/>
            <w:tcBorders/>
            <w:vAlign w:val="center"/>
          </w:tcPr>
          <w:p>
            <w:pPr>
              <w:pStyle w:val="TableContents"/>
              <w:bidi w:val="0"/>
              <w:spacing w:before="0" w:after="0"/>
              <w:ind w:left="0" w:right="0" w:hanging="0"/>
              <w:jc w:val="left"/>
              <w:rPr/>
            </w:pPr>
            <w:r>
              <w:rPr/>
              <w:t>​</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3,860,384</w:t>
            </w:r>
          </w:p>
        </w:tc>
        <w:tc>
          <w:tcPr>
            <w:tcW w:w="326" w:type="dxa"/>
            <w:tcBorders/>
            <w:vAlign w:val="center"/>
          </w:tcPr>
          <w:p>
            <w:pPr>
              <w:pStyle w:val="TableContents"/>
              <w:bidi w:val="0"/>
              <w:spacing w:before="0" w:after="0"/>
              <w:ind w:left="0" w:right="0" w:hanging="0"/>
              <w:jc w:val="left"/>
              <w:rPr/>
            </w:pPr>
            <w:r>
              <w:rPr/>
              <w:t>​</w:t>
            </w:r>
          </w:p>
        </w:tc>
        <w:tc>
          <w:tcPr>
            <w:tcW w:w="12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7,441,997</w:t>
            </w:r>
          </w:p>
        </w:tc>
        <w:tc>
          <w:tcPr>
            <w:tcW w:w="326" w:type="dxa"/>
            <w:tcBorders/>
            <w:vAlign w:val="center"/>
          </w:tcPr>
          <w:p>
            <w:pPr>
              <w:pStyle w:val="TableContents"/>
              <w:bidi w:val="0"/>
              <w:spacing w:before="0" w:after="0"/>
              <w:ind w:left="0" w:right="0" w:hanging="0"/>
              <w:jc w:val="right"/>
              <w:rPr/>
            </w:pPr>
            <w:r>
              <w:rPr/>
              <w:t>​</w:t>
            </w:r>
          </w:p>
        </w:tc>
        <w:tc>
          <w:tcPr>
            <w:tcW w:w="11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1,019,549</w:t>
            </w:r>
          </w:p>
        </w:tc>
      </w:tr>
      <w:tr>
        <w:trPr/>
        <w:tc>
          <w:tcPr>
            <w:tcW w:w="571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mezzanine equity</w:t>
            </w:r>
          </w:p>
        </w:tc>
        <w:tc>
          <w:tcPr>
            <w:tcW w:w="326" w:type="dxa"/>
            <w:tcBorders/>
            <w:shd w:fill="CCEEFF" w:val="clear"/>
            <w:vAlign w:val="center"/>
          </w:tcPr>
          <w:p>
            <w:pPr>
              <w:pStyle w:val="TableContents"/>
              <w:bidi w:val="0"/>
              <w:spacing w:before="0" w:after="0"/>
              <w:ind w:left="0" w:right="0" w:hanging="0"/>
              <w:jc w:val="left"/>
              <w:rPr/>
            </w:pPr>
            <w:r>
              <w:rPr/>
              <w:t> </w:t>
            </w:r>
          </w:p>
        </w:tc>
        <w:tc>
          <w:tcPr>
            <w:tcW w:w="11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3,860,384</w:t>
            </w:r>
          </w:p>
        </w:tc>
        <w:tc>
          <w:tcPr>
            <w:tcW w:w="326" w:type="dxa"/>
            <w:tcBorders/>
            <w:shd w:fill="CCEEFF" w:val="clear"/>
            <w:vAlign w:val="center"/>
          </w:tcPr>
          <w:p>
            <w:pPr>
              <w:pStyle w:val="TableContents"/>
              <w:bidi w:val="0"/>
              <w:spacing w:before="0" w:after="0"/>
              <w:ind w:left="0" w:right="0" w:hanging="0"/>
              <w:jc w:val="left"/>
              <w:rPr/>
            </w:pPr>
            <w:r>
              <w:rPr/>
              <w:t>​</w:t>
            </w:r>
          </w:p>
        </w:tc>
        <w:tc>
          <w:tcPr>
            <w:tcW w:w="12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7,441,997</w:t>
            </w:r>
          </w:p>
        </w:tc>
        <w:tc>
          <w:tcPr>
            <w:tcW w:w="326" w:type="dxa"/>
            <w:tcBorders/>
            <w:shd w:fill="CCEEFF" w:val="clear"/>
            <w:vAlign w:val="center"/>
          </w:tcPr>
          <w:p>
            <w:pPr>
              <w:pStyle w:val="TableContents"/>
              <w:bidi w:val="0"/>
              <w:spacing w:before="0" w:after="0"/>
              <w:ind w:left="0" w:right="0" w:hanging="0"/>
              <w:jc w:val="left"/>
              <w:rPr/>
            </w:pPr>
            <w:r>
              <w:rPr/>
              <w:t>​</w:t>
            </w:r>
          </w:p>
        </w:tc>
        <w:tc>
          <w:tcPr>
            <w:tcW w:w="11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1,019,549</w:t>
            </w:r>
          </w:p>
        </w:tc>
      </w:tr>
      <w:tr>
        <w:trPr/>
        <w:tc>
          <w:tcPr>
            <w:tcW w:w="571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SHAREHOLDERS’ EQUITY</w:t>
            </w:r>
          </w:p>
        </w:tc>
        <w:tc>
          <w:tcPr>
            <w:tcW w:w="326"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pPr>
            <w:r>
              <w:rPr/>
              <w:t>​</w:t>
            </w:r>
          </w:p>
        </w:tc>
      </w:tr>
      <w:tr>
        <w:trPr/>
        <w:tc>
          <w:tcPr>
            <w:tcW w:w="57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Ordinary Shares (US$0.00025 par value; 2,632,030,222 and 2,632,030,222 shares authorized; 1,925,022,118 and 1,946,478,828 shares issued; 1,906,961,094 and 1,943,005,895 shares outstanding as of December 31, 2023 and 2024, respectively)</w:t>
            </w:r>
          </w:p>
        </w:tc>
        <w:tc>
          <w:tcPr>
            <w:tcW w:w="326"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3,368</w:t>
            </w:r>
          </w:p>
        </w:tc>
        <w:tc>
          <w:tcPr>
            <w:tcW w:w="326" w:type="dxa"/>
            <w:tcBorders/>
            <w:shd w:fill="CCEEFF" w:val="clear"/>
            <w:vAlign w:val="center"/>
          </w:tcPr>
          <w:p>
            <w:pPr>
              <w:pStyle w:val="TableContents"/>
              <w:bidi w:val="0"/>
              <w:spacing w:before="0" w:after="0"/>
              <w:ind w:left="0" w:right="0" w:hanging="0"/>
              <w:jc w:val="left"/>
              <w:rPr/>
            </w:pPr>
            <w:r>
              <w:rPr/>
              <w:t>​</w:t>
            </w:r>
          </w:p>
        </w:tc>
        <w:tc>
          <w:tcPr>
            <w:tcW w:w="12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3,406</w:t>
            </w:r>
          </w:p>
        </w:tc>
        <w:tc>
          <w:tcPr>
            <w:tcW w:w="32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r>
      <w:tr>
        <w:trPr/>
        <w:tc>
          <w:tcPr>
            <w:tcW w:w="571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C Ordinary Shares (US$0.00025 par value; 148,500,000 shares authorized, issued and outstanding as of December 31, 2023 and December 31, 2024)</w:t>
            </w:r>
          </w:p>
        </w:tc>
        <w:tc>
          <w:tcPr>
            <w:tcW w:w="326"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vAlign w:val="center"/>
          </w:tcPr>
          <w:p>
            <w:pPr>
              <w:pStyle w:val="TableContents"/>
              <w:bidi w:val="0"/>
              <w:spacing w:before="0" w:after="0"/>
              <w:ind w:left="0" w:right="0" w:hanging="0"/>
              <w:jc w:val="left"/>
              <w:rPr/>
            </w:pPr>
            <w:r>
              <w:rPr/>
              <w:t>​</w:t>
            </w:r>
          </w:p>
        </w:tc>
        <w:tc>
          <w:tcPr>
            <w:tcW w:w="12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57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Treasury shares (18,061,024 and 3,472,933 shares as of December 31, 2023 and December 31, 2024, respectively)</w:t>
            </w:r>
          </w:p>
        </w:tc>
        <w:tc>
          <w:tcPr>
            <w:tcW w:w="326"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(1,849,600)</w:t>
            </w:r>
          </w:p>
        </w:tc>
        <w:tc>
          <w:tcPr>
            <w:tcW w:w="326" w:type="dxa"/>
            <w:tcBorders/>
            <w:shd w:fill="CCEEFF" w:val="clear"/>
            <w:vAlign w:val="center"/>
          </w:tcPr>
          <w:p>
            <w:pPr>
              <w:pStyle w:val="TableContents"/>
              <w:bidi w:val="0"/>
              <w:spacing w:before="0" w:after="0"/>
              <w:ind w:left="0" w:right="0" w:hanging="0"/>
              <w:jc w:val="left"/>
              <w:rPr/>
            </w:pPr>
            <w:r>
              <w:rPr/>
              <w:t>​</w:t>
            </w:r>
          </w:p>
        </w:tc>
        <w:tc>
          <w:tcPr>
            <w:tcW w:w="12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(239,328)</w:t>
            </w:r>
          </w:p>
        </w:tc>
        <w:tc>
          <w:tcPr>
            <w:tcW w:w="32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(32,788)</w:t>
            </w:r>
          </w:p>
        </w:tc>
      </w:tr>
      <w:tr>
        <w:trPr/>
        <w:tc>
          <w:tcPr>
            <w:tcW w:w="571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 in capital</w:t>
            </w:r>
          </w:p>
        </w:tc>
        <w:tc>
          <w:tcPr>
            <w:tcW w:w="326"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117,717,254</w:t>
            </w:r>
          </w:p>
        </w:tc>
        <w:tc>
          <w:tcPr>
            <w:tcW w:w="326" w:type="dxa"/>
            <w:tcBorders/>
            <w:vAlign w:val="center"/>
          </w:tcPr>
          <w:p>
            <w:pPr>
              <w:pStyle w:val="TableContents"/>
              <w:bidi w:val="0"/>
              <w:spacing w:before="0" w:after="0"/>
              <w:ind w:left="0" w:right="0" w:hanging="0"/>
              <w:jc w:val="left"/>
              <w:rPr/>
            </w:pPr>
            <w:r>
              <w:rPr/>
              <w:t>​</w:t>
            </w:r>
          </w:p>
        </w:tc>
        <w:tc>
          <w:tcPr>
            <w:tcW w:w="12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118,688,242</w:t>
            </w:r>
          </w:p>
        </w:tc>
        <w:tc>
          <w:tcPr>
            <w:tcW w:w="32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16,260,222</w:t>
            </w:r>
          </w:p>
        </w:tc>
      </w:tr>
      <w:tr>
        <w:trPr/>
        <w:tc>
          <w:tcPr>
            <w:tcW w:w="57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26"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432,991</w:t>
            </w:r>
          </w:p>
        </w:tc>
        <w:tc>
          <w:tcPr>
            <w:tcW w:w="326" w:type="dxa"/>
            <w:tcBorders/>
            <w:shd w:fill="CCEEFF" w:val="clear"/>
            <w:vAlign w:val="center"/>
          </w:tcPr>
          <w:p>
            <w:pPr>
              <w:pStyle w:val="TableContents"/>
              <w:bidi w:val="0"/>
              <w:spacing w:before="0" w:after="0"/>
              <w:ind w:left="0" w:right="0" w:hanging="0"/>
              <w:jc w:val="left"/>
              <w:rPr/>
            </w:pPr>
            <w:r>
              <w:rPr/>
              <w:t>​</w:t>
            </w:r>
          </w:p>
        </w:tc>
        <w:tc>
          <w:tcPr>
            <w:tcW w:w="12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582,659</w:t>
            </w:r>
          </w:p>
        </w:tc>
        <w:tc>
          <w:tcPr>
            <w:tcW w:w="32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79,823</w:t>
            </w:r>
          </w:p>
        </w:tc>
      </w:tr>
      <w:tr>
        <w:trPr/>
        <w:tc>
          <w:tcPr>
            <w:tcW w:w="571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vAlign w:val="center"/>
          </w:tcPr>
          <w:p>
            <w:pPr>
              <w:pStyle w:val="TableContents"/>
              <w:bidi w:val="0"/>
              <w:spacing w:before="0" w:after="0"/>
              <w:ind w:left="0" w:right="0" w:hanging="0"/>
              <w:jc w:val="left"/>
              <w:rPr/>
            </w:pPr>
            <w:r>
              <w:rPr/>
              <w:t> </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(90,758,034)</w:t>
            </w:r>
          </w:p>
        </w:tc>
        <w:tc>
          <w:tcPr>
            <w:tcW w:w="326" w:type="dxa"/>
            <w:tcBorders/>
            <w:vAlign w:val="center"/>
          </w:tcPr>
          <w:p>
            <w:pPr>
              <w:pStyle w:val="TableContents"/>
              <w:bidi w:val="0"/>
              <w:spacing w:before="0" w:after="0"/>
              <w:ind w:left="0" w:right="0" w:hanging="0"/>
              <w:jc w:val="left"/>
              <w:rPr/>
            </w:pPr>
            <w:r>
              <w:rPr/>
              <w:t>​</w:t>
            </w:r>
          </w:p>
        </w:tc>
        <w:tc>
          <w:tcPr>
            <w:tcW w:w="12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(113,068,210)</w:t>
            </w:r>
          </w:p>
        </w:tc>
        <w:tc>
          <w:tcPr>
            <w:tcW w:w="326" w:type="dxa"/>
            <w:tcBorders/>
            <w:vAlign w:val="center"/>
          </w:tcPr>
          <w:p>
            <w:pPr>
              <w:pStyle w:val="TableContents"/>
              <w:bidi w:val="0"/>
              <w:spacing w:before="0" w:after="0"/>
              <w:ind w:left="0" w:right="0" w:hanging="0"/>
              <w:jc w:val="left"/>
              <w:rPr/>
            </w:pPr>
            <w:r>
              <w:rPr/>
              <w:t>​</w:t>
            </w:r>
          </w:p>
        </w:tc>
        <w:tc>
          <w:tcPr>
            <w:tcW w:w="11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(15,490,281)</w:t>
            </w:r>
          </w:p>
        </w:tc>
      </w:tr>
      <w:tr>
        <w:trPr/>
        <w:tc>
          <w:tcPr>
            <w:tcW w:w="571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1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left"/>
              <w:rPr/>
            </w:pPr>
            <w:r>
              <w:rPr/>
              <w:t>​</w:t>
            </w:r>
          </w:p>
        </w:tc>
      </w:tr>
      <w:tr>
        <w:trPr/>
        <w:tc>
          <w:tcPr>
            <w:tcW w:w="571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NIO Inc. shareholders’ equity</w:t>
            </w:r>
          </w:p>
        </w:tc>
        <w:tc>
          <w:tcPr>
            <w:tcW w:w="326" w:type="dxa"/>
            <w:tcBorders/>
            <w:vAlign w:val="center"/>
          </w:tcPr>
          <w:p>
            <w:pPr>
              <w:pStyle w:val="TableContents"/>
              <w:bidi w:val="0"/>
              <w:spacing w:before="0" w:after="0"/>
              <w:ind w:left="0" w:right="0" w:hanging="0"/>
              <w:jc w:val="left"/>
              <w:rPr/>
            </w:pPr>
            <w:r>
              <w:rPr/>
              <w:t> </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25,546,233</w:t>
            </w:r>
          </w:p>
        </w:tc>
        <w:tc>
          <w:tcPr>
            <w:tcW w:w="326" w:type="dxa"/>
            <w:tcBorders/>
            <w:vAlign w:val="center"/>
          </w:tcPr>
          <w:p>
            <w:pPr>
              <w:pStyle w:val="TableContents"/>
              <w:bidi w:val="0"/>
              <w:spacing w:before="0" w:after="0"/>
              <w:ind w:left="0" w:right="0" w:hanging="0"/>
              <w:jc w:val="left"/>
              <w:rPr/>
            </w:pPr>
            <w:r>
              <w:rPr/>
              <w:t>​</w:t>
            </w:r>
          </w:p>
        </w:tc>
        <w:tc>
          <w:tcPr>
            <w:tcW w:w="12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5,967,023</w:t>
            </w:r>
          </w:p>
        </w:tc>
        <w:tc>
          <w:tcPr>
            <w:tcW w:w="326" w:type="dxa"/>
            <w:tcBorders/>
            <w:vAlign w:val="center"/>
          </w:tcPr>
          <w:p>
            <w:pPr>
              <w:pStyle w:val="TableContents"/>
              <w:bidi w:val="0"/>
              <w:spacing w:before="0" w:after="0"/>
              <w:ind w:left="0" w:right="0" w:hanging="0"/>
              <w:jc w:val="left"/>
              <w:rPr/>
            </w:pPr>
            <w:r>
              <w:rPr/>
              <w:t>​</w:t>
            </w:r>
          </w:p>
        </w:tc>
        <w:tc>
          <w:tcPr>
            <w:tcW w:w="11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817,478</w:t>
            </w:r>
          </w:p>
        </w:tc>
      </w:tr>
      <w:tr>
        <w:trPr/>
        <w:tc>
          <w:tcPr>
            <w:tcW w:w="571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1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left"/>
              <w:rPr/>
            </w:pPr>
            <w:r>
              <w:rPr/>
              <w:t>​</w:t>
            </w:r>
          </w:p>
        </w:tc>
      </w:tr>
      <w:tr>
        <w:trPr/>
        <w:tc>
          <w:tcPr>
            <w:tcW w:w="571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interests</w:t>
            </w:r>
          </w:p>
        </w:tc>
        <w:tc>
          <w:tcPr>
            <w:tcW w:w="326" w:type="dxa"/>
            <w:tcBorders/>
            <w:vAlign w:val="center"/>
          </w:tcPr>
          <w:p>
            <w:pPr>
              <w:pStyle w:val="TableContents"/>
              <w:bidi w:val="0"/>
              <w:spacing w:before="0" w:after="0"/>
              <w:ind w:left="0" w:right="0" w:hanging="0"/>
              <w:jc w:val="left"/>
              <w:rPr/>
            </w:pPr>
            <w:r>
              <w:rPr/>
              <w:t> </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189,399</w:t>
            </w:r>
          </w:p>
        </w:tc>
        <w:tc>
          <w:tcPr>
            <w:tcW w:w="326" w:type="dxa"/>
            <w:tcBorders/>
            <w:vAlign w:val="center"/>
          </w:tcPr>
          <w:p>
            <w:pPr>
              <w:pStyle w:val="TableContents"/>
              <w:bidi w:val="0"/>
              <w:spacing w:before="0" w:after="0"/>
              <w:ind w:left="0" w:right="0" w:hanging="0"/>
              <w:jc w:val="left"/>
              <w:rPr/>
            </w:pPr>
            <w:r>
              <w:rPr/>
              <w:t>​</w:t>
            </w:r>
          </w:p>
        </w:tc>
        <w:tc>
          <w:tcPr>
            <w:tcW w:w="12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97,523</w:t>
            </w:r>
          </w:p>
        </w:tc>
        <w:tc>
          <w:tcPr>
            <w:tcW w:w="326" w:type="dxa"/>
            <w:tcBorders/>
            <w:vAlign w:val="center"/>
          </w:tcPr>
          <w:p>
            <w:pPr>
              <w:pStyle w:val="TableContents"/>
              <w:bidi w:val="0"/>
              <w:spacing w:before="0" w:after="0"/>
              <w:ind w:left="0" w:right="0" w:hanging="0"/>
              <w:jc w:val="left"/>
              <w:rPr/>
            </w:pPr>
            <w:r>
              <w:rPr/>
              <w:t>​</w:t>
            </w:r>
          </w:p>
        </w:tc>
        <w:tc>
          <w:tcPr>
            <w:tcW w:w="11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13,361</w:t>
            </w:r>
          </w:p>
        </w:tc>
      </w:tr>
      <w:tr>
        <w:trPr/>
        <w:tc>
          <w:tcPr>
            <w:tcW w:w="571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1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left"/>
              <w:rPr/>
            </w:pPr>
            <w:r>
              <w:rPr/>
              <w:t>​</w:t>
            </w:r>
          </w:p>
        </w:tc>
      </w:tr>
      <w:tr>
        <w:trPr/>
        <w:tc>
          <w:tcPr>
            <w:tcW w:w="571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shareholders’ equity</w:t>
            </w:r>
          </w:p>
        </w:tc>
        <w:tc>
          <w:tcPr>
            <w:tcW w:w="326" w:type="dxa"/>
            <w:tcBorders/>
            <w:vAlign w:val="center"/>
          </w:tcPr>
          <w:p>
            <w:pPr>
              <w:pStyle w:val="TableContents"/>
              <w:bidi w:val="0"/>
              <w:spacing w:before="0" w:after="0"/>
              <w:ind w:left="0" w:right="0" w:hanging="0"/>
              <w:jc w:val="left"/>
              <w:rPr/>
            </w:pPr>
            <w:r>
              <w:rPr/>
              <w:t> </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25,735,632</w:t>
            </w:r>
          </w:p>
        </w:tc>
        <w:tc>
          <w:tcPr>
            <w:tcW w:w="326" w:type="dxa"/>
            <w:tcBorders/>
            <w:vAlign w:val="center"/>
          </w:tcPr>
          <w:p>
            <w:pPr>
              <w:pStyle w:val="TableContents"/>
              <w:bidi w:val="0"/>
              <w:spacing w:before="0" w:after="0"/>
              <w:ind w:left="0" w:right="0" w:hanging="0"/>
              <w:jc w:val="left"/>
              <w:rPr/>
            </w:pPr>
            <w:r>
              <w:rPr/>
              <w:t>​</w:t>
            </w:r>
          </w:p>
        </w:tc>
        <w:tc>
          <w:tcPr>
            <w:tcW w:w="12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6,064,546</w:t>
            </w:r>
          </w:p>
        </w:tc>
        <w:tc>
          <w:tcPr>
            <w:tcW w:w="326" w:type="dxa"/>
            <w:tcBorders/>
            <w:vAlign w:val="center"/>
          </w:tcPr>
          <w:p>
            <w:pPr>
              <w:pStyle w:val="TableContents"/>
              <w:bidi w:val="0"/>
              <w:spacing w:before="0" w:after="0"/>
              <w:ind w:left="0" w:right="0" w:hanging="0"/>
              <w:jc w:val="left"/>
              <w:rPr/>
            </w:pPr>
            <w:r>
              <w:rPr/>
              <w:t>​</w:t>
            </w:r>
          </w:p>
        </w:tc>
        <w:tc>
          <w:tcPr>
            <w:tcW w:w="11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830,839</w:t>
            </w:r>
          </w:p>
        </w:tc>
      </w:tr>
      <w:tr>
        <w:trPr/>
        <w:tc>
          <w:tcPr>
            <w:tcW w:w="571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1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left"/>
              <w:rPr/>
            </w:pPr>
            <w:r>
              <w:rPr/>
              <w:t>​</w:t>
            </w:r>
          </w:p>
        </w:tc>
      </w:tr>
      <w:tr>
        <w:trPr/>
        <w:tc>
          <w:tcPr>
            <w:tcW w:w="571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mezzanine equity and shareholders’ equity</w:t>
            </w:r>
          </w:p>
        </w:tc>
        <w:tc>
          <w:tcPr>
            <w:tcW w:w="326" w:type="dxa"/>
            <w:tcBorders/>
            <w:vAlign w:val="center"/>
          </w:tcPr>
          <w:p>
            <w:pPr>
              <w:pStyle w:val="TableContents"/>
              <w:bidi w:val="0"/>
              <w:spacing w:before="0" w:after="0"/>
              <w:ind w:left="0" w:right="0" w:hanging="0"/>
              <w:jc w:val="left"/>
              <w:rPr/>
            </w:pPr>
            <w:r>
              <w:rPr/>
              <w:t> </w:t>
            </w:r>
          </w:p>
        </w:tc>
        <w:tc>
          <w:tcPr>
            <w:tcW w:w="11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117,383,202</w:t>
            </w:r>
          </w:p>
        </w:tc>
        <w:tc>
          <w:tcPr>
            <w:tcW w:w="326" w:type="dxa"/>
            <w:tcBorders/>
            <w:vAlign w:val="center"/>
          </w:tcPr>
          <w:p>
            <w:pPr>
              <w:pStyle w:val="TableContents"/>
              <w:bidi w:val="0"/>
              <w:spacing w:before="0" w:after="0"/>
              <w:ind w:left="0" w:right="0" w:hanging="0"/>
              <w:jc w:val="left"/>
              <w:rPr/>
            </w:pPr>
            <w:r>
              <w:rPr/>
              <w:t>​</w:t>
            </w:r>
          </w:p>
        </w:tc>
        <w:tc>
          <w:tcPr>
            <w:tcW w:w="12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107,604,612</w:t>
            </w:r>
          </w:p>
        </w:tc>
        <w:tc>
          <w:tcPr>
            <w:tcW w:w="326" w:type="dxa"/>
            <w:tcBorders/>
            <w:vAlign w:val="center"/>
          </w:tcPr>
          <w:p>
            <w:pPr>
              <w:pStyle w:val="TableContents"/>
              <w:bidi w:val="0"/>
              <w:spacing w:before="0" w:after="0"/>
              <w:ind w:left="0" w:right="0" w:hanging="0"/>
              <w:jc w:val="left"/>
              <w:rPr/>
            </w:pPr>
            <w:r>
              <w:rPr/>
              <w:t>​</w:t>
            </w:r>
          </w:p>
        </w:tc>
        <w:tc>
          <w:tcPr>
            <w:tcW w:w="115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14,741,772</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0" w:name="_6e3a9174_1125_4b0b_8104_74154e750f58"/>
      <w:bookmarkEnd w:id="300"/>
      <w:r>
        <w:rPr>
          <w:rFonts w:ascii="Times New Roman;Times;serif" w:hAnsi="Times New Roman;Times;serif"/>
          <w:b/>
          <w:sz w:val="20"/>
        </w:rPr>
        <w:t>NIO INC.</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301" w:name="CONSOLIDATEDSTATEMENTSOFCOMPREHENSIVELOS"/>
      <w:bookmarkEnd w:id="301"/>
      <w:r>
        <w:rPr>
          <w:rFonts w:ascii="Times New Roman;Times;serif" w:hAnsi="Times New Roman;Times;serif"/>
          <w:b/>
          <w:sz w:val="20"/>
        </w:rPr>
        <w:t>CONSOLIDATED STATEMENTS OF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02" w:name="Tc_u2qs3fB9FkCZd2ElR1CK0A_48_0"/>
      <w:bookmarkStart w:id="303" w:name="Tc_BszKwnIWuk2NVexRsOjIIA_47_0"/>
      <w:bookmarkStart w:id="304" w:name="Tc_3FYq3TbsUkuS5wY-Kv71VA_46_0"/>
      <w:bookmarkStart w:id="305" w:name="Tc_llTOaBobH0Oz-oDddUCGeQ_45_0"/>
      <w:bookmarkStart w:id="306" w:name="Tc_E0_Y9xCnekeg40WyX8o8zw_44_0"/>
      <w:bookmarkStart w:id="307" w:name="Tc_8RwIS6Eo806ehIqHOSx5Bg_43_0"/>
      <w:bookmarkStart w:id="308" w:name="Tc_Uy600z3by0qLB3aKnFfOTw_42_0"/>
      <w:bookmarkStart w:id="309" w:name="Tc_G38-9NvXukWxEcvr74o2Mg_41_0"/>
      <w:bookmarkStart w:id="310" w:name="Tc_ZLgPhxf97US8L3QEE3_67A_40_0"/>
      <w:bookmarkStart w:id="311" w:name="Tc_sWKfJAuL3Eq5DFl6BCmbHw_39_8"/>
      <w:bookmarkStart w:id="312" w:name="Tc_0PcR-koNk02mtJSrXmG_jw_39_6"/>
      <w:bookmarkStart w:id="313" w:name="Tc_IQjH1GjK4kycxxQxMQQy5g_39_0"/>
      <w:bookmarkStart w:id="314" w:name="Tc_jIt4W1SoQEq0F-UI84ktjA_38_0"/>
      <w:bookmarkStart w:id="315" w:name="Tc_VdAFO8Z4zEuiye7L3X0dLQ_37_0"/>
      <w:bookmarkStart w:id="316" w:name="Tc_YRwGnwdcu0GprBtMjnlt-Q_36_0"/>
      <w:bookmarkStart w:id="317" w:name="Tc_XhZMRaGbRkukdHT6xCw5jA_35_0"/>
      <w:bookmarkStart w:id="318" w:name="Tc_Tq1szAKfKkiOIzlKCyqSkQ_34_0"/>
      <w:bookmarkStart w:id="319" w:name="Tc_WT1ZKGJt1UWkadNW5mLXvw_33_8"/>
      <w:bookmarkStart w:id="320" w:name="Tc_AjjrXmriVk6x67_g6UvBbQ_33_6"/>
      <w:bookmarkStart w:id="321" w:name="Tc_fL1Yx93eqkyTLsgHBmWDUA_33_0"/>
      <w:bookmarkStart w:id="322" w:name="Tc_EyCE_qp-iUS1KSdIoIndqQ_32_0"/>
      <w:bookmarkStart w:id="323" w:name="Tc_j-oFoXyDWEOeBymoiJ-EIg_31_0"/>
      <w:bookmarkStart w:id="324" w:name="Tc_Y4S0cdPr30aW_zWCoGS4iA_30_0"/>
      <w:bookmarkStart w:id="325" w:name="Tc_TMmwM4uxaUe1WrlpMx5WyA_29_0"/>
      <w:bookmarkStart w:id="326" w:name="Tc_Rfih6H5dOkqIKwtNuiyJOQ_28_0"/>
      <w:bookmarkStart w:id="327" w:name="Tc_2cHlvh6jsEmLJLYXah4raQ_27_0"/>
      <w:bookmarkStart w:id="328" w:name="Tc_X9pMc9w-ykOBuQFYVCu0Wg_26_0"/>
      <w:bookmarkStart w:id="329" w:name="Tc_0wbjdE0ZBEyUXqj2TTWKFg_25_0"/>
      <w:bookmarkStart w:id="330" w:name="Tc_MRMINzs1k0e8mwYSlzR9GA_24_0"/>
      <w:bookmarkStart w:id="331" w:name="Tc_kq2RY8GBmU2pQoUG7QTC5A_23_0"/>
      <w:bookmarkStart w:id="332" w:name="Tc_hVjWJ5-1_EOTA5jfx8xknQ_22_0"/>
      <w:bookmarkStart w:id="333" w:name="Tc_L_JkwEHKjU2YpyAWpdF0lQ_21_0"/>
      <w:bookmarkStart w:id="334" w:name="Tc_mEGmuCBC_Eq7lDovNT9gVg_20_0"/>
      <w:bookmarkStart w:id="335" w:name="Tc_5yExcKIOb0ywAuXCus-tUQ_19_0"/>
      <w:bookmarkStart w:id="336" w:name="Tc_adK4L4z50U60LsV8E2C-XA_18_0"/>
      <w:bookmarkStart w:id="337" w:name="Tc_xwJi3YIcokipYtHuX7zGRw_17_0"/>
      <w:bookmarkStart w:id="338" w:name="Tc_u-FJABKCZUGovVwUELlvZg_16_0"/>
      <w:bookmarkStart w:id="339" w:name="Tc_C6wmnwDgAUqQNv_mK3-qLQ_15_0"/>
      <w:bookmarkStart w:id="340" w:name="Tc_AsbRkRCtxUuzfg2J_tuMpg_14_0"/>
      <w:bookmarkStart w:id="341" w:name="Tc_aa9PyxbG-Eaoaxt06P6XPw_13_0"/>
      <w:bookmarkStart w:id="342" w:name="Tc_qdv0W1xmIEimL2TxtvJDYQ_12_0"/>
      <w:bookmarkStart w:id="343" w:name="Tc_PsGV4rdFoUeOWjXMwVsE-w_11_0"/>
      <w:bookmarkStart w:id="344" w:name="Tc_ATitMplX3EOlO_YKWGI9HQ_10_0"/>
      <w:bookmarkStart w:id="345" w:name="Tc_wgATiElT7U-26HAu6XK66Q_9_0"/>
      <w:bookmarkStart w:id="346" w:name="Tc_CJy713tqQkaXyyvHSjmvUw_8_0"/>
      <w:bookmarkStart w:id="347" w:name="Tc_4tOvTPCt9EeksrQVEDU_ZA_7_0"/>
      <w:bookmarkStart w:id="348" w:name="Tc_7JWu88YOzEeXVBahCCHbuA_6_0"/>
      <w:bookmarkStart w:id="349" w:name="Tc_COTDyIymMEGDPmZaqKftxg_5_0"/>
      <w:bookmarkStart w:id="350" w:name="Tc_v5oD5EZRfUiDHHO0K1L-AQ_4_8"/>
      <w:bookmarkStart w:id="351" w:name="Tc_QNBIFKbh7UuNMERfM5H1Kw_3_8"/>
      <w:bookmarkStart w:id="352" w:name="Tc_efGRDMTPVUGMtXTSn-Fd1Q_3_6"/>
      <w:bookmarkStart w:id="353" w:name="Tc_6gSY8PNJjUezHbp7jvdSHg_3_4"/>
      <w:bookmarkStart w:id="354" w:name="Tc_l-ZCo7iGkUOo_fI7dAWs0A_3_2"/>
      <w:bookmarkStart w:id="355" w:name="Tc_I27Sy2zrvUSqxzmzqepNEw_2_8"/>
      <w:bookmarkStart w:id="356" w:name="Tc_pVAz20AOKUyp4Nd3Dd6Sdg_2_6"/>
      <w:bookmarkStart w:id="357" w:name="Tc_KBE0FyuTDk2iGtEC82-YDg_2_4"/>
      <w:bookmarkStart w:id="358" w:name="Tc_DgAOX4_5tUidV_T3TUuFCA_2_2"/>
      <w:bookmarkStart w:id="359" w:name="Tc_jMMk_me7dka_-DZzjmn1WQ_1_2"/>
      <w:bookmarkStart w:id="360" w:name="_c0acd20f_0374_472b_bb62_526a1d8b8c31"/>
      <w:bookmarkStart w:id="361" w:name="_9502447f_0cea_4575_827b_51171d781a4f"/>
      <w:bookmarkStart w:id="362" w:name="Tc_u2qs3fB9FkCZd2ElR1CK0A_48_0"/>
      <w:bookmarkStart w:id="363" w:name="Tc_BszKwnIWuk2NVexRsOjIIA_47_0"/>
      <w:bookmarkStart w:id="364" w:name="Tc_3FYq3TbsUkuS5wY-Kv71VA_46_0"/>
      <w:bookmarkStart w:id="365" w:name="Tc_llTOaBobH0Oz-oDddUCGeQ_45_0"/>
      <w:bookmarkStart w:id="366" w:name="Tc_E0_Y9xCnekeg40WyX8o8zw_44_0"/>
      <w:bookmarkStart w:id="367" w:name="Tc_8RwIS6Eo806ehIqHOSx5Bg_43_0"/>
      <w:bookmarkStart w:id="368" w:name="Tc_Uy600z3by0qLB3aKnFfOTw_42_0"/>
      <w:bookmarkStart w:id="369" w:name="Tc_G38-9NvXukWxEcvr74o2Mg_41_0"/>
      <w:bookmarkStart w:id="370" w:name="Tc_ZLgPhxf97US8L3QEE3_67A_40_0"/>
      <w:bookmarkStart w:id="371" w:name="Tc_sWKfJAuL3Eq5DFl6BCmbHw_39_8"/>
      <w:bookmarkStart w:id="372" w:name="Tc_0PcR-koNk02mtJSrXmG_jw_39_6"/>
      <w:bookmarkStart w:id="373" w:name="Tc_IQjH1GjK4kycxxQxMQQy5g_39_0"/>
      <w:bookmarkStart w:id="374" w:name="Tc_jIt4W1SoQEq0F-UI84ktjA_38_0"/>
      <w:bookmarkStart w:id="375" w:name="Tc_VdAFO8Z4zEuiye7L3X0dLQ_37_0"/>
      <w:bookmarkStart w:id="376" w:name="Tc_YRwGnwdcu0GprBtMjnlt-Q_36_0"/>
      <w:bookmarkStart w:id="377" w:name="Tc_XhZMRaGbRkukdHT6xCw5jA_35_0"/>
      <w:bookmarkStart w:id="378" w:name="Tc_Tq1szAKfKkiOIzlKCyqSkQ_34_0"/>
      <w:bookmarkStart w:id="379" w:name="Tc_WT1ZKGJt1UWkadNW5mLXvw_33_8"/>
      <w:bookmarkStart w:id="380" w:name="Tc_AjjrXmriVk6x67_g6UvBbQ_33_6"/>
      <w:bookmarkStart w:id="381" w:name="Tc_fL1Yx93eqkyTLsgHBmWDUA_33_0"/>
      <w:bookmarkStart w:id="382" w:name="Tc_EyCE_qp-iUS1KSdIoIndqQ_32_0"/>
      <w:bookmarkStart w:id="383" w:name="Tc_j-oFoXyDWEOeBymoiJ-EIg_31_0"/>
      <w:bookmarkStart w:id="384" w:name="Tc_Y4S0cdPr30aW_zWCoGS4iA_30_0"/>
      <w:bookmarkStart w:id="385" w:name="Tc_TMmwM4uxaUe1WrlpMx5WyA_29_0"/>
      <w:bookmarkStart w:id="386" w:name="Tc_Rfih6H5dOkqIKwtNuiyJOQ_28_0"/>
      <w:bookmarkStart w:id="387" w:name="Tc_2cHlvh6jsEmLJLYXah4raQ_27_0"/>
      <w:bookmarkStart w:id="388" w:name="Tc_X9pMc9w-ykOBuQFYVCu0Wg_26_0"/>
      <w:bookmarkStart w:id="389" w:name="Tc_0wbjdE0ZBEyUXqj2TTWKFg_25_0"/>
      <w:bookmarkStart w:id="390" w:name="Tc_MRMINzs1k0e8mwYSlzR9GA_24_0"/>
      <w:bookmarkStart w:id="391" w:name="Tc_kq2RY8GBmU2pQoUG7QTC5A_23_0"/>
      <w:bookmarkStart w:id="392" w:name="Tc_hVjWJ5-1_EOTA5jfx8xknQ_22_0"/>
      <w:bookmarkStart w:id="393" w:name="Tc_L_JkwEHKjU2YpyAWpdF0lQ_21_0"/>
      <w:bookmarkStart w:id="394" w:name="Tc_mEGmuCBC_Eq7lDovNT9gVg_20_0"/>
      <w:bookmarkStart w:id="395" w:name="Tc_5yExcKIOb0ywAuXCus-tUQ_19_0"/>
      <w:bookmarkStart w:id="396" w:name="Tc_adK4L4z50U60LsV8E2C-XA_18_0"/>
      <w:bookmarkStart w:id="397" w:name="Tc_xwJi3YIcokipYtHuX7zGRw_17_0"/>
      <w:bookmarkStart w:id="398" w:name="Tc_u-FJABKCZUGovVwUELlvZg_16_0"/>
      <w:bookmarkStart w:id="399" w:name="Tc_C6wmnwDgAUqQNv_mK3-qLQ_15_0"/>
      <w:bookmarkStart w:id="400" w:name="Tc_AsbRkRCtxUuzfg2J_tuMpg_14_0"/>
      <w:bookmarkStart w:id="401" w:name="Tc_aa9PyxbG-Eaoaxt06P6XPw_13_0"/>
      <w:bookmarkStart w:id="402" w:name="Tc_qdv0W1xmIEimL2TxtvJDYQ_12_0"/>
      <w:bookmarkStart w:id="403" w:name="Tc_PsGV4rdFoUeOWjXMwVsE-w_11_0"/>
      <w:bookmarkStart w:id="404" w:name="Tc_ATitMplX3EOlO_YKWGI9HQ_10_0"/>
      <w:bookmarkStart w:id="405" w:name="Tc_wgATiElT7U-26HAu6XK66Q_9_0"/>
      <w:bookmarkStart w:id="406" w:name="Tc_CJy713tqQkaXyyvHSjmvUw_8_0"/>
      <w:bookmarkStart w:id="407" w:name="Tc_4tOvTPCt9EeksrQVEDU_ZA_7_0"/>
      <w:bookmarkStart w:id="408" w:name="Tc_7JWu88YOzEeXVBahCCHbuA_6_0"/>
      <w:bookmarkStart w:id="409" w:name="Tc_COTDyIymMEGDPmZaqKftxg_5_0"/>
      <w:bookmarkStart w:id="410" w:name="Tc_v5oD5EZRfUiDHHO0K1L-AQ_4_8"/>
      <w:bookmarkStart w:id="411" w:name="Tc_QNBIFKbh7UuNMERfM5H1Kw_3_8"/>
      <w:bookmarkStart w:id="412" w:name="Tc_efGRDMTPVUGMtXTSn-Fd1Q_3_6"/>
      <w:bookmarkStart w:id="413" w:name="Tc_6gSY8PNJjUezHbp7jvdSHg_3_4"/>
      <w:bookmarkStart w:id="414" w:name="Tc_l-ZCo7iGkUOo_fI7dAWs0A_3_2"/>
      <w:bookmarkStart w:id="415" w:name="Tc_I27Sy2zrvUSqxzmzqepNEw_2_8"/>
      <w:bookmarkStart w:id="416" w:name="Tc_pVAz20AOKUyp4Nd3Dd6Sdg_2_6"/>
      <w:bookmarkStart w:id="417" w:name="Tc_KBE0FyuTDk2iGtEC82-YDg_2_4"/>
      <w:bookmarkStart w:id="418" w:name="Tc_DgAOX4_5tUidV_T3TUuFCA_2_2"/>
      <w:bookmarkStart w:id="419" w:name="Tc_jMMk_me7dka_-DZzjmn1WQ_1_2"/>
      <w:bookmarkStart w:id="420" w:name="_c0acd20f_0374_472b_bb62_526a1d8b8c31"/>
      <w:bookmarkStart w:id="421" w:name="_9502447f_0cea_4575_827b_51171d781a4f"/>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tbl>
      <w:tblPr>
        <w:tblW w:w="10205" w:type="dxa"/>
        <w:jc w:val="left"/>
        <w:tblInd w:w="0" w:type="dxa"/>
        <w:tblLayout w:type="fixed"/>
        <w:tblCellMar>
          <w:top w:w="0" w:type="dxa"/>
          <w:left w:w="0" w:type="dxa"/>
          <w:bottom w:w="0" w:type="dxa"/>
          <w:right w:w="0" w:type="dxa"/>
        </w:tblCellMar>
      </w:tblPr>
      <w:tblGrid>
        <w:gridCol w:w="4292"/>
        <w:gridCol w:w="326"/>
        <w:gridCol w:w="1141"/>
        <w:gridCol w:w="326"/>
        <w:gridCol w:w="1141"/>
        <w:gridCol w:w="326"/>
        <w:gridCol w:w="1141"/>
        <w:gridCol w:w="326"/>
        <w:gridCol w:w="1186"/>
      </w:tblGrid>
      <w:tr>
        <w:trPr/>
        <w:tc>
          <w:tcPr>
            <w:tcW w:w="4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725420" cy="175260"/>
                      <wp:effectExtent l="0" t="0" r="0" b="0"/>
                      <wp:wrapNone/>
                      <wp:docPr id="137" name="Frame134"/>
                      <a:graphic xmlns:a="http://schemas.openxmlformats.org/drawingml/2006/main">
                        <a:graphicData uri="http://schemas.microsoft.com/office/word/2010/wordprocessingShape">
                          <wps:wsp>
                            <wps:cNvSpPr txBox="1"/>
                            <wps:spPr>
                              <a:xfrm>
                                <a:off x="0" y="0"/>
                                <a:ext cx="272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38"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724535" cy="175260"/>
                      <wp:effectExtent l="0" t="0" r="0" b="0"/>
                      <wp:wrapNone/>
                      <wp:docPr id="139" name="Frame13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0"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24535" cy="175260"/>
                      <wp:effectExtent l="0" t="0" r="0" b="0"/>
                      <wp:wrapNone/>
                      <wp:docPr id="141" name="Frame13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2"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724535" cy="175260"/>
                      <wp:effectExtent l="0" t="0" r="0" b="0"/>
                      <wp:wrapNone/>
                      <wp:docPr id="143" name="Frame14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44"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753110" cy="175260"/>
                      <wp:effectExtent l="0" t="0" r="0" b="0"/>
                      <wp:wrapNone/>
                      <wp:docPr id="145" name="Frame14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58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42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USD</w:t>
            </w:r>
          </w:p>
        </w:tc>
      </w:tr>
      <w:tr>
        <w:trPr/>
        <w:tc>
          <w:tcPr>
            <w:tcW w:w="42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 2(e)</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Revenue:</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Vehicle sales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45,506,581</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49,257,270</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58,234,086</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7,978,037</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sales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3,761,980</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6,360,663</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7,497,473</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1,027,150</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revenues</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49,268,561</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55,617,933</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65,731,559</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9,005,187</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sales: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Vehicle sales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(39,271,801)</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(44,587,572)</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(51,094,616)</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(6,999,934)</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sales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(4,852,767)</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(7,978,565)</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(8,144,181)</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(1,115,748)</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cost of sales</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(44,124,568)</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(52,566,137)</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(59,238,797)</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(8,115,682)</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5,143,993</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3,051,796</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6,492,762</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889,505</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(10,836,261)</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(13,431,399)</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(13,037,304)</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(1,786,103)</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(10,537,119)</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(12,884,556)</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(15,741,057)</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(2,156,516)</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operating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588,728</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608,975</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411,526</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56,379</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operating expenses</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(20,784,652)</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(25,706,980)</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(28,366,835)</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(3,886,240)</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Loss from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(15,640,659)</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(22,655,184)</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(21,874,073)</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(2,996,735)</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and investment income</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1,358,719</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2,210,018</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853,728</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116,960</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(333,216)</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(403,530)</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(798,363)</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(109,375)</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Gain/(loss) on extinguishment of debt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138,332</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170,193</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(4,480)</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(614)</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 of income/(loss) of equity investees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377,775</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64,394</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(503,193)</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(68,937)</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(loss)/income, net</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(282,952)</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155,191</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(98,143)</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(13,446)</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Loss before income tax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(14,382,001)</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(20,458,918)</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(22,424,524)</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(3,072,147)</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(expense)/benefit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(55,103)</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(260,835)</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22,815</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3,126</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(14,437,104)</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(20,719,753)</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(22,401,709)</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(3,069,021)</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on redeemable non-controlling interests to redemption value</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(279,355)</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(303,163)</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(347,516)</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(47,609)</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157,014</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(124,051)</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91,533</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12,540</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loss attributable to ordinary shareholders of NIO Inc.</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(14,559,445)</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(21,146,967)</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(22,657,692)</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(3,104,090)</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(14,437,104)</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(20,719,753)</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(22,401,709)</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(3,069,021)</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Other comprehensive income/(loss)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unrealized gains/(losses) related to available-for-sale debt securities,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746,336</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(770,560)</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 net of nil tax</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717,274</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11,514</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149,668</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20,504</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other comprehensive income/(loss)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1,463,610</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(759,046)</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149,668</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20,504</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comprehensive loss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(12,973,494)</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(21,478,799)</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(22,252,041)</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(3,048,517)</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on redeemable non-controlling interests to redemption value</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(279,355)</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(303,163)</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(347,516)</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(47,609)</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loss/(profit) attributable to non-controlling interests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157,014</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(124,051)</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91,533</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12,540</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(income)/loss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(151,299)</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156,026</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Comprehensive loss attributable to ordinary shareholders of NIO Inc</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(13,247,134)</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(21,749,987)</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(22,508,024)</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(3,083,586)</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Weighted average number of ordinary shares used in computing net loss per share</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left"/>
              <w:rPr/>
            </w:pPr>
            <w:r>
              <w:rPr/>
              <w:t>​</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 and diluted</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1,636,999,280</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1,700,203,886</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2,054,614,522</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2,054,614,522</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loss per share attributable to ordinary shareholders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 and diluted</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(8.89)</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(12.44)</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(11.03)</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Weighted average number of ADS used in computing net loss per ADS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 and diluted</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1,636,999,280</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1,700,203,886</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2,054,614,522</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2,054,614,522</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loss per ADS attributable to ordinary shareholders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 and diluted</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(8.89)</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(12.44)</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(11.03)</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22" w:name="_b79c99b7_a19a_4ea7_9f1e_5cd4879d0ee2"/>
      <w:bookmarkEnd w:id="422"/>
      <w:r>
        <w:rPr>
          <w:rFonts w:ascii="Times New Roman;Times;serif" w:hAnsi="Times New Roman;Times;serif"/>
          <w:b/>
          <w:sz w:val="20"/>
        </w:rPr>
        <w:t>NIO INC.</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423" w:name="CONSOLIDATEDSTATEMENTSOFSHAREHOLDERSDEFI"/>
      <w:bookmarkEnd w:id="423"/>
      <w:r>
        <w:rPr>
          <w:rFonts w:ascii="Times New Roman;Times;serif" w:hAnsi="Times New Roman;Times;serif"/>
          <w:b/>
          <w:sz w:val="20"/>
        </w:rPr>
        <w:t>CONSOLIDATED STATEMENTS OF SHAREHOLDERS’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24" w:name="Tc_jVq30_hPl0mI-eAVHp1Q8w_17_0"/>
      <w:bookmarkStart w:id="425" w:name="Tc_5zJHWWyRhkefa1340wCxJw_16_12"/>
      <w:bookmarkStart w:id="426" w:name="Tc_Hv83rwShz0i3wh0hDqtUfw_16_10"/>
      <w:bookmarkStart w:id="427" w:name="Tc_I3HWC-jqNUKUtq1upme9wg_16_8"/>
      <w:bookmarkStart w:id="428" w:name="Tc_GxqgF_viWkyaQbs5m682cw_16_6"/>
      <w:bookmarkStart w:id="429" w:name="Tc_c5S1Gomsjk6RvVlaVIrWtg_16_4"/>
      <w:bookmarkStart w:id="430" w:name="Tc_QwGXS8KtEEeVcYSMuJzmVw_16_2"/>
      <w:bookmarkStart w:id="431" w:name="Tc_4VAgYN16G0GxZPa5TqF4Gw_16_0"/>
      <w:bookmarkStart w:id="432" w:name="Tc_F3OJmT93xESgkkZXaAMj0g_15_14"/>
      <w:bookmarkStart w:id="433" w:name="Tc_qB9ktVMihUycTyicFJWiRg_15_10"/>
      <w:bookmarkStart w:id="434" w:name="Tc_EWa9NJlv_k6uCyJcS1mXJQ_15_8"/>
      <w:bookmarkStart w:id="435" w:name="Tc_2_mywqSAzkyTOL6TAxW_pA_15_6"/>
      <w:bookmarkStart w:id="436" w:name="Tc_FXqtZm1-_UmEKeKOx_piNQ_15_4"/>
      <w:bookmarkStart w:id="437" w:name="Tc_rTSBxM1ChUmVQSxIKZhzPA_15_2"/>
      <w:bookmarkStart w:id="438" w:name="Tc_cVFTlNrjF06pbMg095Sn_Q_15_0"/>
      <w:bookmarkStart w:id="439" w:name="Tc_dOMbTcStcU22qLqNOlwCpA_14_18"/>
      <w:bookmarkStart w:id="440" w:name="Tc_dAeP6nG44U2lGLSiCI4viw_14_14"/>
      <w:bookmarkStart w:id="441" w:name="Tc_5ZAQVmar2kqtiEPFIMnQsA_14_10"/>
      <w:bookmarkStart w:id="442" w:name="Tc_HlCfgbUeJEeHzQYWwyhwjg_14_8"/>
      <w:bookmarkStart w:id="443" w:name="Tc_Ed7QlWqhuU6Si9EwUiRTHQ_14_6"/>
      <w:bookmarkStart w:id="444" w:name="Tc_eKl1het2a0qcolwqNr72pw_14_4"/>
      <w:bookmarkStart w:id="445" w:name="Tc_YpOLm_w-0kWKMMFDjJZdaQ_14_2"/>
      <w:bookmarkStart w:id="446" w:name="Tc_PwF-t0s48ECbib6hAGCVaA_14_0"/>
      <w:bookmarkStart w:id="447" w:name="Tc_gA4pF3jPzkmhBbNBeKzfYQ_13_18"/>
      <w:bookmarkStart w:id="448" w:name="Tc_q98wNjjN90muU09hJqiF8g_13_14"/>
      <w:bookmarkStart w:id="449" w:name="Tc_J5Awx9wRtU6qyMk9uMyGHw_13_12"/>
      <w:bookmarkStart w:id="450" w:name="Tc_wMzKRyvOS0qnA_GYyC6ZRA_13_8"/>
      <w:bookmarkStart w:id="451" w:name="Tc_QfQSHAeKBEmSbW6y-fEqWQ_13_6"/>
      <w:bookmarkStart w:id="452" w:name="Tc_6Wyxk8nhrk-t2Dzv1k0WDA_13_4"/>
      <w:bookmarkStart w:id="453" w:name="Tc_sWPVLW8jsEWZagwvmb53vg_13_2"/>
      <w:bookmarkStart w:id="454" w:name="Tc_YrQ1ABrkyEuDNAlcF0UkzA_13_0"/>
      <w:bookmarkStart w:id="455" w:name="Tc_eSe0GLNFO0iHJsLrvJSdKw_12_18"/>
      <w:bookmarkStart w:id="456" w:name="Tc_rl8QgHPyck2AcE9Cz8UrXA_12_14"/>
      <w:bookmarkStart w:id="457" w:name="Tc_t3rFPoPP5UubadtlwPSxHQ_12_12"/>
      <w:bookmarkStart w:id="458" w:name="Tc_AWzxhlsVxUuxP3mMt4bDrA_12_8"/>
      <w:bookmarkStart w:id="459" w:name="Tc_8w19eSYuSkai4r9ycNxOPA_12_6"/>
      <w:bookmarkStart w:id="460" w:name="Tc_TAif_AL4MUiqBBMZYy6Wvg_12_0"/>
      <w:bookmarkStart w:id="461" w:name="Tc_c5nJ7peLpUCKArMoG9arwg_11_18"/>
      <w:bookmarkStart w:id="462" w:name="Tc_vYsjylXgn0ad4ZhS4Kyd2g_11_14"/>
      <w:bookmarkStart w:id="463" w:name="Tc_5onSegpI1k6ciR-hVklN_A_11_12"/>
      <w:bookmarkStart w:id="464" w:name="Tc_xxX6-n5XbUCSPNHH_Cvqzw_11_8"/>
      <w:bookmarkStart w:id="465" w:name="Tc_XstcSElMSEmcwmfkJd4MBg_11_0"/>
      <w:bookmarkStart w:id="466" w:name="Tc_bCd-Dgs1zk2zvvf8HhULpQ_10_20"/>
      <w:bookmarkStart w:id="467" w:name="Tc_8Efy9pH2GUWgbERKF8KK5g_10_14"/>
      <w:bookmarkStart w:id="468" w:name="Tc_6K3rErkfDEyuVJ5ynVM-lA_10_12"/>
      <w:bookmarkStart w:id="469" w:name="Tc_kPv8AqON1UGjbvETTb2UnA_10_8"/>
      <w:bookmarkStart w:id="470" w:name="Tc_QqH1EsSbEUmvwk3chS2Biw_10_6"/>
      <w:bookmarkStart w:id="471" w:name="Tc_W_W-REP4ykGULaBw4Rq8tg_10_4"/>
      <w:bookmarkStart w:id="472" w:name="Tc_xbaG3G2p2U-ZXOIHXrF-hg_10_2"/>
      <w:bookmarkStart w:id="473" w:name="Tc_ckiyhXSWp0SxM6XNK5n4JA_10_0"/>
      <w:bookmarkStart w:id="474" w:name="Tc_ETEX0NPD30afpT9nmuc7pw_9_16"/>
      <w:bookmarkStart w:id="475" w:name="Tc_7yw6tj3iU06KqZpJGbjWbA_9_14"/>
      <w:bookmarkStart w:id="476" w:name="Tc_dYdQ4Oj_zUOa7Gh-0sy3rw_9_12"/>
      <w:bookmarkStart w:id="477" w:name="Tc_W4j1Ay2RiEyt3gHxCfDDEQ_9_10"/>
      <w:bookmarkStart w:id="478" w:name="Tc_OyQdhydUr0KZZFkoRVsU4g_9_8"/>
      <w:bookmarkStart w:id="479" w:name="Tc_toRYcqD5k0uVzi-LEv88Rw_9_6"/>
      <w:bookmarkStart w:id="480" w:name="Tc_cb6zY2-YVUeIWSkK8teivQ_9_4"/>
      <w:bookmarkStart w:id="481" w:name="Tc_4kIck0ao1Ey0BmqqDGIhyw_9_2"/>
      <w:bookmarkStart w:id="482" w:name="Tc_abWb42qjj0CYbpOSHkytfg_9_0"/>
      <w:bookmarkStart w:id="483" w:name="Tc_zX7tCPPl_EyJxFHBddwG3A_8_18"/>
      <w:bookmarkStart w:id="484" w:name="Tc_bC8NQybGrEO9j0tbUn4MeQ_8_14"/>
      <w:bookmarkStart w:id="485" w:name="Tc_ddc-zgPpzU-lzspqLNReoA_8_12"/>
      <w:bookmarkStart w:id="486" w:name="Tc_y3D0Z5Ljr0yr6LQbL-3pCA_8_8"/>
      <w:bookmarkStart w:id="487" w:name="Tc_Oc7gMjvl7Uuoeb26qXgbNQ_8_6"/>
      <w:bookmarkStart w:id="488" w:name="Tc_ovvFvsquk0O1RCbBQb4kvg_8_4"/>
      <w:bookmarkStart w:id="489" w:name="Tc_qo9E9y6lv06Bj6yVcZgU7Q_8_0"/>
      <w:bookmarkStart w:id="490" w:name="Tc_o_1TE1YUdUKgn4LKNlKF4w_7_18"/>
      <w:bookmarkStart w:id="491" w:name="Tc_YNi9wSmX9ki8TAtjln_LXg_7_14"/>
      <w:bookmarkStart w:id="492" w:name="Tc_BvTBQHSQdkqFCD2CzprFoA_7_12"/>
      <w:bookmarkStart w:id="493" w:name="Tc_DC0aWeDnw0uN-0bZPaYRiA_7_8"/>
      <w:bookmarkStart w:id="494" w:name="Tc_DZS7cf_eUUStZmH611dCZA_7_6"/>
      <w:bookmarkStart w:id="495" w:name="Tc_B0Wa6VvL6UWqakh1TwEFIQ_7_0"/>
      <w:bookmarkStart w:id="496" w:name="Tc_ZPlpxlcKTkymQWPJFFkhOw_6_18"/>
      <w:bookmarkStart w:id="497" w:name="Tc_kh9B5j6aA0yEJ-bNbYjLNg_6_14"/>
      <w:bookmarkStart w:id="498" w:name="Tc_umE4_Vu4OkeJ8gWKVB8c7A_6_12"/>
      <w:bookmarkStart w:id="499" w:name="Tc_vDJJJawzM0uSXKN6_iG0zw_6_8"/>
      <w:bookmarkStart w:id="500" w:name="Tc_mjRGMQ81pkSSC4v8Mlei_Q_6_6"/>
      <w:bookmarkStart w:id="501" w:name="Tc_Tccb0uO0iUmHUshbpFCE1Q_6_4"/>
      <w:bookmarkStart w:id="502" w:name="Tc_aOs6WIF_3kOF73WmWJUOQw_6_2"/>
      <w:bookmarkStart w:id="503" w:name="Tc_Tm5KrElo30GSswGyMXrG2g_6_0"/>
      <w:bookmarkStart w:id="504" w:name="Tc_XWKUhyE13k-dwnIwZg3bhA_5_0"/>
      <w:bookmarkStart w:id="505" w:name="Tc_Kh4dgsH24E-3HjrZfhlR5w_4_20"/>
      <w:bookmarkStart w:id="506" w:name="Tc_p8M02XEgxUe_DSQ0agS0UA_4_18"/>
      <w:bookmarkStart w:id="507" w:name="Tc_XWEOaY2M5UOseMdtVMPqgA_4_16"/>
      <w:bookmarkStart w:id="508" w:name="Tc_qtgdkcpMfk6E-JzRjVuVTw_4_14"/>
      <w:bookmarkStart w:id="509" w:name="Tc_t7eYOxkkN0SBT4hhwh9Cig_4_12"/>
      <w:bookmarkStart w:id="510" w:name="Tc_cpcBgNTwaUGalRX3We6goA_4_10"/>
      <w:bookmarkStart w:id="511" w:name="Tc_ai4ftTuzn0SJNrgE-7f5Ew_4_8"/>
      <w:bookmarkStart w:id="512" w:name="Tc_gI6wb6EYskW8SqQzkTr4lw_4_6"/>
      <w:bookmarkStart w:id="513" w:name="Tc_fgZOGzqAE0eeuyc94XDAvA_4_4"/>
      <w:bookmarkStart w:id="514" w:name="Tc_r_hgNeRKl06lInT0ZaiALw_4_2"/>
      <w:bookmarkStart w:id="515" w:name="Tc_HgAl59lDa060AeXcx8Hv2g_3_20"/>
      <w:bookmarkStart w:id="516" w:name="Tc_hK-6Pu2rP0aoHjZfeYIa4Q_3_18"/>
      <w:bookmarkStart w:id="517" w:name="Tc_9Uk8AJF8L0G9y5HO7NqYEw_3_16"/>
      <w:bookmarkStart w:id="518" w:name="Tc_uuGsKcueaEqm7UdmAiXvxw_3_14"/>
      <w:bookmarkStart w:id="519" w:name="Tc_0R1vw8YWa0KIDPmK7iOIxQ_3_12"/>
      <w:bookmarkStart w:id="520" w:name="Tc_f6dgII3Hv0OsReWb0Jgwew_3_10"/>
      <w:bookmarkStart w:id="521" w:name="Tc_myERfOjbCEGKad917F6QFw_3_6"/>
      <w:bookmarkStart w:id="522" w:name="Tc_aJaQD8pFvE2jJljw3ifH5w_3_2"/>
      <w:bookmarkStart w:id="523" w:name="Tc_d7amqW6iO0SFkJOAyzIuNg_2_18"/>
      <w:bookmarkStart w:id="524" w:name="Tc_QbPbKDpMQEq8olTbtDYl5w_2_16"/>
      <w:bookmarkStart w:id="525" w:name="Tc_cdAqJkcgjESNd2dFCpLakQ_2_12"/>
      <w:bookmarkStart w:id="526" w:name="Tc_DHH9-1Ph70etVECgDJS_xw_2_10"/>
      <w:bookmarkStart w:id="527" w:name="Tc_t5x2IQyB0keHmWQ1svwtvQ_1_12"/>
      <w:bookmarkStart w:id="528" w:name="_63ee348b_5e60_40f6_a390_fbeb502411c4"/>
      <w:bookmarkStart w:id="529" w:name="Tc_jVq30_hPl0mI-eAVHp1Q8w_17_0"/>
      <w:bookmarkStart w:id="530" w:name="Tc_5zJHWWyRhkefa1340wCxJw_16_12"/>
      <w:bookmarkStart w:id="531" w:name="Tc_Hv83rwShz0i3wh0hDqtUfw_16_10"/>
      <w:bookmarkStart w:id="532" w:name="Tc_I3HWC-jqNUKUtq1upme9wg_16_8"/>
      <w:bookmarkStart w:id="533" w:name="Tc_GxqgF_viWkyaQbs5m682cw_16_6"/>
      <w:bookmarkStart w:id="534" w:name="Tc_c5S1Gomsjk6RvVlaVIrWtg_16_4"/>
      <w:bookmarkStart w:id="535" w:name="Tc_QwGXS8KtEEeVcYSMuJzmVw_16_2"/>
      <w:bookmarkStart w:id="536" w:name="Tc_4VAgYN16G0GxZPa5TqF4Gw_16_0"/>
      <w:bookmarkStart w:id="537" w:name="Tc_F3OJmT93xESgkkZXaAMj0g_15_14"/>
      <w:bookmarkStart w:id="538" w:name="Tc_qB9ktVMihUycTyicFJWiRg_15_10"/>
      <w:bookmarkStart w:id="539" w:name="Tc_EWa9NJlv_k6uCyJcS1mXJQ_15_8"/>
      <w:bookmarkStart w:id="540" w:name="Tc_2_mywqSAzkyTOL6TAxW_pA_15_6"/>
      <w:bookmarkStart w:id="541" w:name="Tc_FXqtZm1-_UmEKeKOx_piNQ_15_4"/>
      <w:bookmarkStart w:id="542" w:name="Tc_rTSBxM1ChUmVQSxIKZhzPA_15_2"/>
      <w:bookmarkStart w:id="543" w:name="Tc_cVFTlNrjF06pbMg095Sn_Q_15_0"/>
      <w:bookmarkStart w:id="544" w:name="Tc_dOMbTcStcU22qLqNOlwCpA_14_18"/>
      <w:bookmarkStart w:id="545" w:name="Tc_dAeP6nG44U2lGLSiCI4viw_14_14"/>
      <w:bookmarkStart w:id="546" w:name="Tc_5ZAQVmar2kqtiEPFIMnQsA_14_10"/>
      <w:bookmarkStart w:id="547" w:name="Tc_HlCfgbUeJEeHzQYWwyhwjg_14_8"/>
      <w:bookmarkStart w:id="548" w:name="Tc_Ed7QlWqhuU6Si9EwUiRTHQ_14_6"/>
      <w:bookmarkStart w:id="549" w:name="Tc_eKl1het2a0qcolwqNr72pw_14_4"/>
      <w:bookmarkStart w:id="550" w:name="Tc_YpOLm_w-0kWKMMFDjJZdaQ_14_2"/>
      <w:bookmarkStart w:id="551" w:name="Tc_PwF-t0s48ECbib6hAGCVaA_14_0"/>
      <w:bookmarkStart w:id="552" w:name="Tc_gA4pF3jPzkmhBbNBeKzfYQ_13_18"/>
      <w:bookmarkStart w:id="553" w:name="Tc_q98wNjjN90muU09hJqiF8g_13_14"/>
      <w:bookmarkStart w:id="554" w:name="Tc_J5Awx9wRtU6qyMk9uMyGHw_13_12"/>
      <w:bookmarkStart w:id="555" w:name="Tc_wMzKRyvOS0qnA_GYyC6ZRA_13_8"/>
      <w:bookmarkStart w:id="556" w:name="Tc_QfQSHAeKBEmSbW6y-fEqWQ_13_6"/>
      <w:bookmarkStart w:id="557" w:name="Tc_6Wyxk8nhrk-t2Dzv1k0WDA_13_4"/>
      <w:bookmarkStart w:id="558" w:name="Tc_sWPVLW8jsEWZagwvmb53vg_13_2"/>
      <w:bookmarkStart w:id="559" w:name="Tc_YrQ1ABrkyEuDNAlcF0UkzA_13_0"/>
      <w:bookmarkStart w:id="560" w:name="Tc_eSe0GLNFO0iHJsLrvJSdKw_12_18"/>
      <w:bookmarkStart w:id="561" w:name="Tc_rl8QgHPyck2AcE9Cz8UrXA_12_14"/>
      <w:bookmarkStart w:id="562" w:name="Tc_t3rFPoPP5UubadtlwPSxHQ_12_12"/>
      <w:bookmarkStart w:id="563" w:name="Tc_AWzxhlsVxUuxP3mMt4bDrA_12_8"/>
      <w:bookmarkStart w:id="564" w:name="Tc_8w19eSYuSkai4r9ycNxOPA_12_6"/>
      <w:bookmarkStart w:id="565" w:name="Tc_TAif_AL4MUiqBBMZYy6Wvg_12_0"/>
      <w:bookmarkStart w:id="566" w:name="Tc_c5nJ7peLpUCKArMoG9arwg_11_18"/>
      <w:bookmarkStart w:id="567" w:name="Tc_vYsjylXgn0ad4ZhS4Kyd2g_11_14"/>
      <w:bookmarkStart w:id="568" w:name="Tc_5onSegpI1k6ciR-hVklN_A_11_12"/>
      <w:bookmarkStart w:id="569" w:name="Tc_xxX6-n5XbUCSPNHH_Cvqzw_11_8"/>
      <w:bookmarkStart w:id="570" w:name="Tc_XstcSElMSEmcwmfkJd4MBg_11_0"/>
      <w:bookmarkStart w:id="571" w:name="Tc_bCd-Dgs1zk2zvvf8HhULpQ_10_20"/>
      <w:bookmarkStart w:id="572" w:name="Tc_8Efy9pH2GUWgbERKF8KK5g_10_14"/>
      <w:bookmarkStart w:id="573" w:name="Tc_6K3rErkfDEyuVJ5ynVM-lA_10_12"/>
      <w:bookmarkStart w:id="574" w:name="Tc_kPv8AqON1UGjbvETTb2UnA_10_8"/>
      <w:bookmarkStart w:id="575" w:name="Tc_QqH1EsSbEUmvwk3chS2Biw_10_6"/>
      <w:bookmarkStart w:id="576" w:name="Tc_W_W-REP4ykGULaBw4Rq8tg_10_4"/>
      <w:bookmarkStart w:id="577" w:name="Tc_xbaG3G2p2U-ZXOIHXrF-hg_10_2"/>
      <w:bookmarkStart w:id="578" w:name="Tc_ckiyhXSWp0SxM6XNK5n4JA_10_0"/>
      <w:bookmarkStart w:id="579" w:name="Tc_ETEX0NPD30afpT9nmuc7pw_9_16"/>
      <w:bookmarkStart w:id="580" w:name="Tc_7yw6tj3iU06KqZpJGbjWbA_9_14"/>
      <w:bookmarkStart w:id="581" w:name="Tc_dYdQ4Oj_zUOa7Gh-0sy3rw_9_12"/>
      <w:bookmarkStart w:id="582" w:name="Tc_W4j1Ay2RiEyt3gHxCfDDEQ_9_10"/>
      <w:bookmarkStart w:id="583" w:name="Tc_OyQdhydUr0KZZFkoRVsU4g_9_8"/>
      <w:bookmarkStart w:id="584" w:name="Tc_toRYcqD5k0uVzi-LEv88Rw_9_6"/>
      <w:bookmarkStart w:id="585" w:name="Tc_cb6zY2-YVUeIWSkK8teivQ_9_4"/>
      <w:bookmarkStart w:id="586" w:name="Tc_4kIck0ao1Ey0BmqqDGIhyw_9_2"/>
      <w:bookmarkStart w:id="587" w:name="Tc_abWb42qjj0CYbpOSHkytfg_9_0"/>
      <w:bookmarkStart w:id="588" w:name="Tc_zX7tCPPl_EyJxFHBddwG3A_8_18"/>
      <w:bookmarkStart w:id="589" w:name="Tc_bC8NQybGrEO9j0tbUn4MeQ_8_14"/>
      <w:bookmarkStart w:id="590" w:name="Tc_ddc-zgPpzU-lzspqLNReoA_8_12"/>
      <w:bookmarkStart w:id="591" w:name="Tc_y3D0Z5Ljr0yr6LQbL-3pCA_8_8"/>
      <w:bookmarkStart w:id="592" w:name="Tc_Oc7gMjvl7Uuoeb26qXgbNQ_8_6"/>
      <w:bookmarkStart w:id="593" w:name="Tc_ovvFvsquk0O1RCbBQb4kvg_8_4"/>
      <w:bookmarkStart w:id="594" w:name="Tc_qo9E9y6lv06Bj6yVcZgU7Q_8_0"/>
      <w:bookmarkStart w:id="595" w:name="Tc_o_1TE1YUdUKgn4LKNlKF4w_7_18"/>
      <w:bookmarkStart w:id="596" w:name="Tc_YNi9wSmX9ki8TAtjln_LXg_7_14"/>
      <w:bookmarkStart w:id="597" w:name="Tc_BvTBQHSQdkqFCD2CzprFoA_7_12"/>
      <w:bookmarkStart w:id="598" w:name="Tc_DC0aWeDnw0uN-0bZPaYRiA_7_8"/>
      <w:bookmarkStart w:id="599" w:name="Tc_DZS7cf_eUUStZmH611dCZA_7_6"/>
      <w:bookmarkStart w:id="600" w:name="Tc_B0Wa6VvL6UWqakh1TwEFIQ_7_0"/>
      <w:bookmarkStart w:id="601" w:name="Tc_ZPlpxlcKTkymQWPJFFkhOw_6_18"/>
      <w:bookmarkStart w:id="602" w:name="Tc_kh9B5j6aA0yEJ-bNbYjLNg_6_14"/>
      <w:bookmarkStart w:id="603" w:name="Tc_umE4_Vu4OkeJ8gWKVB8c7A_6_12"/>
      <w:bookmarkStart w:id="604" w:name="Tc_vDJJJawzM0uSXKN6_iG0zw_6_8"/>
      <w:bookmarkStart w:id="605" w:name="Tc_mjRGMQ81pkSSC4v8Mlei_Q_6_6"/>
      <w:bookmarkStart w:id="606" w:name="Tc_Tccb0uO0iUmHUshbpFCE1Q_6_4"/>
      <w:bookmarkStart w:id="607" w:name="Tc_aOs6WIF_3kOF73WmWJUOQw_6_2"/>
      <w:bookmarkStart w:id="608" w:name="Tc_Tm5KrElo30GSswGyMXrG2g_6_0"/>
      <w:bookmarkStart w:id="609" w:name="Tc_XWKUhyE13k-dwnIwZg3bhA_5_0"/>
      <w:bookmarkStart w:id="610" w:name="Tc_Kh4dgsH24E-3HjrZfhlR5w_4_20"/>
      <w:bookmarkStart w:id="611" w:name="Tc_p8M02XEgxUe_DSQ0agS0UA_4_18"/>
      <w:bookmarkStart w:id="612" w:name="Tc_XWEOaY2M5UOseMdtVMPqgA_4_16"/>
      <w:bookmarkStart w:id="613" w:name="Tc_qtgdkcpMfk6E-JzRjVuVTw_4_14"/>
      <w:bookmarkStart w:id="614" w:name="Tc_t7eYOxkkN0SBT4hhwh9Cig_4_12"/>
      <w:bookmarkStart w:id="615" w:name="Tc_cpcBgNTwaUGalRX3We6goA_4_10"/>
      <w:bookmarkStart w:id="616" w:name="Tc_ai4ftTuzn0SJNrgE-7f5Ew_4_8"/>
      <w:bookmarkStart w:id="617" w:name="Tc_gI6wb6EYskW8SqQzkTr4lw_4_6"/>
      <w:bookmarkStart w:id="618" w:name="Tc_fgZOGzqAE0eeuyc94XDAvA_4_4"/>
      <w:bookmarkStart w:id="619" w:name="Tc_r_hgNeRKl06lInT0ZaiALw_4_2"/>
      <w:bookmarkStart w:id="620" w:name="Tc_HgAl59lDa060AeXcx8Hv2g_3_20"/>
      <w:bookmarkStart w:id="621" w:name="Tc_hK-6Pu2rP0aoHjZfeYIa4Q_3_18"/>
      <w:bookmarkStart w:id="622" w:name="Tc_9Uk8AJF8L0G9y5HO7NqYEw_3_16"/>
      <w:bookmarkStart w:id="623" w:name="Tc_uuGsKcueaEqm7UdmAiXvxw_3_14"/>
      <w:bookmarkStart w:id="624" w:name="Tc_0R1vw8YWa0KIDPmK7iOIxQ_3_12"/>
      <w:bookmarkStart w:id="625" w:name="Tc_f6dgII3Hv0OsReWb0Jgwew_3_10"/>
      <w:bookmarkStart w:id="626" w:name="Tc_myERfOjbCEGKad917F6QFw_3_6"/>
      <w:bookmarkStart w:id="627" w:name="Tc_aJaQD8pFvE2jJljw3ifH5w_3_2"/>
      <w:bookmarkStart w:id="628" w:name="Tc_d7amqW6iO0SFkJOAyzIuNg_2_18"/>
      <w:bookmarkStart w:id="629" w:name="Tc_QbPbKDpMQEq8olTbtDYl5w_2_16"/>
      <w:bookmarkStart w:id="630" w:name="Tc_cdAqJkcgjESNd2dFCpLakQ_2_12"/>
      <w:bookmarkStart w:id="631" w:name="Tc_DHH9-1Ph70etVECgDJS_xw_2_10"/>
      <w:bookmarkStart w:id="632" w:name="Tc_t5x2IQyB0keHmWQ1svwtvQ_1_12"/>
      <w:bookmarkStart w:id="633" w:name="_63ee348b_5e60_40f6_a390_fbeb502411c4"/>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tbl>
      <w:tblPr>
        <w:tblW w:w="14596" w:type="dxa"/>
        <w:jc w:val="left"/>
        <w:tblInd w:w="0" w:type="dxa"/>
        <w:tblLayout w:type="fixed"/>
        <w:tblCellMar>
          <w:top w:w="0" w:type="dxa"/>
          <w:left w:w="0" w:type="dxa"/>
          <w:bottom w:w="0" w:type="dxa"/>
          <w:right w:w="0" w:type="dxa"/>
        </w:tblCellMar>
      </w:tblPr>
      <w:tblGrid>
        <w:gridCol w:w="1321"/>
        <w:gridCol w:w="326"/>
        <w:gridCol w:w="1141"/>
        <w:gridCol w:w="326"/>
        <w:gridCol w:w="811"/>
        <w:gridCol w:w="326"/>
        <w:gridCol w:w="976"/>
        <w:gridCol w:w="326"/>
        <w:gridCol w:w="886"/>
        <w:gridCol w:w="326"/>
        <w:gridCol w:w="916"/>
        <w:gridCol w:w="326"/>
        <w:gridCol w:w="1216"/>
        <w:gridCol w:w="326"/>
        <w:gridCol w:w="1051"/>
        <w:gridCol w:w="326"/>
        <w:gridCol w:w="1051"/>
        <w:gridCol w:w="326"/>
        <w:gridCol w:w="946"/>
        <w:gridCol w:w="326"/>
        <w:gridCol w:w="1021"/>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838835" cy="175260"/>
                      <wp:effectExtent l="0" t="0" r="0" b="0"/>
                      <wp:wrapNone/>
                      <wp:docPr id="146" name="Frame143"/>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47"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724535" cy="175260"/>
                      <wp:effectExtent l="0" t="0" r="0" b="0"/>
                      <wp:wrapNone/>
                      <wp:docPr id="148" name="Frame14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49"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14985" cy="175260"/>
                      <wp:effectExtent l="0" t="0" r="0" b="0"/>
                      <wp:wrapNone/>
                      <wp:docPr id="150" name="Frame14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1"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19760" cy="175260"/>
                      <wp:effectExtent l="0" t="0" r="0" b="0"/>
                      <wp:wrapNone/>
                      <wp:docPr id="152" name="Frame149"/>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53"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62610" cy="175260"/>
                      <wp:effectExtent l="0" t="0" r="0" b="0"/>
                      <wp:wrapNone/>
                      <wp:docPr id="154" name="Frame15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55"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81660" cy="175260"/>
                      <wp:effectExtent l="0" t="0" r="0" b="0"/>
                      <wp:wrapNone/>
                      <wp:docPr id="156" name="Frame15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57"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772160" cy="175260"/>
                      <wp:effectExtent l="0" t="0" r="0" b="0"/>
                      <wp:wrapNone/>
                      <wp:docPr id="158" name="Frame155"/>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59"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67385" cy="175260"/>
                      <wp:effectExtent l="0" t="0" r="0" b="0"/>
                      <wp:wrapNone/>
                      <wp:docPr id="160" name="Frame15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1"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67385" cy="175260"/>
                      <wp:effectExtent l="0" t="0" r="0" b="0"/>
                      <wp:wrapNone/>
                      <wp:docPr id="162" name="Frame15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63"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00710" cy="175260"/>
                      <wp:effectExtent l="0" t="0" r="0" b="0"/>
                      <wp:wrapNone/>
                      <wp:docPr id="164" name="Frame16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65"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335" cy="175260"/>
                      <wp:effectExtent l="0" t="0" r="0" b="0"/>
                      <wp:wrapNone/>
                      <wp:docPr id="166" name="Frame163"/>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7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26" w:type="dxa"/>
            <w:tcBorders/>
            <w:vAlign w:val="center"/>
          </w:tcPr>
          <w:p>
            <w:pPr>
              <w:pStyle w:val="TableContents"/>
              <w:bidi w:val="0"/>
              <w:spacing w:before="0" w:after="0"/>
              <w:ind w:left="0" w:right="0" w:hanging="0"/>
              <w:jc w:val="left"/>
              <w:rPr/>
            </w:pPr>
            <w:r>
              <w:rPr/>
              <w:t>​</w:t>
            </w:r>
          </w:p>
        </w:tc>
        <w:tc>
          <w:tcPr>
            <w:tcW w:w="218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(Loss)/Income</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2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1,661,749,433</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2,892</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(18,080,253)</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(1,849,600)</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92,467,072</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(276,300)</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(55,634,140)</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34,709,924</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75,633</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34,785,557</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on redeemable non-controlling interests to redemption value</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(279,355)</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(279,355)</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(279,355)</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convertible senior notes to ordinary shares - related parties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8,805,770</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207,457</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207,472</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207,472</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convertible senior notes to ordinary shares - third party</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172,631</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10,450</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10,450</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10,450</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Distributions to 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(32,629)</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(32,629)</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Transactions with non-controlling interests (Note 22)</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(184,085)</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(184,085)</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184,085</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share options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4,514,461</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19,229</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75,627</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75,634</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75,634</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 based compensation of the restricted shares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4,978,597</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1,863,412</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1,863,420</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1,863,420</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 based compensation of the share options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432,484</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432,484</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432,484</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717,274</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717,274</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717,274</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available-for-sale debt securities (Note 9)</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595,037</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595,037</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151,299</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746,336</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(14,280,090)</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(14,280,090)</w:t>
            </w:r>
          </w:p>
        </w:tc>
        <w:tc>
          <w:tcPr>
            <w:tcW w:w="32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(157,014)</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(14,437,104)</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1,680,220,892</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2,922</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(18,061,024)</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(1,849,600)</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94,593,062</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1,036,011</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(69,914,230)</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23,868,165</w:t>
            </w:r>
          </w:p>
        </w:tc>
        <w:tc>
          <w:tcPr>
            <w:tcW w:w="326" w:type="dxa"/>
            <w:tcBorders/>
            <w:shd w:fill="CCEEFF" w:val="clear"/>
            <w:vAlign w:val="center"/>
          </w:tcPr>
          <w:p>
            <w:pPr>
              <w:pStyle w:val="TableContents"/>
              <w:bidi w:val="0"/>
              <w:spacing w:before="0" w:after="0"/>
              <w:ind w:left="0" w:right="0" w:hanging="0"/>
              <w:jc w:val="righ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221,374</w:t>
            </w:r>
          </w:p>
        </w:tc>
        <w:tc>
          <w:tcPr>
            <w:tcW w:w="326" w:type="dxa"/>
            <w:tcBorders/>
            <w:shd w:fill="CCEEFF" w:val="clear"/>
            <w:vAlign w:val="center"/>
          </w:tcPr>
          <w:p>
            <w:pPr>
              <w:pStyle w:val="TableContents"/>
              <w:bidi w:val="0"/>
              <w:spacing w:before="0" w:after="0"/>
              <w:ind w:left="0" w:right="0" w:hanging="0"/>
              <w:jc w:val="righ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24,089,539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SHAREHOLDERS’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634" w:name="Tc_MjNKtuzAc06R3xfNeKqA_w_14_0"/>
      <w:bookmarkStart w:id="635" w:name="Tc_j-r5kh_LiEy6JsiGrLs2XA_13_12"/>
      <w:bookmarkStart w:id="636" w:name="Tc_5N3iXZWQiEGjI-3JCd7PMg_13_10"/>
      <w:bookmarkStart w:id="637" w:name="Tc_33XooV0Ty0udx2fwb4TPDA_13_8"/>
      <w:bookmarkStart w:id="638" w:name="Tc_tSQGYTSUMEquz-yIAHLL7g_13_6"/>
      <w:bookmarkStart w:id="639" w:name="Tc_7lF0q4ayTke1O-_5NYp7hA_13_4"/>
      <w:bookmarkStart w:id="640" w:name="Tc_2RihUajuIEKvQp-jIJzOFw_13_2"/>
      <w:bookmarkStart w:id="641" w:name="Tc_TPX7nGf41k6fDUn90XfITQ_13_0"/>
      <w:bookmarkStart w:id="642" w:name="Tc_shCzH9tH40uGz2xaWziFDQ_12_14"/>
      <w:bookmarkStart w:id="643" w:name="Tc_82210vPISUaDRuDh-otsLA_12_10"/>
      <w:bookmarkStart w:id="644" w:name="Tc_8wUZe1XPpEmmhEanbOTBxg_12_8"/>
      <w:bookmarkStart w:id="645" w:name="Tc_LzmEwab-ikm-x_gPnLgfmw_12_6"/>
      <w:bookmarkStart w:id="646" w:name="Tc_YXwiWOPtFk6KGyIH0hTkWA_12_4"/>
      <w:bookmarkStart w:id="647" w:name="Tc_r8h4OLadPEiSui62orr_Xw_12_2"/>
      <w:bookmarkStart w:id="648" w:name="Tc_E1_cBshPgEe1oaMPhx8jbA_12_0"/>
      <w:bookmarkStart w:id="649" w:name="Tc_DY_qyeS6p02mMsKCevRLJQ_11_18"/>
      <w:bookmarkStart w:id="650" w:name="Tc_uEo1YM9I8U6VSk4raMqCvQ_11_14"/>
      <w:bookmarkStart w:id="651" w:name="Tc_RC2Jgz4EREe8Iij2sgQ1dg_11_10"/>
      <w:bookmarkStart w:id="652" w:name="Tc_pfmXHd1cHkiIPwJJOtvnhg_11_8"/>
      <w:bookmarkStart w:id="653" w:name="Tc_kWI6XlPWGEudUrm9T2Hikw_11_6"/>
      <w:bookmarkStart w:id="654" w:name="Tc_lDNTae7BaUKhOrMji-DXpg_11_4"/>
      <w:bookmarkStart w:id="655" w:name="Tc_OI9cCzyjQEO6ub-i_cJRDg_11_2"/>
      <w:bookmarkStart w:id="656" w:name="Tc_V7JE72VaKUeyX18s8VV3EQ_11_0"/>
      <w:bookmarkStart w:id="657" w:name="Tc_Lsvl9Uf1CEmtmBa6GVpxOA_10_18"/>
      <w:bookmarkStart w:id="658" w:name="Tc_Kczc-_7u5UqoOtTgGqzsMQ_10_14"/>
      <w:bookmarkStart w:id="659" w:name="Tc_1s5szu0YoEOKGIA2Tl7cbA_10_12"/>
      <w:bookmarkStart w:id="660" w:name="Tc_9ZzhebP4f0m6l4J095Ib4Q_10_8"/>
      <w:bookmarkStart w:id="661" w:name="Tc_L2iyUfkjr0W_4U4j_x4XPA_10_6"/>
      <w:bookmarkStart w:id="662" w:name="Tc_R-fp3s4fCkumclOhVYbMxg_10_4"/>
      <w:bookmarkStart w:id="663" w:name="Tc_LUVTfEHqCkulVdD0srekIA_10_2"/>
      <w:bookmarkStart w:id="664" w:name="Tc_2l4PXw8zG06OKBrdljGs2A_10_0"/>
      <w:bookmarkStart w:id="665" w:name="Tc_JT4mtUE9BUS38f0W1cJMew_9_18"/>
      <w:bookmarkStart w:id="666" w:name="Tc_UlXuk9yCi0iMa8FTacnhAA_9_14"/>
      <w:bookmarkStart w:id="667" w:name="Tc_PbCxNmoUIEq1alPdMRPTtg_9_12"/>
      <w:bookmarkStart w:id="668" w:name="Tc_rzM7BURb30KFcJ631rYoow_9_8"/>
      <w:bookmarkStart w:id="669" w:name="Tc_EpcPYzgxkkeYch4u0JZWWQ_9_6"/>
      <w:bookmarkStart w:id="670" w:name="Tc_G867dVph0kC3ShP-uvKaGg_9_0"/>
      <w:bookmarkStart w:id="671" w:name="Tc_5Wv12NXufkeluVnwVvwk3A_8_18"/>
      <w:bookmarkStart w:id="672" w:name="Tc_mfXZQfSNqkqtc0wPlYbLxg_8_14"/>
      <w:bookmarkStart w:id="673" w:name="Tc_yst1BmEDuUSc9PTmjxaLZQ_8_12"/>
      <w:bookmarkStart w:id="674" w:name="Tc_wsdJ_Rt8V0OWkV-gMYRKdg_8_8"/>
      <w:bookmarkStart w:id="675" w:name="Tc_YNSE1cEi6kmvWqu922ujMg_8_6"/>
      <w:bookmarkStart w:id="676" w:name="Tc_zcLjHyLKYEeODGax6Xy9mA_8_0"/>
      <w:bookmarkStart w:id="677" w:name="Tc_aa2NGfT_tUKd7xtxaRQnKw_7_18"/>
      <w:bookmarkStart w:id="678" w:name="Tc_GFg8RXQ2mEG9qCOVSqAL6g_7_14"/>
      <w:bookmarkStart w:id="679" w:name="Tc_Rb2537tZYUC1DythpUbAVw_7_12"/>
      <w:bookmarkStart w:id="680" w:name="Tc_HtvRIQzIH0SECpwsnhzMKQ_7_8"/>
      <w:bookmarkStart w:id="681" w:name="Tc_LtN-Mq_2WUiC6_JEfQy5aw_7_6"/>
      <w:bookmarkStart w:id="682" w:name="Tc_d0SFEOeEzUaNgz7_Wn4ANw_7_0"/>
      <w:bookmarkStart w:id="683" w:name="Tc_7TGmBbwe8kekC2Jf_2YFBA_6_18"/>
      <w:bookmarkStart w:id="684" w:name="Tc_ZdGGJ5sDfUafeFFQcxgv5Q_6_14"/>
      <w:bookmarkStart w:id="685" w:name="Tc_hGAoq8XzuE-twFiuqcBSGA_6_12"/>
      <w:bookmarkStart w:id="686" w:name="Tc_3CmWKnP0706DcKGh6f_DMg_6_8"/>
      <w:bookmarkStart w:id="687" w:name="Tc_KYIfBZsCqE2XixEBpqqx3A_6_6"/>
      <w:bookmarkStart w:id="688" w:name="Tc_T0ArtZOUhUihy9kXnz3vxg_6_4"/>
      <w:bookmarkStart w:id="689" w:name="Tc_JXqrw3HTqEy8EtwqtNSoFA_6_2"/>
      <w:bookmarkStart w:id="690" w:name="Tc_KDQ8N62Yc06Qk_9Rofb31A_6_0"/>
      <w:bookmarkStart w:id="691" w:name="Tc_-xhf1u-Z60emw_s5MYI6bg_5_0"/>
      <w:bookmarkStart w:id="692" w:name="Tc_n9IoWtl0ekORoOJh_1oFHQ_4_20"/>
      <w:bookmarkStart w:id="693" w:name="Tc_NThD-8-ZSEiGTvRjTljFFQ_4_18"/>
      <w:bookmarkStart w:id="694" w:name="Tc_mUgwHxv4GEKBHw_5Ex7aIw_4_16"/>
      <w:bookmarkStart w:id="695" w:name="Tc_XNGOZhg3YkehAtnDu9uYyw_4_14"/>
      <w:bookmarkStart w:id="696" w:name="Tc_46ymmN3enkeGHITiVruS4A_4_12"/>
      <w:bookmarkStart w:id="697" w:name="Tc_AmPn0q6Np0SIJfrR8TVzSQ_4_10"/>
      <w:bookmarkStart w:id="698" w:name="Tc_i10OyxzrxECaKXPesUWnQw_4_8"/>
      <w:bookmarkStart w:id="699" w:name="Tc_vAyeuFMc8ki4FxkbOrYKNA_4_6"/>
      <w:bookmarkStart w:id="700" w:name="Tc_gLds0NZDVEC8miDOcaEOAA_4_4"/>
      <w:bookmarkStart w:id="701" w:name="Tc_Mr6H3tcWj0aJyh7bQ9JZEw_4_2"/>
      <w:bookmarkStart w:id="702" w:name="Tc_rOjVvr-GSku_sC4ZUF9nqw_3_20"/>
      <w:bookmarkStart w:id="703" w:name="Tc_wKRHXVC2i0azJZhz3uh5vQ_3_18"/>
      <w:bookmarkStart w:id="704" w:name="Tc_TSyakwpZbEGo-_SWF-at3g_3_16"/>
      <w:bookmarkStart w:id="705" w:name="Tc_yTUFiKRNQEOsOtJ2EgTQqw_3_14"/>
      <w:bookmarkStart w:id="706" w:name="Tc_AR5G0l4940mMHvlD3hSFQw_3_12"/>
      <w:bookmarkStart w:id="707" w:name="Tc_4MZv8n4TW0qsb3LTnMIW-w_3_10"/>
      <w:bookmarkStart w:id="708" w:name="Tc_tQlxokxqsEWz7_9T7d_Hxg_3_6"/>
      <w:bookmarkStart w:id="709" w:name="Tc_g0U5q0m8HkmdWI6PyGy2qw_3_2"/>
      <w:bookmarkStart w:id="710" w:name="Tc_BNUmIU2d-EWrxAT-6-TCrg_2_18"/>
      <w:bookmarkStart w:id="711" w:name="Tc_2X2ch8u17U6yFySeDwoelQ_2_16"/>
      <w:bookmarkStart w:id="712" w:name="Tc_wRQzORt6uEqBC_ao9squEA_2_12"/>
      <w:bookmarkStart w:id="713" w:name="Tc_uCggeKkIlkSF65pR0kaxTQ_2_10"/>
      <w:bookmarkStart w:id="714" w:name="Tc_AgqeXHMUK0ap1LooW5aEWA_1_12"/>
      <w:bookmarkStart w:id="715" w:name="_d0d2e308_d89a_42d7_b3e5_9f26bf5da9e7"/>
      <w:bookmarkStart w:id="716" w:name="Tc_MjNKtuzAc06R3xfNeKqA_w_14_0"/>
      <w:bookmarkStart w:id="717" w:name="Tc_j-r5kh_LiEy6JsiGrLs2XA_13_12"/>
      <w:bookmarkStart w:id="718" w:name="Tc_5N3iXZWQiEGjI-3JCd7PMg_13_10"/>
      <w:bookmarkStart w:id="719" w:name="Tc_33XooV0Ty0udx2fwb4TPDA_13_8"/>
      <w:bookmarkStart w:id="720" w:name="Tc_tSQGYTSUMEquz-yIAHLL7g_13_6"/>
      <w:bookmarkStart w:id="721" w:name="Tc_7lF0q4ayTke1O-_5NYp7hA_13_4"/>
      <w:bookmarkStart w:id="722" w:name="Tc_2RihUajuIEKvQp-jIJzOFw_13_2"/>
      <w:bookmarkStart w:id="723" w:name="Tc_TPX7nGf41k6fDUn90XfITQ_13_0"/>
      <w:bookmarkStart w:id="724" w:name="Tc_shCzH9tH40uGz2xaWziFDQ_12_14"/>
      <w:bookmarkStart w:id="725" w:name="Tc_82210vPISUaDRuDh-otsLA_12_10"/>
      <w:bookmarkStart w:id="726" w:name="Tc_8wUZe1XPpEmmhEanbOTBxg_12_8"/>
      <w:bookmarkStart w:id="727" w:name="Tc_LzmEwab-ikm-x_gPnLgfmw_12_6"/>
      <w:bookmarkStart w:id="728" w:name="Tc_YXwiWOPtFk6KGyIH0hTkWA_12_4"/>
      <w:bookmarkStart w:id="729" w:name="Tc_r8h4OLadPEiSui62orr_Xw_12_2"/>
      <w:bookmarkStart w:id="730" w:name="Tc_E1_cBshPgEe1oaMPhx8jbA_12_0"/>
      <w:bookmarkStart w:id="731" w:name="Tc_DY_qyeS6p02mMsKCevRLJQ_11_18"/>
      <w:bookmarkStart w:id="732" w:name="Tc_uEo1YM9I8U6VSk4raMqCvQ_11_14"/>
      <w:bookmarkStart w:id="733" w:name="Tc_RC2Jgz4EREe8Iij2sgQ1dg_11_10"/>
      <w:bookmarkStart w:id="734" w:name="Tc_pfmXHd1cHkiIPwJJOtvnhg_11_8"/>
      <w:bookmarkStart w:id="735" w:name="Tc_kWI6XlPWGEudUrm9T2Hikw_11_6"/>
      <w:bookmarkStart w:id="736" w:name="Tc_lDNTae7BaUKhOrMji-DXpg_11_4"/>
      <w:bookmarkStart w:id="737" w:name="Tc_OI9cCzyjQEO6ub-i_cJRDg_11_2"/>
      <w:bookmarkStart w:id="738" w:name="Tc_V7JE72VaKUeyX18s8VV3EQ_11_0"/>
      <w:bookmarkStart w:id="739" w:name="Tc_Lsvl9Uf1CEmtmBa6GVpxOA_10_18"/>
      <w:bookmarkStart w:id="740" w:name="Tc_Kczc-_7u5UqoOtTgGqzsMQ_10_14"/>
      <w:bookmarkStart w:id="741" w:name="Tc_1s5szu0YoEOKGIA2Tl7cbA_10_12"/>
      <w:bookmarkStart w:id="742" w:name="Tc_9ZzhebP4f0m6l4J095Ib4Q_10_8"/>
      <w:bookmarkStart w:id="743" w:name="Tc_L2iyUfkjr0W_4U4j_x4XPA_10_6"/>
      <w:bookmarkStart w:id="744" w:name="Tc_R-fp3s4fCkumclOhVYbMxg_10_4"/>
      <w:bookmarkStart w:id="745" w:name="Tc_LUVTfEHqCkulVdD0srekIA_10_2"/>
      <w:bookmarkStart w:id="746" w:name="Tc_2l4PXw8zG06OKBrdljGs2A_10_0"/>
      <w:bookmarkStart w:id="747" w:name="Tc_JT4mtUE9BUS38f0W1cJMew_9_18"/>
      <w:bookmarkStart w:id="748" w:name="Tc_UlXuk9yCi0iMa8FTacnhAA_9_14"/>
      <w:bookmarkStart w:id="749" w:name="Tc_PbCxNmoUIEq1alPdMRPTtg_9_12"/>
      <w:bookmarkStart w:id="750" w:name="Tc_rzM7BURb30KFcJ631rYoow_9_8"/>
      <w:bookmarkStart w:id="751" w:name="Tc_EpcPYzgxkkeYch4u0JZWWQ_9_6"/>
      <w:bookmarkStart w:id="752" w:name="Tc_G867dVph0kC3ShP-uvKaGg_9_0"/>
      <w:bookmarkStart w:id="753" w:name="Tc_5Wv12NXufkeluVnwVvwk3A_8_18"/>
      <w:bookmarkStart w:id="754" w:name="Tc_mfXZQfSNqkqtc0wPlYbLxg_8_14"/>
      <w:bookmarkStart w:id="755" w:name="Tc_yst1BmEDuUSc9PTmjxaLZQ_8_12"/>
      <w:bookmarkStart w:id="756" w:name="Tc_wsdJ_Rt8V0OWkV-gMYRKdg_8_8"/>
      <w:bookmarkStart w:id="757" w:name="Tc_YNSE1cEi6kmvWqu922ujMg_8_6"/>
      <w:bookmarkStart w:id="758" w:name="Tc_zcLjHyLKYEeODGax6Xy9mA_8_0"/>
      <w:bookmarkStart w:id="759" w:name="Tc_aa2NGfT_tUKd7xtxaRQnKw_7_18"/>
      <w:bookmarkStart w:id="760" w:name="Tc_GFg8RXQ2mEG9qCOVSqAL6g_7_14"/>
      <w:bookmarkStart w:id="761" w:name="Tc_Rb2537tZYUC1DythpUbAVw_7_12"/>
      <w:bookmarkStart w:id="762" w:name="Tc_HtvRIQzIH0SECpwsnhzMKQ_7_8"/>
      <w:bookmarkStart w:id="763" w:name="Tc_LtN-Mq_2WUiC6_JEfQy5aw_7_6"/>
      <w:bookmarkStart w:id="764" w:name="Tc_d0SFEOeEzUaNgz7_Wn4ANw_7_0"/>
      <w:bookmarkStart w:id="765" w:name="Tc_7TGmBbwe8kekC2Jf_2YFBA_6_18"/>
      <w:bookmarkStart w:id="766" w:name="Tc_ZdGGJ5sDfUafeFFQcxgv5Q_6_14"/>
      <w:bookmarkStart w:id="767" w:name="Tc_hGAoq8XzuE-twFiuqcBSGA_6_12"/>
      <w:bookmarkStart w:id="768" w:name="Tc_3CmWKnP0706DcKGh6f_DMg_6_8"/>
      <w:bookmarkStart w:id="769" w:name="Tc_KYIfBZsCqE2XixEBpqqx3A_6_6"/>
      <w:bookmarkStart w:id="770" w:name="Tc_T0ArtZOUhUihy9kXnz3vxg_6_4"/>
      <w:bookmarkStart w:id="771" w:name="Tc_JXqrw3HTqEy8EtwqtNSoFA_6_2"/>
      <w:bookmarkStart w:id="772" w:name="Tc_KDQ8N62Yc06Qk_9Rofb31A_6_0"/>
      <w:bookmarkStart w:id="773" w:name="Tc_-xhf1u-Z60emw_s5MYI6bg_5_0"/>
      <w:bookmarkStart w:id="774" w:name="Tc_n9IoWtl0ekORoOJh_1oFHQ_4_20"/>
      <w:bookmarkStart w:id="775" w:name="Tc_NThD-8-ZSEiGTvRjTljFFQ_4_18"/>
      <w:bookmarkStart w:id="776" w:name="Tc_mUgwHxv4GEKBHw_5Ex7aIw_4_16"/>
      <w:bookmarkStart w:id="777" w:name="Tc_XNGOZhg3YkehAtnDu9uYyw_4_14"/>
      <w:bookmarkStart w:id="778" w:name="Tc_46ymmN3enkeGHITiVruS4A_4_12"/>
      <w:bookmarkStart w:id="779" w:name="Tc_AmPn0q6Np0SIJfrR8TVzSQ_4_10"/>
      <w:bookmarkStart w:id="780" w:name="Tc_i10OyxzrxECaKXPesUWnQw_4_8"/>
      <w:bookmarkStart w:id="781" w:name="Tc_vAyeuFMc8ki4FxkbOrYKNA_4_6"/>
      <w:bookmarkStart w:id="782" w:name="Tc_gLds0NZDVEC8miDOcaEOAA_4_4"/>
      <w:bookmarkStart w:id="783" w:name="Tc_Mr6H3tcWj0aJyh7bQ9JZEw_4_2"/>
      <w:bookmarkStart w:id="784" w:name="Tc_rOjVvr-GSku_sC4ZUF9nqw_3_20"/>
      <w:bookmarkStart w:id="785" w:name="Tc_wKRHXVC2i0azJZhz3uh5vQ_3_18"/>
      <w:bookmarkStart w:id="786" w:name="Tc_TSyakwpZbEGo-_SWF-at3g_3_16"/>
      <w:bookmarkStart w:id="787" w:name="Tc_yTUFiKRNQEOsOtJ2EgTQqw_3_14"/>
      <w:bookmarkStart w:id="788" w:name="Tc_AR5G0l4940mMHvlD3hSFQw_3_12"/>
      <w:bookmarkStart w:id="789" w:name="Tc_4MZv8n4TW0qsb3LTnMIW-w_3_10"/>
      <w:bookmarkStart w:id="790" w:name="Tc_tQlxokxqsEWz7_9T7d_Hxg_3_6"/>
      <w:bookmarkStart w:id="791" w:name="Tc_g0U5q0m8HkmdWI6PyGy2qw_3_2"/>
      <w:bookmarkStart w:id="792" w:name="Tc_BNUmIU2d-EWrxAT-6-TCrg_2_18"/>
      <w:bookmarkStart w:id="793" w:name="Tc_2X2ch8u17U6yFySeDwoelQ_2_16"/>
      <w:bookmarkStart w:id="794" w:name="Tc_wRQzORt6uEqBC_ao9squEA_2_12"/>
      <w:bookmarkStart w:id="795" w:name="Tc_uCggeKkIlkSF65pR0kaxTQ_2_10"/>
      <w:bookmarkStart w:id="796" w:name="Tc_AgqeXHMUK0ap1LooW5aEWA_1_12"/>
      <w:bookmarkStart w:id="797" w:name="_d0d2e308_d89a_42d7_b3e5_9f26bf5da9e7"/>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p>
    <w:tbl>
      <w:tblPr>
        <w:tblW w:w="14686" w:type="dxa"/>
        <w:jc w:val="left"/>
        <w:tblInd w:w="0" w:type="dxa"/>
        <w:tblLayout w:type="fixed"/>
        <w:tblCellMar>
          <w:top w:w="0" w:type="dxa"/>
          <w:left w:w="0" w:type="dxa"/>
          <w:bottom w:w="0" w:type="dxa"/>
          <w:right w:w="0" w:type="dxa"/>
        </w:tblCellMar>
      </w:tblPr>
      <w:tblGrid>
        <w:gridCol w:w="1321"/>
        <w:gridCol w:w="326"/>
        <w:gridCol w:w="1141"/>
        <w:gridCol w:w="326"/>
        <w:gridCol w:w="811"/>
        <w:gridCol w:w="326"/>
        <w:gridCol w:w="976"/>
        <w:gridCol w:w="326"/>
        <w:gridCol w:w="886"/>
        <w:gridCol w:w="326"/>
        <w:gridCol w:w="1006"/>
        <w:gridCol w:w="326"/>
        <w:gridCol w:w="1216"/>
        <w:gridCol w:w="326"/>
        <w:gridCol w:w="1051"/>
        <w:gridCol w:w="326"/>
        <w:gridCol w:w="1051"/>
        <w:gridCol w:w="326"/>
        <w:gridCol w:w="946"/>
        <w:gridCol w:w="326"/>
        <w:gridCol w:w="1021"/>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838835" cy="175260"/>
                      <wp:effectExtent l="0" t="0" r="0" b="0"/>
                      <wp:wrapNone/>
                      <wp:docPr id="167" name="Frame164"/>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68"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724535" cy="175260"/>
                      <wp:effectExtent l="0" t="0" r="0" b="0"/>
                      <wp:wrapNone/>
                      <wp:docPr id="169" name="Frame16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0"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14985" cy="175260"/>
                      <wp:effectExtent l="0" t="0" r="0" b="0"/>
                      <wp:wrapNone/>
                      <wp:docPr id="171" name="Frame16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2"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19760" cy="175260"/>
                      <wp:effectExtent l="0" t="0" r="0" b="0"/>
                      <wp:wrapNone/>
                      <wp:docPr id="173" name="Frame17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74"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62610" cy="175260"/>
                      <wp:effectExtent l="0" t="0" r="0" b="0"/>
                      <wp:wrapNone/>
                      <wp:docPr id="175" name="Frame17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76"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38810" cy="175260"/>
                      <wp:effectExtent l="0" t="0" r="0" b="0"/>
                      <wp:wrapNone/>
                      <wp:docPr id="177" name="Frame174"/>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78"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772160" cy="175260"/>
                      <wp:effectExtent l="0" t="0" r="0" b="0"/>
                      <wp:wrapNone/>
                      <wp:docPr id="179" name="Frame176"/>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0"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67385" cy="175260"/>
                      <wp:effectExtent l="0" t="0" r="0" b="0"/>
                      <wp:wrapNone/>
                      <wp:docPr id="181" name="Frame17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2"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67385" cy="175260"/>
                      <wp:effectExtent l="0" t="0" r="0" b="0"/>
                      <wp:wrapNone/>
                      <wp:docPr id="183" name="Frame18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84"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00710" cy="175260"/>
                      <wp:effectExtent l="0" t="0" r="0" b="0"/>
                      <wp:wrapNone/>
                      <wp:docPr id="185" name="Frame18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86"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335" cy="175260"/>
                      <wp:effectExtent l="0" t="0" r="0" b="0"/>
                      <wp:wrapNone/>
                      <wp:docPr id="187" name="Frame184"/>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center"/>
              <w:rPr/>
            </w:pPr>
            <w:r>
              <w:rPr/>
              <w:t>​</w:t>
            </w:r>
          </w:p>
        </w:tc>
      </w:tr>
      <w:tr>
        <w:trPr/>
        <w:tc>
          <w:tcPr>
            <w:tcW w:w="1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center"/>
              <w:rPr/>
            </w:pPr>
            <w:r>
              <w:rPr/>
              <w:t>​</w:t>
            </w:r>
          </w:p>
        </w:tc>
      </w:tr>
      <w:tr>
        <w:trPr/>
        <w:tc>
          <w:tcPr>
            <w:tcW w:w="1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7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26" w:type="dxa"/>
            <w:tcBorders/>
            <w:vAlign w:val="center"/>
          </w:tcPr>
          <w:p>
            <w:pPr>
              <w:pStyle w:val="TableContents"/>
              <w:bidi w:val="0"/>
              <w:spacing w:before="0" w:after="1"/>
              <w:ind w:left="0" w:right="0" w:hanging="0"/>
              <w:jc w:val="left"/>
              <w:rPr/>
            </w:pPr>
            <w:r>
              <w:rPr/>
              <w:t>​</w:t>
            </w:r>
          </w:p>
        </w:tc>
        <w:tc>
          <w:tcPr>
            <w:tcW w:w="218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26" w:type="dxa"/>
            <w:tcBorders/>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26" w:type="dxa"/>
            <w:tcBorders/>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2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1,680,220,892</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2,922</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(18,061,024)</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(1,849,600)</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94,593,062</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1,036,011</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(69,914,230)</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23,868,165</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221,374</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24,089,539</w:t>
            </w:r>
          </w:p>
        </w:tc>
      </w:tr>
      <w:tr>
        <w:trPr/>
        <w:tc>
          <w:tcPr>
            <w:tcW w:w="132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on redeemable non-controlling interests to redemption value</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(303,163)</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(303,163)</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(303,163)</w:t>
            </w:r>
          </w:p>
        </w:tc>
      </w:tr>
      <w:tr>
        <w:trPr/>
        <w:tc>
          <w:tcPr>
            <w:tcW w:w="132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ordinary shares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378,695,543</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674</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20,961,615</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20,962,289</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20,962,289</w:t>
            </w:r>
          </w:p>
        </w:tc>
      </w:tr>
      <w:tr>
        <w:trPr/>
        <w:tc>
          <w:tcPr>
            <w:tcW w:w="132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 of share options</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4,242,054</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96,699</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96,707</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96,707</w:t>
            </w:r>
          </w:p>
        </w:tc>
      </w:tr>
      <w:tr>
        <w:trPr/>
        <w:tc>
          <w:tcPr>
            <w:tcW w:w="132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 based compensation of the restricted shares</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10,363,629</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2,089,401</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2,089,419</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2,089,419</w:t>
            </w:r>
          </w:p>
        </w:tc>
      </w:tr>
      <w:tr>
        <w:trPr/>
        <w:tc>
          <w:tcPr>
            <w:tcW w:w="132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 based compensation of the share options</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279,640</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279,640</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279,640</w:t>
            </w:r>
          </w:p>
        </w:tc>
      </w:tr>
      <w:tr>
        <w:trPr/>
        <w:tc>
          <w:tcPr>
            <w:tcW w:w="132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11,514</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11,514</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11,514</w:t>
            </w:r>
          </w:p>
        </w:tc>
      </w:tr>
      <w:tr>
        <w:trPr/>
        <w:tc>
          <w:tcPr>
            <w:tcW w:w="132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Recycling of unrealized gain of available-for-sale debt security (Note 9)</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(614,534)</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(614,534)</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(156,026)</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(770,560)</w:t>
            </w:r>
          </w:p>
        </w:tc>
      </w:tr>
      <w:tr>
        <w:trPr/>
        <w:tc>
          <w:tcPr>
            <w:tcW w:w="132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(20,843,804)</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(20,843,804)</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124,051</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(20,719,753)</w:t>
            </w:r>
          </w:p>
        </w:tc>
      </w:tr>
      <w:tr>
        <w:trPr/>
        <w:tc>
          <w:tcPr>
            <w:tcW w:w="1321"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2023</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2,073,522,118</w:t>
            </w:r>
          </w:p>
        </w:tc>
        <w:tc>
          <w:tcPr>
            <w:tcW w:w="326" w:type="dxa"/>
            <w:tcBorders/>
            <w:vAlign w:val="center"/>
          </w:tcPr>
          <w:p>
            <w:pPr>
              <w:pStyle w:val="TableContents"/>
              <w:bidi w:val="0"/>
              <w:spacing w:before="0" w:after="1"/>
              <w:ind w:left="0" w:right="0" w:hanging="0"/>
              <w:jc w:val="left"/>
              <w:rPr/>
            </w:pPr>
            <w:r>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3,622</w:t>
            </w:r>
          </w:p>
        </w:tc>
        <w:tc>
          <w:tcPr>
            <w:tcW w:w="326" w:type="dxa"/>
            <w:tcBorders/>
            <w:vAlign w:val="center"/>
          </w:tcPr>
          <w:p>
            <w:pPr>
              <w:pStyle w:val="TableContents"/>
              <w:bidi w:val="0"/>
              <w:spacing w:before="0" w:after="1"/>
              <w:ind w:left="0" w:right="0" w:hanging="0"/>
              <w:jc w:val="left"/>
              <w:rPr/>
            </w:pPr>
            <w:r>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(18,061,024)</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(1,849,600)</w:t>
            </w:r>
          </w:p>
        </w:tc>
        <w:tc>
          <w:tcPr>
            <w:tcW w:w="326" w:type="dxa"/>
            <w:tcBorders/>
            <w:vAlign w:val="center"/>
          </w:tcPr>
          <w:p>
            <w:pPr>
              <w:pStyle w:val="TableContents"/>
              <w:bidi w:val="0"/>
              <w:spacing w:before="0" w:after="1"/>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117,717,254</w:t>
            </w:r>
          </w:p>
        </w:tc>
        <w:tc>
          <w:tcPr>
            <w:tcW w:w="326" w:type="dxa"/>
            <w:tcBorders/>
            <w:vAlign w:val="center"/>
          </w:tcPr>
          <w:p>
            <w:pPr>
              <w:pStyle w:val="TableContents"/>
              <w:bidi w:val="0"/>
              <w:spacing w:before="0" w:after="1"/>
              <w:ind w:left="0" w:right="0" w:hanging="0"/>
              <w:jc w:val="left"/>
              <w:rPr/>
            </w:pPr>
            <w:r>
              <w:rPr/>
              <w:t>​</w:t>
            </w:r>
          </w:p>
        </w:tc>
        <w:tc>
          <w:tcPr>
            <w:tcW w:w="12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432,991</w:t>
            </w:r>
          </w:p>
        </w:tc>
        <w:tc>
          <w:tcPr>
            <w:tcW w:w="326" w:type="dxa"/>
            <w:tcBorders/>
            <w:vAlign w:val="center"/>
          </w:tcPr>
          <w:p>
            <w:pPr>
              <w:pStyle w:val="TableContents"/>
              <w:bidi w:val="0"/>
              <w:spacing w:before="0" w:after="1"/>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(90,758,034)</w:t>
            </w:r>
          </w:p>
        </w:tc>
        <w:tc>
          <w:tcPr>
            <w:tcW w:w="326" w:type="dxa"/>
            <w:tcBorders/>
            <w:vAlign w:val="center"/>
          </w:tcPr>
          <w:p>
            <w:pPr>
              <w:pStyle w:val="TableContents"/>
              <w:bidi w:val="0"/>
              <w:spacing w:before="0" w:after="1"/>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25,546,233</w:t>
            </w:r>
          </w:p>
        </w:tc>
        <w:tc>
          <w:tcPr>
            <w:tcW w:w="326" w:type="dxa"/>
            <w:tcBorders/>
            <w:vAlign w:val="center"/>
          </w:tcPr>
          <w:p>
            <w:pPr>
              <w:pStyle w:val="TableContents"/>
              <w:bidi w:val="0"/>
              <w:spacing w:before="0" w:after="1"/>
              <w:ind w:left="0" w:right="0" w:hanging="0"/>
              <w:jc w:val="left"/>
              <w:rPr/>
            </w:pPr>
            <w:r>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189,399</w:t>
            </w:r>
          </w:p>
        </w:tc>
        <w:tc>
          <w:tcPr>
            <w:tcW w:w="326" w:type="dxa"/>
            <w:tcBorders/>
            <w:vAlign w:val="center"/>
          </w:tcPr>
          <w:p>
            <w:pPr>
              <w:pStyle w:val="TableContents"/>
              <w:bidi w:val="0"/>
              <w:spacing w:before="0" w:after="1"/>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25,735,632</w:t>
            </w:r>
          </w:p>
        </w:tc>
      </w:tr>
    </w:tbl>
    <w:p>
      <w:pPr>
        <w:pStyle w:val="TextBody"/>
        <w:bidi w:val="0"/>
        <w:spacing w:before="0" w:after="240"/>
        <w:ind w:left="0" w:right="0" w:firstLine="36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240"/>
        <w:ind w:left="0" w:right="0" w:firstLine="36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SHAREHOLDERS’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798" w:name="Tc_Jxt4yO2MbUeLNFQvVmLMNA_16_0"/>
      <w:bookmarkStart w:id="799" w:name="Tc_lHpwQ2eXjEiHDlehtlzEcw_15_12"/>
      <w:bookmarkStart w:id="800" w:name="Tc_vorSdQ_8cUGClllDYk-EAQ_15_10"/>
      <w:bookmarkStart w:id="801" w:name="Tc_-oHj5dcYZkOTehR_2h-q4A_15_8"/>
      <w:bookmarkStart w:id="802" w:name="Tc_wyw7Ls3gNEuXdYBrLery4w_15_6"/>
      <w:bookmarkStart w:id="803" w:name="Tc_FT8a4thKhkeQ7PqzMc7Dww_15_4"/>
      <w:bookmarkStart w:id="804" w:name="Tc_b03-euu4WEWFgRn0q3O8vQ_15_2"/>
      <w:bookmarkStart w:id="805" w:name="Tc_EHdRgGkuD0ekfO1WgnG9Hg_15_0"/>
      <w:bookmarkStart w:id="806" w:name="Tc_Cx_dTW0TKkiA5AfigXh0Bw_14_20"/>
      <w:bookmarkStart w:id="807" w:name="Tc_HPdjpBhAkk6JYSW87ZtcNA_14_18"/>
      <w:bookmarkStart w:id="808" w:name="Tc_nFhFlb8n9ECAj-nRFaYkKA_14_16"/>
      <w:bookmarkStart w:id="809" w:name="Tc_bWD017xsg0Kv9Uj5JSL-lA_14_14"/>
      <w:bookmarkStart w:id="810" w:name="Tc_2MPAHE2WMECgr6TYFAEV5Q_14_12"/>
      <w:bookmarkStart w:id="811" w:name="Tc_3p8A_s6kJEuGstNz8pljcA_14_4"/>
      <w:bookmarkStart w:id="812" w:name="Tc_ZzhqifWPpUKm8M0bI2ZHBA_14_2"/>
      <w:bookmarkStart w:id="813" w:name="Tc_8Q3B5ZbEG02-2wkxSx4x1A_14_0"/>
      <w:bookmarkStart w:id="814" w:name="Tc_SX7DCU7fk0iyyn8zwZGVcQ_13_16"/>
      <w:bookmarkStart w:id="815" w:name="Tc_CuVXOl8XPUCXmvyfCLWAEA_13_14"/>
      <w:bookmarkStart w:id="816" w:name="Tc_ibWi3tpsYk2AZaX45mhC4A_13_12"/>
      <w:bookmarkStart w:id="817" w:name="Tc_AW3mDElnDkqnzYxwXpL-gQ_13_10"/>
      <w:bookmarkStart w:id="818" w:name="Tc_G-2pBf9iaUikR5KmIrC4tg_13_8"/>
      <w:bookmarkStart w:id="819" w:name="Tc_J4tuWHdFeECAptjtjRWI2w_13_6"/>
      <w:bookmarkStart w:id="820" w:name="Tc_No2mDn9DZEC4GZbUo2z5JA_13_4"/>
      <w:bookmarkStart w:id="821" w:name="Tc_UmluTJV5G0mvW31ZH5Q35w_13_2"/>
      <w:bookmarkStart w:id="822" w:name="Tc_hySJrnKvOEiTuSNhqPVhiw_13_0"/>
      <w:bookmarkStart w:id="823" w:name="Tc_BHk0N4ETsEiqZgNM_wm99A_12_20"/>
      <w:bookmarkStart w:id="824" w:name="Tc_-lAuJ4JIyEyoRCUseyUcHg_12_18"/>
      <w:bookmarkStart w:id="825" w:name="Tc_bUgT_A0TYUmuA5zPpOiXvg_12_16"/>
      <w:bookmarkStart w:id="826" w:name="Tc_L1bG1zT5yEecQ04HT4N1wg_12_14"/>
      <w:bookmarkStart w:id="827" w:name="Tc_gbMOT4KNKU2sXXprEEIoUQ_12_12"/>
      <w:bookmarkStart w:id="828" w:name="Tc_eJ1NyUZaq02SAT0Rat8ojA_12_4"/>
      <w:bookmarkStart w:id="829" w:name="Tc_6VtPTlFu5U-MTrpK7IhhTg_12_2"/>
      <w:bookmarkStart w:id="830" w:name="Tc_2siEyweKQ0qqWK0HXQvDFw_12_0"/>
      <w:bookmarkStart w:id="831" w:name="Tc_5_WB2cKlqUGED06fU1uKQg_11_18"/>
      <w:bookmarkStart w:id="832" w:name="Tc_qAl8Z0_lXUq2Ng16kA4SFg_11_14"/>
      <w:bookmarkStart w:id="833" w:name="Tc_Vimzu7bYIkScrVVwkM5aHg_11_10"/>
      <w:bookmarkStart w:id="834" w:name="Tc_aO7QysIh_UWDUDBQDs8eXw_11_8"/>
      <w:bookmarkStart w:id="835" w:name="Tc_vjsuzIkv9k-nkJw3aoIGEg_11_6"/>
      <w:bookmarkStart w:id="836" w:name="Tc_JP5YXE4kaUC9AALL-kb34A_11_4"/>
      <w:bookmarkStart w:id="837" w:name="Tc_PsydclYIpESOzWEHMWrZvw_11_2"/>
      <w:bookmarkStart w:id="838" w:name="Tc_hM62hIleRUmrkB9Z1utgNg_11_0"/>
      <w:bookmarkStart w:id="839" w:name="Tc_bRbhEzy05UqROIs89U8Xkg_10_18"/>
      <w:bookmarkStart w:id="840" w:name="Tc_H8_r7g6u5k65lKY5DC4XZg_10_14"/>
      <w:bookmarkStart w:id="841" w:name="Tc_RMV976OuTU-cSPp08sFvFg_10_12"/>
      <w:bookmarkStart w:id="842" w:name="Tc_Ev0tnxemqUOCzRudEMenpA_10_8"/>
      <w:bookmarkStart w:id="843" w:name="Tc_TCnTPEmnqEOyKngtmfBswg_10_6"/>
      <w:bookmarkStart w:id="844" w:name="Tc_uIke-wJMVE-HAlVOOSHsjQ_10_4"/>
      <w:bookmarkStart w:id="845" w:name="Tc_L0Ej1EuYNEKpNpGHzYWHKQ_10_2"/>
      <w:bookmarkStart w:id="846" w:name="Tc_5yGpXAav90a1-oX1gWHfYg_10_0"/>
      <w:bookmarkStart w:id="847" w:name="Tc_OfbIELAOTEeqEzWwvBDj9w_9_18"/>
      <w:bookmarkStart w:id="848" w:name="Tc_CC7OKeOLC0e8-GWORf2Pug_9_14"/>
      <w:bookmarkStart w:id="849" w:name="Tc_Iz3TEzaczEKOqA5Yh2uWTg_9_12"/>
      <w:bookmarkStart w:id="850" w:name="Tc_J-fL56mul0O33s-yYKZyww_9_8"/>
      <w:bookmarkStart w:id="851" w:name="Tc_6ORO3gHeTEW7o4qGsJFSAA_9_6"/>
      <w:bookmarkStart w:id="852" w:name="Tc_f_l0UDc6HkC7dBoopHAehA_9_0"/>
      <w:bookmarkStart w:id="853" w:name="Tc_En5PmYcF0E-ljTdxQe3mpA_8_18"/>
      <w:bookmarkStart w:id="854" w:name="Tc_mU8n5uXxbUK89lhSi7GBow_8_14"/>
      <w:bookmarkStart w:id="855" w:name="Tc_X0TYeFrJoEKyIpT13Subig_8_12"/>
      <w:bookmarkStart w:id="856" w:name="Tc_pZWdzOi5gEWktcIS6Ta-0g_8_8"/>
      <w:bookmarkStart w:id="857" w:name="Tc_2emXoLbOXEKaacKH1oDIvQ_8_6"/>
      <w:bookmarkStart w:id="858" w:name="Tc_Y1rfYECRD0GxTrRxqjKTtQ_8_0"/>
      <w:bookmarkStart w:id="859" w:name="Tc_S9aVlmiCIkyJ6FjsMFdb5g_7_18"/>
      <w:bookmarkStart w:id="860" w:name="Tc_l1CA2LcMZ0KgLOYt2Qbbag_7_14"/>
      <w:bookmarkStart w:id="861" w:name="Tc_2GxK_zVp9UuRLSr3RitGbA_7_12"/>
      <w:bookmarkStart w:id="862" w:name="Tc_FAS5gbcTLE2eoW01toZlJw_7_4"/>
      <w:bookmarkStart w:id="863" w:name="Tc_kxBZ_8oOs0iqiPdVNkqGiA_7_2"/>
      <w:bookmarkStart w:id="864" w:name="Tc_jtgpRvMky0ywBYR3vVz9dQ_7_0"/>
      <w:bookmarkStart w:id="865" w:name="Tc_Et_O-nRz-Uq5Qw9X3_cbKQ_6_18"/>
      <w:bookmarkStart w:id="866" w:name="Tc_IftvM4UqFUyDGaKWr2RuhQ_6_14"/>
      <w:bookmarkStart w:id="867" w:name="Tc__knP-u7m2E6Q11_dB2bpYQ_6_12"/>
      <w:bookmarkStart w:id="868" w:name="Tc_Ds_Hc1p5dECXauRJc0VhCg_6_8"/>
      <w:bookmarkStart w:id="869" w:name="Tc_N-YveijE-k2WuM6fvqFxLA_6_6"/>
      <w:bookmarkStart w:id="870" w:name="Tc_99DQYpxPckq-6mG3uL2iDA_6_4"/>
      <w:bookmarkStart w:id="871" w:name="Tc_JXM00Yo-SE6Zg28qjIvYDw_6_2"/>
      <w:bookmarkStart w:id="872" w:name="Tc_V4K_uJMknkSWhaX1LKnKBw_6_0"/>
      <w:bookmarkStart w:id="873" w:name="Tc_K_Yj9AR1YECu2JO1D9os0Q_5_0"/>
      <w:bookmarkStart w:id="874" w:name="Tc_qtqU0nhGSkC1L8lx1Ei7mA_4_20"/>
      <w:bookmarkStart w:id="875" w:name="Tc_OB3wcopT0Uqr7qhIZLDjTw_4_18"/>
      <w:bookmarkStart w:id="876" w:name="Tc_kT_nnG3srkeqmMks14fYRQ_4_16"/>
      <w:bookmarkStart w:id="877" w:name="Tc_ibMIdvYY3EuOkY15XZkdaA_4_14"/>
      <w:bookmarkStart w:id="878" w:name="Tc_opoBbBcKHEGv5OrpWLcdJA_4_12"/>
      <w:bookmarkStart w:id="879" w:name="Tc_dOUua5XrkkCNrY5n0dyCBw_4_10"/>
      <w:bookmarkStart w:id="880" w:name="Tc_GChOcIFONk2ylYKFc9izlw_4_8"/>
      <w:bookmarkStart w:id="881" w:name="Tc_c-FUnbSAFUyeTRkAQy8-xA_4_6"/>
      <w:bookmarkStart w:id="882" w:name="Tc_f-9koK15EUukwglUcsSJHA_4_4"/>
      <w:bookmarkStart w:id="883" w:name="Tc_d-iMPWpVmkKJ4mALPAZlNg_4_2"/>
      <w:bookmarkStart w:id="884" w:name="Tc_6TS9rFs9mEyB9SnVBLmfJA_3_20"/>
      <w:bookmarkStart w:id="885" w:name="Tc_YbbZG_1fakqLdpFg1N7erA_3_18"/>
      <w:bookmarkStart w:id="886" w:name="Tc_5t6ECMFOlU6SH-j8UIANog_3_16"/>
      <w:bookmarkStart w:id="887" w:name="Tc_jVUuXjnKs0mQvtKibiDTpQ_3_14"/>
      <w:bookmarkStart w:id="888" w:name="Tc_KnrUQBRjakWV1BOii9vt6w_3_12"/>
      <w:bookmarkStart w:id="889" w:name="Tc_jjhkXTW8eEyKHO2EbCEwYw_3_10"/>
      <w:bookmarkStart w:id="890" w:name="Tc_X6bn10zhX0-exvp4DTifIg_3_6"/>
      <w:bookmarkStart w:id="891" w:name="Tc_lqwJpTgnTEWaWFcm6X28yw_3_2"/>
      <w:bookmarkStart w:id="892" w:name="Tc_P0rsbLF6-UacaQiDSGp9iQ_2_18"/>
      <w:bookmarkStart w:id="893" w:name="Tc_aHfcEWDEekCiJjgg3yAZMQ_2_16"/>
      <w:bookmarkStart w:id="894" w:name="Tc_sHplFzrLgUK24q0DcMfHCw_2_12"/>
      <w:bookmarkStart w:id="895" w:name="Tc_VXtucxXw40eOW_6Z7zHUkg_2_10"/>
      <w:bookmarkStart w:id="896" w:name="Tc_1lC40C87OEOA_lPCaNcftA_1_12"/>
      <w:bookmarkStart w:id="897" w:name="_a3492871_8e6a_4a30_8bd1_c879fa061abd"/>
      <w:bookmarkStart w:id="898" w:name="Tc_Jxt4yO2MbUeLNFQvVmLMNA_16_0"/>
      <w:bookmarkStart w:id="899" w:name="Tc_lHpwQ2eXjEiHDlehtlzEcw_15_12"/>
      <w:bookmarkStart w:id="900" w:name="Tc_vorSdQ_8cUGClllDYk-EAQ_15_10"/>
      <w:bookmarkStart w:id="901" w:name="Tc_-oHj5dcYZkOTehR_2h-q4A_15_8"/>
      <w:bookmarkStart w:id="902" w:name="Tc_wyw7Ls3gNEuXdYBrLery4w_15_6"/>
      <w:bookmarkStart w:id="903" w:name="Tc_FT8a4thKhkeQ7PqzMc7Dww_15_4"/>
      <w:bookmarkStart w:id="904" w:name="Tc_b03-euu4WEWFgRn0q3O8vQ_15_2"/>
      <w:bookmarkStart w:id="905" w:name="Tc_EHdRgGkuD0ekfO1WgnG9Hg_15_0"/>
      <w:bookmarkStart w:id="906" w:name="Tc_Cx_dTW0TKkiA5AfigXh0Bw_14_20"/>
      <w:bookmarkStart w:id="907" w:name="Tc_HPdjpBhAkk6JYSW87ZtcNA_14_18"/>
      <w:bookmarkStart w:id="908" w:name="Tc_nFhFlb8n9ECAj-nRFaYkKA_14_16"/>
      <w:bookmarkStart w:id="909" w:name="Tc_bWD017xsg0Kv9Uj5JSL-lA_14_14"/>
      <w:bookmarkStart w:id="910" w:name="Tc_2MPAHE2WMECgr6TYFAEV5Q_14_12"/>
      <w:bookmarkStart w:id="911" w:name="Tc_3p8A_s6kJEuGstNz8pljcA_14_4"/>
      <w:bookmarkStart w:id="912" w:name="Tc_ZzhqifWPpUKm8M0bI2ZHBA_14_2"/>
      <w:bookmarkStart w:id="913" w:name="Tc_8Q3B5ZbEG02-2wkxSx4x1A_14_0"/>
      <w:bookmarkStart w:id="914" w:name="Tc_SX7DCU7fk0iyyn8zwZGVcQ_13_16"/>
      <w:bookmarkStart w:id="915" w:name="Tc_CuVXOl8XPUCXmvyfCLWAEA_13_14"/>
      <w:bookmarkStart w:id="916" w:name="Tc_ibWi3tpsYk2AZaX45mhC4A_13_12"/>
      <w:bookmarkStart w:id="917" w:name="Tc_AW3mDElnDkqnzYxwXpL-gQ_13_10"/>
      <w:bookmarkStart w:id="918" w:name="Tc_G-2pBf9iaUikR5KmIrC4tg_13_8"/>
      <w:bookmarkStart w:id="919" w:name="Tc_J4tuWHdFeECAptjtjRWI2w_13_6"/>
      <w:bookmarkStart w:id="920" w:name="Tc_No2mDn9DZEC4GZbUo2z5JA_13_4"/>
      <w:bookmarkStart w:id="921" w:name="Tc_UmluTJV5G0mvW31ZH5Q35w_13_2"/>
      <w:bookmarkStart w:id="922" w:name="Tc_hySJrnKvOEiTuSNhqPVhiw_13_0"/>
      <w:bookmarkStart w:id="923" w:name="Tc_BHk0N4ETsEiqZgNM_wm99A_12_20"/>
      <w:bookmarkStart w:id="924" w:name="Tc_-lAuJ4JIyEyoRCUseyUcHg_12_18"/>
      <w:bookmarkStart w:id="925" w:name="Tc_bUgT_A0TYUmuA5zPpOiXvg_12_16"/>
      <w:bookmarkStart w:id="926" w:name="Tc_L1bG1zT5yEecQ04HT4N1wg_12_14"/>
      <w:bookmarkStart w:id="927" w:name="Tc_gbMOT4KNKU2sXXprEEIoUQ_12_12"/>
      <w:bookmarkStart w:id="928" w:name="Tc_eJ1NyUZaq02SAT0Rat8ojA_12_4"/>
      <w:bookmarkStart w:id="929" w:name="Tc_6VtPTlFu5U-MTrpK7IhhTg_12_2"/>
      <w:bookmarkStart w:id="930" w:name="Tc_2siEyweKQ0qqWK0HXQvDFw_12_0"/>
      <w:bookmarkStart w:id="931" w:name="Tc_5_WB2cKlqUGED06fU1uKQg_11_18"/>
      <w:bookmarkStart w:id="932" w:name="Tc_qAl8Z0_lXUq2Ng16kA4SFg_11_14"/>
      <w:bookmarkStart w:id="933" w:name="Tc_Vimzu7bYIkScrVVwkM5aHg_11_10"/>
      <w:bookmarkStart w:id="934" w:name="Tc_aO7QysIh_UWDUDBQDs8eXw_11_8"/>
      <w:bookmarkStart w:id="935" w:name="Tc_vjsuzIkv9k-nkJw3aoIGEg_11_6"/>
      <w:bookmarkStart w:id="936" w:name="Tc_JP5YXE4kaUC9AALL-kb34A_11_4"/>
      <w:bookmarkStart w:id="937" w:name="Tc_PsydclYIpESOzWEHMWrZvw_11_2"/>
      <w:bookmarkStart w:id="938" w:name="Tc_hM62hIleRUmrkB9Z1utgNg_11_0"/>
      <w:bookmarkStart w:id="939" w:name="Tc_bRbhEzy05UqROIs89U8Xkg_10_18"/>
      <w:bookmarkStart w:id="940" w:name="Tc_H8_r7g6u5k65lKY5DC4XZg_10_14"/>
      <w:bookmarkStart w:id="941" w:name="Tc_RMV976OuTU-cSPp08sFvFg_10_12"/>
      <w:bookmarkStart w:id="942" w:name="Tc_Ev0tnxemqUOCzRudEMenpA_10_8"/>
      <w:bookmarkStart w:id="943" w:name="Tc_TCnTPEmnqEOyKngtmfBswg_10_6"/>
      <w:bookmarkStart w:id="944" w:name="Tc_uIke-wJMVE-HAlVOOSHsjQ_10_4"/>
      <w:bookmarkStart w:id="945" w:name="Tc_L0Ej1EuYNEKpNpGHzYWHKQ_10_2"/>
      <w:bookmarkStart w:id="946" w:name="Tc_5yGpXAav90a1-oX1gWHfYg_10_0"/>
      <w:bookmarkStart w:id="947" w:name="Tc_OfbIELAOTEeqEzWwvBDj9w_9_18"/>
      <w:bookmarkStart w:id="948" w:name="Tc_CC7OKeOLC0e8-GWORf2Pug_9_14"/>
      <w:bookmarkStart w:id="949" w:name="Tc_Iz3TEzaczEKOqA5Yh2uWTg_9_12"/>
      <w:bookmarkStart w:id="950" w:name="Tc_J-fL56mul0O33s-yYKZyww_9_8"/>
      <w:bookmarkStart w:id="951" w:name="Tc_6ORO3gHeTEW7o4qGsJFSAA_9_6"/>
      <w:bookmarkStart w:id="952" w:name="Tc_f_l0UDc6HkC7dBoopHAehA_9_0"/>
      <w:bookmarkStart w:id="953" w:name="Tc_En5PmYcF0E-ljTdxQe3mpA_8_18"/>
      <w:bookmarkStart w:id="954" w:name="Tc_mU8n5uXxbUK89lhSi7GBow_8_14"/>
      <w:bookmarkStart w:id="955" w:name="Tc_X0TYeFrJoEKyIpT13Subig_8_12"/>
      <w:bookmarkStart w:id="956" w:name="Tc_pZWdzOi5gEWktcIS6Ta-0g_8_8"/>
      <w:bookmarkStart w:id="957" w:name="Tc_2emXoLbOXEKaacKH1oDIvQ_8_6"/>
      <w:bookmarkStart w:id="958" w:name="Tc_Y1rfYECRD0GxTrRxqjKTtQ_8_0"/>
      <w:bookmarkStart w:id="959" w:name="Tc_S9aVlmiCIkyJ6FjsMFdb5g_7_18"/>
      <w:bookmarkStart w:id="960" w:name="Tc_l1CA2LcMZ0KgLOYt2Qbbag_7_14"/>
      <w:bookmarkStart w:id="961" w:name="Tc_2GxK_zVp9UuRLSr3RitGbA_7_12"/>
      <w:bookmarkStart w:id="962" w:name="Tc_FAS5gbcTLE2eoW01toZlJw_7_4"/>
      <w:bookmarkStart w:id="963" w:name="Tc_kxBZ_8oOs0iqiPdVNkqGiA_7_2"/>
      <w:bookmarkStart w:id="964" w:name="Tc_jtgpRvMky0ywBYR3vVz9dQ_7_0"/>
      <w:bookmarkStart w:id="965" w:name="Tc_Et_O-nRz-Uq5Qw9X3_cbKQ_6_18"/>
      <w:bookmarkStart w:id="966" w:name="Tc_IftvM4UqFUyDGaKWr2RuhQ_6_14"/>
      <w:bookmarkStart w:id="967" w:name="Tc__knP-u7m2E6Q11_dB2bpYQ_6_12"/>
      <w:bookmarkStart w:id="968" w:name="Tc_Ds_Hc1p5dECXauRJc0VhCg_6_8"/>
      <w:bookmarkStart w:id="969" w:name="Tc_N-YveijE-k2WuM6fvqFxLA_6_6"/>
      <w:bookmarkStart w:id="970" w:name="Tc_99DQYpxPckq-6mG3uL2iDA_6_4"/>
      <w:bookmarkStart w:id="971" w:name="Tc_JXM00Yo-SE6Zg28qjIvYDw_6_2"/>
      <w:bookmarkStart w:id="972" w:name="Tc_V4K_uJMknkSWhaX1LKnKBw_6_0"/>
      <w:bookmarkStart w:id="973" w:name="Tc_K_Yj9AR1YECu2JO1D9os0Q_5_0"/>
      <w:bookmarkStart w:id="974" w:name="Tc_qtqU0nhGSkC1L8lx1Ei7mA_4_20"/>
      <w:bookmarkStart w:id="975" w:name="Tc_OB3wcopT0Uqr7qhIZLDjTw_4_18"/>
      <w:bookmarkStart w:id="976" w:name="Tc_kT_nnG3srkeqmMks14fYRQ_4_16"/>
      <w:bookmarkStart w:id="977" w:name="Tc_ibMIdvYY3EuOkY15XZkdaA_4_14"/>
      <w:bookmarkStart w:id="978" w:name="Tc_opoBbBcKHEGv5OrpWLcdJA_4_12"/>
      <w:bookmarkStart w:id="979" w:name="Tc_dOUua5XrkkCNrY5n0dyCBw_4_10"/>
      <w:bookmarkStart w:id="980" w:name="Tc_GChOcIFONk2ylYKFc9izlw_4_8"/>
      <w:bookmarkStart w:id="981" w:name="Tc_c-FUnbSAFUyeTRkAQy8-xA_4_6"/>
      <w:bookmarkStart w:id="982" w:name="Tc_f-9koK15EUukwglUcsSJHA_4_4"/>
      <w:bookmarkStart w:id="983" w:name="Tc_d-iMPWpVmkKJ4mALPAZlNg_4_2"/>
      <w:bookmarkStart w:id="984" w:name="Tc_6TS9rFs9mEyB9SnVBLmfJA_3_20"/>
      <w:bookmarkStart w:id="985" w:name="Tc_YbbZG_1fakqLdpFg1N7erA_3_18"/>
      <w:bookmarkStart w:id="986" w:name="Tc_5t6ECMFOlU6SH-j8UIANog_3_16"/>
      <w:bookmarkStart w:id="987" w:name="Tc_jVUuXjnKs0mQvtKibiDTpQ_3_14"/>
      <w:bookmarkStart w:id="988" w:name="Tc_KnrUQBRjakWV1BOii9vt6w_3_12"/>
      <w:bookmarkStart w:id="989" w:name="Tc_jjhkXTW8eEyKHO2EbCEwYw_3_10"/>
      <w:bookmarkStart w:id="990" w:name="Tc_X6bn10zhX0-exvp4DTifIg_3_6"/>
      <w:bookmarkStart w:id="991" w:name="Tc_lqwJpTgnTEWaWFcm6X28yw_3_2"/>
      <w:bookmarkStart w:id="992" w:name="Tc_P0rsbLF6-UacaQiDSGp9iQ_2_18"/>
      <w:bookmarkStart w:id="993" w:name="Tc_aHfcEWDEekCiJjgg3yAZMQ_2_16"/>
      <w:bookmarkStart w:id="994" w:name="Tc_sHplFzrLgUK24q0DcMfHCw_2_12"/>
      <w:bookmarkStart w:id="995" w:name="Tc_VXtucxXw40eOW_6Z7zHUkg_2_10"/>
      <w:bookmarkStart w:id="996" w:name="Tc_1lC40C87OEOA_lPCaNcftA_1_12"/>
      <w:bookmarkStart w:id="997" w:name="_a3492871_8e6a_4a30_8bd1_c879fa061abd"/>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p>
    <w:tbl>
      <w:tblPr>
        <w:tblW w:w="14596" w:type="dxa"/>
        <w:jc w:val="left"/>
        <w:tblInd w:w="0" w:type="dxa"/>
        <w:tblLayout w:type="fixed"/>
        <w:tblCellMar>
          <w:top w:w="0" w:type="dxa"/>
          <w:left w:w="0" w:type="dxa"/>
          <w:bottom w:w="0" w:type="dxa"/>
          <w:right w:w="0" w:type="dxa"/>
        </w:tblCellMar>
      </w:tblPr>
      <w:tblGrid>
        <w:gridCol w:w="1216"/>
        <w:gridCol w:w="326"/>
        <w:gridCol w:w="1141"/>
        <w:gridCol w:w="326"/>
        <w:gridCol w:w="811"/>
        <w:gridCol w:w="326"/>
        <w:gridCol w:w="976"/>
        <w:gridCol w:w="326"/>
        <w:gridCol w:w="886"/>
        <w:gridCol w:w="326"/>
        <w:gridCol w:w="1006"/>
        <w:gridCol w:w="326"/>
        <w:gridCol w:w="1216"/>
        <w:gridCol w:w="326"/>
        <w:gridCol w:w="1066"/>
        <w:gridCol w:w="326"/>
        <w:gridCol w:w="1051"/>
        <w:gridCol w:w="326"/>
        <w:gridCol w:w="946"/>
        <w:gridCol w:w="326"/>
        <w:gridCol w:w="1021"/>
      </w:tblGrid>
      <w:tr>
        <w:trPr/>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772160" cy="175260"/>
                      <wp:effectExtent l="0" t="0" r="0" b="0"/>
                      <wp:wrapNone/>
                      <wp:docPr id="188" name="Frame185"/>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89"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724535" cy="175260"/>
                      <wp:effectExtent l="0" t="0" r="0" b="0"/>
                      <wp:wrapNone/>
                      <wp:docPr id="190" name="Frame18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1"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14985" cy="175260"/>
                      <wp:effectExtent l="0" t="0" r="0" b="0"/>
                      <wp:wrapNone/>
                      <wp:docPr id="192" name="Frame18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193"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19760" cy="175260"/>
                      <wp:effectExtent l="0" t="0" r="0" b="0"/>
                      <wp:wrapNone/>
                      <wp:docPr id="194" name="Frame19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195"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62610" cy="175260"/>
                      <wp:effectExtent l="0" t="0" r="0" b="0"/>
                      <wp:wrapNone/>
                      <wp:docPr id="196" name="Frame19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197"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38810" cy="175260"/>
                      <wp:effectExtent l="0" t="0" r="0" b="0"/>
                      <wp:wrapNone/>
                      <wp:docPr id="198" name="Frame19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199"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772160" cy="175260"/>
                      <wp:effectExtent l="0" t="0" r="0" b="0"/>
                      <wp:wrapNone/>
                      <wp:docPr id="200" name="Frame197"/>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1"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76910" cy="175260"/>
                      <wp:effectExtent l="0" t="0" r="0" b="0"/>
                      <wp:wrapNone/>
                      <wp:docPr id="202" name="Frame199"/>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03"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67385" cy="175260"/>
                      <wp:effectExtent l="0" t="0" r="0" b="0"/>
                      <wp:wrapNone/>
                      <wp:docPr id="204" name="Frame20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05"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00710" cy="175260"/>
                      <wp:effectExtent l="0" t="0" r="0" b="0"/>
                      <wp:wrapNone/>
                      <wp:docPr id="206" name="Frame20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07"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335" cy="175260"/>
                      <wp:effectExtent l="0" t="0" r="0" b="0"/>
                      <wp:wrapNone/>
                      <wp:docPr id="208" name="Frame205"/>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tc>
      </w:tr>
      <w:tr>
        <w:trPr/>
        <w:tc>
          <w:tcPr>
            <w:tcW w:w="1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tc>
      </w:tr>
      <w:tr>
        <w:trPr/>
        <w:tc>
          <w:tcPr>
            <w:tcW w:w="1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7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26" w:type="dxa"/>
            <w:tcBorders/>
            <w:vAlign w:val="center"/>
          </w:tcPr>
          <w:p>
            <w:pPr>
              <w:pStyle w:val="TableContents"/>
              <w:bidi w:val="0"/>
              <w:spacing w:before="0" w:after="0"/>
              <w:ind w:left="0" w:right="0" w:hanging="0"/>
              <w:jc w:val="left"/>
              <w:rPr/>
            </w:pPr>
            <w:r>
              <w:rPr/>
              <w:t>​</w:t>
            </w:r>
          </w:p>
        </w:tc>
        <w:tc>
          <w:tcPr>
            <w:tcW w:w="218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r>
      <w:tr>
        <w:trPr/>
        <w:tc>
          <w:tcPr>
            <w:tcW w:w="1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2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2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2,073,522,118</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3,622</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(18,061,024)</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(1,849,600)</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117,717,254</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432,991</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(90,758,034)</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25,546,233</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189,399</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25,735,632</w:t>
            </w:r>
          </w:p>
        </w:tc>
      </w:tr>
      <w:tr>
        <w:trPr/>
        <w:tc>
          <w:tcPr>
            <w:tcW w:w="12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on redeemable non-controlling interests to redemption value</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(347,516)</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(347,516)</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(347,516)</w:t>
            </w:r>
          </w:p>
        </w:tc>
      </w:tr>
      <w:tr>
        <w:trPr/>
        <w:tc>
          <w:tcPr>
            <w:tcW w:w="12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Exchange of convertible senior notes to ordinary shares with cancellation of the same amount of treasury shares (Note 12 (iii))</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27,690,071</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2,214,029</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(1,311,200)</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902,829</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902,829</w:t>
            </w:r>
          </w:p>
        </w:tc>
      </w:tr>
      <w:tr>
        <w:trPr/>
        <w:tc>
          <w:tcPr>
            <w:tcW w:w="12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share options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7,102,713</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97,460</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97,473</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97,473</w:t>
            </w:r>
          </w:p>
        </w:tc>
      </w:tr>
      <w:tr>
        <w:trPr/>
        <w:tc>
          <w:tcPr>
            <w:tcW w:w="12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 based compensation of the restricted shares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14,353,997</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1,918,768</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1,918,793</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1,918,793</w:t>
            </w:r>
          </w:p>
        </w:tc>
      </w:tr>
      <w:tr>
        <w:trPr/>
        <w:tc>
          <w:tcPr>
            <w:tcW w:w="12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 based compensation of the share options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9,719</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9,719</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9,719</w:t>
            </w:r>
          </w:p>
        </w:tc>
      </w:tr>
      <w:tr>
        <w:trPr/>
        <w:tc>
          <w:tcPr>
            <w:tcW w:w="12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149,668</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149,668</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149,668</w:t>
            </w:r>
          </w:p>
        </w:tc>
      </w:tr>
      <w:tr>
        <w:trPr/>
        <w:tc>
          <w:tcPr>
            <w:tcW w:w="12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Settlement of capped call options and zero strike call options (Note 12 (iii))</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(13,404,825)</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(709,490)</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709,490</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r>
      <w:tr>
        <w:trPr/>
        <w:tc>
          <w:tcPr>
            <w:tcW w:w="12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withdrawal by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(343)</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(343)</w:t>
            </w:r>
          </w:p>
        </w:tc>
      </w:tr>
      <w:tr>
        <w:trPr/>
        <w:tc>
          <w:tcPr>
            <w:tcW w:w="121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 lending arrangement (Note 21)</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302,845</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105,733</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(105,733)</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pPr>
            <w:r>
              <w:rPr/>
              <w:t>—</w:t>
            </w:r>
          </w:p>
        </w:tc>
      </w:tr>
      <w:tr>
        <w:trPr/>
        <w:tc>
          <w:tcPr>
            <w:tcW w:w="12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(22,310,176)</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(22,310,176)</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(91,533)</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(22,401,709)</w:t>
            </w:r>
          </w:p>
        </w:tc>
      </w:tr>
      <w:tr>
        <w:trPr/>
        <w:tc>
          <w:tcPr>
            <w:tcW w:w="121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December 31, 2024</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2,094,978,828</w:t>
            </w:r>
          </w:p>
        </w:tc>
        <w:tc>
          <w:tcPr>
            <w:tcW w:w="326" w:type="dxa"/>
            <w:tcBorders/>
            <w:vAlign w:val="center"/>
          </w:tcPr>
          <w:p>
            <w:pPr>
              <w:pStyle w:val="TableContents"/>
              <w:bidi w:val="0"/>
              <w:spacing w:before="0" w:after="0"/>
              <w:ind w:left="0" w:right="0" w:hanging="0"/>
              <w:jc w:val="left"/>
              <w:rPr/>
            </w:pPr>
            <w:r>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3,660</w:t>
            </w:r>
          </w:p>
        </w:tc>
        <w:tc>
          <w:tcPr>
            <w:tcW w:w="326" w:type="dxa"/>
            <w:tcBorders/>
            <w:vAlign w:val="center"/>
          </w:tcPr>
          <w:p>
            <w:pPr>
              <w:pStyle w:val="TableContents"/>
              <w:bidi w:val="0"/>
              <w:spacing w:before="0" w:after="0"/>
              <w:ind w:left="0" w:right="0" w:hanging="0"/>
              <w:jc w:val="left"/>
              <w:rPr/>
            </w:pPr>
            <w:r>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(3,472,933)</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(239,328)</w:t>
            </w:r>
          </w:p>
        </w:tc>
        <w:tc>
          <w:tcPr>
            <w:tcW w:w="326" w:type="dxa"/>
            <w:tcBorders/>
            <w:vAlign w:val="center"/>
          </w:tcPr>
          <w:p>
            <w:pPr>
              <w:pStyle w:val="TableContents"/>
              <w:bidi w:val="0"/>
              <w:spacing w:before="0" w:after="0"/>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118,688,242</w:t>
            </w:r>
          </w:p>
        </w:tc>
        <w:tc>
          <w:tcPr>
            <w:tcW w:w="326" w:type="dxa"/>
            <w:tcBorders/>
            <w:vAlign w:val="center"/>
          </w:tcPr>
          <w:p>
            <w:pPr>
              <w:pStyle w:val="TableContents"/>
              <w:bidi w:val="0"/>
              <w:spacing w:before="0" w:after="0"/>
              <w:ind w:left="0" w:right="0" w:hanging="0"/>
              <w:jc w:val="left"/>
              <w:rPr/>
            </w:pPr>
            <w:r>
              <w:rPr/>
              <w:t>​</w:t>
            </w:r>
          </w:p>
        </w:tc>
        <w:tc>
          <w:tcPr>
            <w:tcW w:w="12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582,659</w:t>
            </w:r>
          </w:p>
        </w:tc>
        <w:tc>
          <w:tcPr>
            <w:tcW w:w="326" w:type="dxa"/>
            <w:tcBorders/>
            <w:vAlign w:val="center"/>
          </w:tcPr>
          <w:p>
            <w:pPr>
              <w:pStyle w:val="TableContents"/>
              <w:bidi w:val="0"/>
              <w:spacing w:before="0" w:after="0"/>
              <w:ind w:left="0" w:right="0" w:hanging="0"/>
              <w:jc w:val="left"/>
              <w:rPr/>
            </w:pPr>
            <w:r>
              <w:rPr/>
              <w:t>​</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(113,068,210)</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5,967,023</w:t>
            </w:r>
          </w:p>
        </w:tc>
        <w:tc>
          <w:tcPr>
            <w:tcW w:w="326" w:type="dxa"/>
            <w:tcBorders/>
            <w:vAlign w:val="center"/>
          </w:tcPr>
          <w:p>
            <w:pPr>
              <w:pStyle w:val="TableContents"/>
              <w:bidi w:val="0"/>
              <w:spacing w:before="0" w:after="0"/>
              <w:ind w:left="0" w:right="0" w:hanging="0"/>
              <w:jc w:val="left"/>
              <w:rPr/>
            </w:pPr>
            <w:r>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97,523</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6,064,546</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br/>
        <w:t>​</w:t>
      </w:r>
    </w:p>
    <w:p>
      <w:pPr>
        <w:pStyle w:val="TextBody"/>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8"/>
        </w:rPr>
      </w:pPr>
      <w:bookmarkStart w:id="998" w:name="_d2a80ade_2e59_4ef9_920f_3ca40ae90123"/>
      <w:bookmarkEnd w:id="998"/>
      <w:r>
        <w:rPr>
          <w:rFonts w:ascii="Times New Roman;Times;serif" w:hAnsi="Times New Roman;Times;serif"/>
          <w:b/>
          <w:sz w:val="18"/>
        </w:rPr>
        <w:t>NIO INC.</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bookmarkStart w:id="999" w:name="CONSOLIDATEDSTATEMENTSOFCASHFLOWS_373185"/>
      <w:bookmarkEnd w:id="999"/>
      <w:r>
        <w:rPr>
          <w:rFonts w:ascii="Times New Roman;Times;serif" w:hAnsi="Times New Roman;Times;serif"/>
          <w:b/>
          <w:sz w:val="18"/>
        </w:rPr>
        <w:t>CONSOLIDATED STATEMENTS OF CASH FLOWS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(All amounts in thousands, except for share and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000" w:name="Tc_FcJci0EuYkGdy8H8Xg_ZiA_72_0"/>
      <w:bookmarkStart w:id="1001" w:name="Tc__JnTgD1xK0q7BzBrVP1mbg_71_0"/>
      <w:bookmarkStart w:id="1002" w:name="Tc_XxqjjFFloUqyFr6SIXRD0w_70_0"/>
      <w:bookmarkStart w:id="1003" w:name="Tc_9G-GTDNhPkm7OWB_gE4kig_69_4"/>
      <w:bookmarkStart w:id="1004" w:name="Tc_P9cX5Rpc9Eu2YAutHYQDgg_69_2"/>
      <w:bookmarkStart w:id="1005" w:name="Tc_owZomE3z9EGCRBzgAk5CZA_69_0"/>
      <w:bookmarkStart w:id="1006" w:name="Tc_v3QmTi3-0U-DQ8TtwsuMiQ_68_0"/>
      <w:bookmarkStart w:id="1007" w:name="Tc_pPG1Qj4E30Kl-APx1YxQ3Q_67_4"/>
      <w:bookmarkStart w:id="1008" w:name="Tc_UR1eukg6-0qYRf6RFjdncg_67_2"/>
      <w:bookmarkStart w:id="1009" w:name="Tc_FbzL_GaBckepOni5wr8New_67_0"/>
      <w:bookmarkStart w:id="1010" w:name="Tc_uruSPEoKc0WBXXmgmKZeKQ_66_8"/>
      <w:bookmarkStart w:id="1011" w:name="Tc_--WIPFRPHUm9eJqodggFnQ_66_6"/>
      <w:bookmarkStart w:id="1012" w:name="Tc_N67cL5-KpEmf4-6HT0qbbQ_66_4"/>
      <w:bookmarkStart w:id="1013" w:name="Tc_2IF4Bg_6L0Go62ti4jdT_w_66_0"/>
      <w:bookmarkStart w:id="1014" w:name="Tc_3xwD8pGX50SkXadYipoPSw_65_0"/>
      <w:bookmarkStart w:id="1015" w:name="Tc_nBHxU71XtUWQT2KMVpxSTg_64_0"/>
      <w:bookmarkStart w:id="1016" w:name="Tc_T5qkaOZ-rkyFBxSscSdkaQ_63_0"/>
      <w:bookmarkStart w:id="1017" w:name="Tc_-8EzUoU8dUS4cWZgt6rtzg_62_0"/>
      <w:bookmarkStart w:id="1018" w:name="Tc_i7IJpJqF1USfxuD2yJTBUA_61_0"/>
      <w:bookmarkStart w:id="1019" w:name="Tc_IyM2zdclykCvv8HJrWGCWA_60_0"/>
      <w:bookmarkStart w:id="1020" w:name="Tc_8ftTISQnPUWuGy_dKCEUsg_59_0"/>
      <w:bookmarkStart w:id="1021" w:name="Tc_C4PYN--OrkW-iNwb5PcZJQ_58_8"/>
      <w:bookmarkStart w:id="1022" w:name="Tc__Ujo218GvESkKc5sf4g8Nw_58_6"/>
      <w:bookmarkStart w:id="1023" w:name="Tc_MfvS2WxfB0uF0gvdUwSVFg_58_2"/>
      <w:bookmarkStart w:id="1024" w:name="Tc_g3x6i2O3gkmlhkhmuMjLFQ_58_0"/>
      <w:bookmarkStart w:id="1025" w:name="Tc_VYT0Uai3KUKNmj1fzgvHNw_57_0"/>
      <w:bookmarkStart w:id="1026" w:name="Tc_WLh0g31WG0ePM1LNHxwA_g_56_0"/>
      <w:bookmarkStart w:id="1027" w:name="Tc_bPN06zjNdk-Pv2tdVd7fBA_55_0"/>
      <w:bookmarkStart w:id="1028" w:name="Tc_fNlva3ytqUGxx-HvT245qw_54_0"/>
      <w:bookmarkStart w:id="1029" w:name="Tc_LSfY76vt2EaVWZeIt-CfCA_53_8"/>
      <w:bookmarkStart w:id="1030" w:name="Tc_2UunB1qJlUOKFDvl_AWUEw_53_6"/>
      <w:bookmarkStart w:id="1031" w:name="Tc_4F3E6t-hP0ScqGR5ugWNCQ_53_2"/>
      <w:bookmarkStart w:id="1032" w:name="Tc_ns2xzV0BqkWokV11mYz_-A_53_0"/>
      <w:bookmarkStart w:id="1033" w:name="Tc_Q3-JOXbD9kKXsTdZYkyYIw_52_4"/>
      <w:bookmarkStart w:id="1034" w:name="Tc_ZT9Ovtjog0SIscVOOugWuw_52_2"/>
      <w:bookmarkStart w:id="1035" w:name="Tc_6Sv1wb7LjkCTbMTI9jyK6A_52_0"/>
      <w:bookmarkStart w:id="1036" w:name="Tc_9aUd5oGTdUOVJMVRgi6F9w_51_8"/>
      <w:bookmarkStart w:id="1037" w:name="Tc_62las9_0mUWFQwNwnXMHTg_51_6"/>
      <w:bookmarkStart w:id="1038" w:name="Tc_3QhWkdl4bUCVKakmzjndqA_51_4"/>
      <w:bookmarkStart w:id="1039" w:name="Tc_dMvYx9qAWUS1C5tbQXvSuw_51_0"/>
      <w:bookmarkStart w:id="1040" w:name="Tc_cojEEvxQeEar1qiqJBwVOQ_50_0"/>
      <w:bookmarkStart w:id="1041" w:name="Tc_NQT2kibdiE6TC8pEvJMOEQ_49_0"/>
      <w:bookmarkStart w:id="1042" w:name="Tc_RHyoQEX4kEyeXdECnSgj5g_48_0"/>
      <w:bookmarkStart w:id="1043" w:name="Tc_0tTU7UHwyU-9044vykUlYg_47_0"/>
      <w:bookmarkStart w:id="1044" w:name="Tc_W0uyXldtC0yIbD7Sy7aBCg_46_2"/>
      <w:bookmarkStart w:id="1045" w:name="Tc_ruCRVfmAH0-enFeOJN6gAw_46_0"/>
      <w:bookmarkStart w:id="1046" w:name="Tc_9F0qi3ZqNkS4GAGaHr07vg_45_2"/>
      <w:bookmarkStart w:id="1047" w:name="Tc_txya018yHUWP5rgxd80zaw_45_0"/>
      <w:bookmarkStart w:id="1048" w:name="Tc_FaiZh_LPLEGC3T30SW0BgQ_44_0"/>
      <w:bookmarkStart w:id="1049" w:name="Tc_bwyUvT0kLkaoLGIePinTRw_43_8"/>
      <w:bookmarkStart w:id="1050" w:name="Tc_NvUjAf4UD0aPFz5Fkionxw_43_6"/>
      <w:bookmarkStart w:id="1051" w:name="Tc_GQLA3AkE2U-Vp2s_VidhWg_43_2"/>
      <w:bookmarkStart w:id="1052" w:name="Tc_B7nxPhLw00WML6gmIipPKw_43_0"/>
      <w:bookmarkStart w:id="1053" w:name="Tc_K2-VClr2i0SPafgY5wA77g_42_8"/>
      <w:bookmarkStart w:id="1054" w:name="Tc_MHclrhQymkWLljdzVLF0aw_42_6"/>
      <w:bookmarkStart w:id="1055" w:name="Tc_eCGcaUUEg0KVpotC7koAuw_42_4"/>
      <w:bookmarkStart w:id="1056" w:name="Tc_i-vmo9izOEez8J4Gv--wcQ_42_0"/>
      <w:bookmarkStart w:id="1057" w:name="Tc_lWXu0OXuvUePRkVOfyop1Q_41_0"/>
      <w:bookmarkStart w:id="1058" w:name="Tc_pZ_sbpURMEe9jaGr-b3AhQ_40_8"/>
      <w:bookmarkStart w:id="1059" w:name="Tc__Vp0lhEZsky36yb6s7-BSw_40_6"/>
      <w:bookmarkStart w:id="1060" w:name="Tc_Mzxb2EAY1Ean4GlbZqJ6Ng_40_4"/>
      <w:bookmarkStart w:id="1061" w:name="Tc_AOVWd40EU0yvbLGjgifUPw_40_0"/>
      <w:bookmarkStart w:id="1062" w:name="Tc_jOAAT2AqLUyeN5P4P1lGKg_39_4"/>
      <w:bookmarkStart w:id="1063" w:name="Tc_9JTNGlz7hk-FyIe70ZXC5g_39_0"/>
      <w:bookmarkStart w:id="1064" w:name="Tc_DuobAtriUkGNrBpWVUyUfA_38_0"/>
      <w:bookmarkStart w:id="1065" w:name="Tc_-A6K_n8y10Shz0Y-LSPs9Q_37_0"/>
      <w:bookmarkStart w:id="1066" w:name="Tc_e7ISkStpn0e1VqOnqBlQQg_36_0"/>
      <w:bookmarkStart w:id="1067" w:name="Tc_4ngzH41VG06-hb0wvYMufQ_35_0"/>
      <w:bookmarkStart w:id="1068" w:name="Tc_oq-ZUdzwF0yVK5LCC057Pg_34_0"/>
      <w:bookmarkStart w:id="1069" w:name="Tc_AZPdPQzxzkqZa8Lm6gNd5w_33_0"/>
      <w:bookmarkStart w:id="1070" w:name="Tc_j9zv7bfzhkCCfWk_yts5LQ_32_0"/>
      <w:bookmarkStart w:id="1071" w:name="Tc_zu6dy7tSPkCSl5ofs9JU7w_31_4"/>
      <w:bookmarkStart w:id="1072" w:name="Tc_FH9O9x8NnUW1vWzi35vWAA_31_2"/>
      <w:bookmarkStart w:id="1073" w:name="Tc_ogrP_Tdu0E-LdvpkVYfzsw_31_0"/>
      <w:bookmarkStart w:id="1074" w:name="Tc_83S5MUEiKkW_XZh53awDUw_30_0"/>
      <w:bookmarkStart w:id="1075" w:name="Tc_CHqpEzkRf0O80FryiDgSww_29_0"/>
      <w:bookmarkStart w:id="1076" w:name="Tc_IGPSlSORU0ua0u5rYvWUgA_28_0"/>
      <w:bookmarkStart w:id="1077" w:name="Tc_4iQYwMsGT0ezx03R285tUw_27_0"/>
      <w:bookmarkStart w:id="1078" w:name="Tc_mQM8Xhpom0umWqHyrA9dKA_26_0"/>
      <w:bookmarkStart w:id="1079" w:name="Tc_YBhdvEfZZUeTIzeuOkXRaw_25_0"/>
      <w:bookmarkStart w:id="1080" w:name="Tc_nzn-BhGL00CJw7JtcC8cYg_24_0"/>
      <w:bookmarkStart w:id="1081" w:name="Tc_31bEzOkswk2OhvhG0dvAbw_23_0"/>
      <w:bookmarkStart w:id="1082" w:name="Tc_KOOpd5k0j0eI9mA-uun7IA_22_0"/>
      <w:bookmarkStart w:id="1083" w:name="Tc_X-TGkA0QAkWUkyAEdunZCw_21_0"/>
      <w:bookmarkStart w:id="1084" w:name="Tc_4jqqrPTPt0K5keAKq4TJzg_20_0"/>
      <w:bookmarkStart w:id="1085" w:name="Tc_S9s2TNwMK02bxcyqlZBTCA_19_0"/>
      <w:bookmarkStart w:id="1086" w:name="Tc_UG-qA8_RuEmWgk5vW4YpFg_18_0"/>
      <w:bookmarkStart w:id="1087" w:name="Tc_S9dYYPailEeorxcw1wZ5JQ_17_0"/>
      <w:bookmarkStart w:id="1088" w:name="Tc_peI4a_9qX0eFLfhlJduysw_16_0"/>
      <w:bookmarkStart w:id="1089" w:name="Tc_DQApswsWxEGBGNKC-zOAXA_15_0"/>
      <w:bookmarkStart w:id="1090" w:name="Tc_nnd7IYTgmECOLS_krnYAJg_14_0"/>
      <w:bookmarkStart w:id="1091" w:name="Tc_NpfEReHwgkWd5jg-L5i2Yg_13_0"/>
      <w:bookmarkStart w:id="1092" w:name="Tc_iyw81720t0iE98j0FHexKA_12_0"/>
      <w:bookmarkStart w:id="1093" w:name="Tc_CJcAh2QQmkC3fr_dRRdQpg_11_4"/>
      <w:bookmarkStart w:id="1094" w:name="Tc_PWtmPvuU5kqC8TGFFhavEQ_11_0"/>
      <w:bookmarkStart w:id="1095" w:name="Tc_kBiDCZvARkeA93b7RxJLzQ_10_0"/>
      <w:bookmarkStart w:id="1096" w:name="Tc_e_4t9hPsKUyVGDs2RAI9Xg_9_0"/>
      <w:bookmarkStart w:id="1097" w:name="Tc_Dj5lo67z_kOjMQvDD2yRrw_8_0"/>
      <w:bookmarkStart w:id="1098" w:name="Tc_u-9Rz9H6ikad8gZMvFv6Ig_7_0"/>
      <w:bookmarkStart w:id="1099" w:name="Tc_S6h-NMRLfU-D-doXLp5xZw_6_0"/>
      <w:bookmarkStart w:id="1100" w:name="Tc_FIAtsHTwfkSDsQZ-dEmXSw_5_0"/>
      <w:bookmarkStart w:id="1101" w:name="Tc_pOThH0ZOykmbYUauhDdtOA_4_8"/>
      <w:bookmarkStart w:id="1102" w:name="Tc_5iH2LiqkZUexcWSbbRCKIQ_3_8"/>
      <w:bookmarkStart w:id="1103" w:name="Tc_Xi7cDDHFk0CUoaFUXwOZUg_3_6"/>
      <w:bookmarkStart w:id="1104" w:name="Tc_58L7AkT9_0eZshOm3IJU4A_3_4"/>
      <w:bookmarkStart w:id="1105" w:name="Tc_ygmyP6uxAEi0PuPQy_8G5Q_3_2"/>
      <w:bookmarkStart w:id="1106" w:name="Tc_caBlypCV0ku0Y1yMkNtvPQ_2_8"/>
      <w:bookmarkStart w:id="1107" w:name="Tc_XlN3i6AumE-J1t_xTULQZw_2_6"/>
      <w:bookmarkStart w:id="1108" w:name="Tc_8lXrZWCxwUyFU3QLhcBb-g_2_4"/>
      <w:bookmarkStart w:id="1109" w:name="Tc_W_Q3oTKv00OJ2x8SJEzdgQ_2_2"/>
      <w:bookmarkStart w:id="1110" w:name="Tc_UYM5QMlHOkKFRq0brkeqGQ_1_2"/>
      <w:bookmarkStart w:id="1111" w:name="_dd633763_a1be_4a61_b09b_46b0521cd0dd"/>
      <w:bookmarkStart w:id="1112" w:name="Tc_FcJci0EuYkGdy8H8Xg_ZiA_72_0"/>
      <w:bookmarkStart w:id="1113" w:name="Tc__JnTgD1xK0q7BzBrVP1mbg_71_0"/>
      <w:bookmarkStart w:id="1114" w:name="Tc_XxqjjFFloUqyFr6SIXRD0w_70_0"/>
      <w:bookmarkStart w:id="1115" w:name="Tc_9G-GTDNhPkm7OWB_gE4kig_69_4"/>
      <w:bookmarkStart w:id="1116" w:name="Tc_P9cX5Rpc9Eu2YAutHYQDgg_69_2"/>
      <w:bookmarkStart w:id="1117" w:name="Tc_owZomE3z9EGCRBzgAk5CZA_69_0"/>
      <w:bookmarkStart w:id="1118" w:name="Tc_v3QmTi3-0U-DQ8TtwsuMiQ_68_0"/>
      <w:bookmarkStart w:id="1119" w:name="Tc_pPG1Qj4E30Kl-APx1YxQ3Q_67_4"/>
      <w:bookmarkStart w:id="1120" w:name="Tc_UR1eukg6-0qYRf6RFjdncg_67_2"/>
      <w:bookmarkStart w:id="1121" w:name="Tc_FbzL_GaBckepOni5wr8New_67_0"/>
      <w:bookmarkStart w:id="1122" w:name="Tc_uruSPEoKc0WBXXmgmKZeKQ_66_8"/>
      <w:bookmarkStart w:id="1123" w:name="Tc_--WIPFRPHUm9eJqodggFnQ_66_6"/>
      <w:bookmarkStart w:id="1124" w:name="Tc_N67cL5-KpEmf4-6HT0qbbQ_66_4"/>
      <w:bookmarkStart w:id="1125" w:name="Tc_2IF4Bg_6L0Go62ti4jdT_w_66_0"/>
      <w:bookmarkStart w:id="1126" w:name="Tc_3xwD8pGX50SkXadYipoPSw_65_0"/>
      <w:bookmarkStart w:id="1127" w:name="Tc_nBHxU71XtUWQT2KMVpxSTg_64_0"/>
      <w:bookmarkStart w:id="1128" w:name="Tc_T5qkaOZ-rkyFBxSscSdkaQ_63_0"/>
      <w:bookmarkStart w:id="1129" w:name="Tc_-8EzUoU8dUS4cWZgt6rtzg_62_0"/>
      <w:bookmarkStart w:id="1130" w:name="Tc_i7IJpJqF1USfxuD2yJTBUA_61_0"/>
      <w:bookmarkStart w:id="1131" w:name="Tc_IyM2zdclykCvv8HJrWGCWA_60_0"/>
      <w:bookmarkStart w:id="1132" w:name="Tc_8ftTISQnPUWuGy_dKCEUsg_59_0"/>
      <w:bookmarkStart w:id="1133" w:name="Tc_C4PYN--OrkW-iNwb5PcZJQ_58_8"/>
      <w:bookmarkStart w:id="1134" w:name="Tc__Ujo218GvESkKc5sf4g8Nw_58_6"/>
      <w:bookmarkStart w:id="1135" w:name="Tc_MfvS2WxfB0uF0gvdUwSVFg_58_2"/>
      <w:bookmarkStart w:id="1136" w:name="Tc_g3x6i2O3gkmlhkhmuMjLFQ_58_0"/>
      <w:bookmarkStart w:id="1137" w:name="Tc_VYT0Uai3KUKNmj1fzgvHNw_57_0"/>
      <w:bookmarkStart w:id="1138" w:name="Tc_WLh0g31WG0ePM1LNHxwA_g_56_0"/>
      <w:bookmarkStart w:id="1139" w:name="Tc_bPN06zjNdk-Pv2tdVd7fBA_55_0"/>
      <w:bookmarkStart w:id="1140" w:name="Tc_fNlva3ytqUGxx-HvT245qw_54_0"/>
      <w:bookmarkStart w:id="1141" w:name="Tc_LSfY76vt2EaVWZeIt-CfCA_53_8"/>
      <w:bookmarkStart w:id="1142" w:name="Tc_2UunB1qJlUOKFDvl_AWUEw_53_6"/>
      <w:bookmarkStart w:id="1143" w:name="Tc_4F3E6t-hP0ScqGR5ugWNCQ_53_2"/>
      <w:bookmarkStart w:id="1144" w:name="Tc_ns2xzV0BqkWokV11mYz_-A_53_0"/>
      <w:bookmarkStart w:id="1145" w:name="Tc_Q3-JOXbD9kKXsTdZYkyYIw_52_4"/>
      <w:bookmarkStart w:id="1146" w:name="Tc_ZT9Ovtjog0SIscVOOugWuw_52_2"/>
      <w:bookmarkStart w:id="1147" w:name="Tc_6Sv1wb7LjkCTbMTI9jyK6A_52_0"/>
      <w:bookmarkStart w:id="1148" w:name="Tc_9aUd5oGTdUOVJMVRgi6F9w_51_8"/>
      <w:bookmarkStart w:id="1149" w:name="Tc_62las9_0mUWFQwNwnXMHTg_51_6"/>
      <w:bookmarkStart w:id="1150" w:name="Tc_3QhWkdl4bUCVKakmzjndqA_51_4"/>
      <w:bookmarkStart w:id="1151" w:name="Tc_dMvYx9qAWUS1C5tbQXvSuw_51_0"/>
      <w:bookmarkStart w:id="1152" w:name="Tc_cojEEvxQeEar1qiqJBwVOQ_50_0"/>
      <w:bookmarkStart w:id="1153" w:name="Tc_NQT2kibdiE6TC8pEvJMOEQ_49_0"/>
      <w:bookmarkStart w:id="1154" w:name="Tc_RHyoQEX4kEyeXdECnSgj5g_48_0"/>
      <w:bookmarkStart w:id="1155" w:name="Tc_0tTU7UHwyU-9044vykUlYg_47_0"/>
      <w:bookmarkStart w:id="1156" w:name="Tc_W0uyXldtC0yIbD7Sy7aBCg_46_2"/>
      <w:bookmarkStart w:id="1157" w:name="Tc_ruCRVfmAH0-enFeOJN6gAw_46_0"/>
      <w:bookmarkStart w:id="1158" w:name="Tc_9F0qi3ZqNkS4GAGaHr07vg_45_2"/>
      <w:bookmarkStart w:id="1159" w:name="Tc_txya018yHUWP5rgxd80zaw_45_0"/>
      <w:bookmarkStart w:id="1160" w:name="Tc_FaiZh_LPLEGC3T30SW0BgQ_44_0"/>
      <w:bookmarkStart w:id="1161" w:name="Tc_bwyUvT0kLkaoLGIePinTRw_43_8"/>
      <w:bookmarkStart w:id="1162" w:name="Tc_NvUjAf4UD0aPFz5Fkionxw_43_6"/>
      <w:bookmarkStart w:id="1163" w:name="Tc_GQLA3AkE2U-Vp2s_VidhWg_43_2"/>
      <w:bookmarkStart w:id="1164" w:name="Tc_B7nxPhLw00WML6gmIipPKw_43_0"/>
      <w:bookmarkStart w:id="1165" w:name="Tc_K2-VClr2i0SPafgY5wA77g_42_8"/>
      <w:bookmarkStart w:id="1166" w:name="Tc_MHclrhQymkWLljdzVLF0aw_42_6"/>
      <w:bookmarkStart w:id="1167" w:name="Tc_eCGcaUUEg0KVpotC7koAuw_42_4"/>
      <w:bookmarkStart w:id="1168" w:name="Tc_i-vmo9izOEez8J4Gv--wcQ_42_0"/>
      <w:bookmarkStart w:id="1169" w:name="Tc_lWXu0OXuvUePRkVOfyop1Q_41_0"/>
      <w:bookmarkStart w:id="1170" w:name="Tc_pZ_sbpURMEe9jaGr-b3AhQ_40_8"/>
      <w:bookmarkStart w:id="1171" w:name="Tc__Vp0lhEZsky36yb6s7-BSw_40_6"/>
      <w:bookmarkStart w:id="1172" w:name="Tc_Mzxb2EAY1Ean4GlbZqJ6Ng_40_4"/>
      <w:bookmarkStart w:id="1173" w:name="Tc_AOVWd40EU0yvbLGjgifUPw_40_0"/>
      <w:bookmarkStart w:id="1174" w:name="Tc_jOAAT2AqLUyeN5P4P1lGKg_39_4"/>
      <w:bookmarkStart w:id="1175" w:name="Tc_9JTNGlz7hk-FyIe70ZXC5g_39_0"/>
      <w:bookmarkStart w:id="1176" w:name="Tc_DuobAtriUkGNrBpWVUyUfA_38_0"/>
      <w:bookmarkStart w:id="1177" w:name="Tc_-A6K_n8y10Shz0Y-LSPs9Q_37_0"/>
      <w:bookmarkStart w:id="1178" w:name="Tc_e7ISkStpn0e1VqOnqBlQQg_36_0"/>
      <w:bookmarkStart w:id="1179" w:name="Tc_4ngzH41VG06-hb0wvYMufQ_35_0"/>
      <w:bookmarkStart w:id="1180" w:name="Tc_oq-ZUdzwF0yVK5LCC057Pg_34_0"/>
      <w:bookmarkStart w:id="1181" w:name="Tc_AZPdPQzxzkqZa8Lm6gNd5w_33_0"/>
      <w:bookmarkStart w:id="1182" w:name="Tc_j9zv7bfzhkCCfWk_yts5LQ_32_0"/>
      <w:bookmarkStart w:id="1183" w:name="Tc_zu6dy7tSPkCSl5ofs9JU7w_31_4"/>
      <w:bookmarkStart w:id="1184" w:name="Tc_FH9O9x8NnUW1vWzi35vWAA_31_2"/>
      <w:bookmarkStart w:id="1185" w:name="Tc_ogrP_Tdu0E-LdvpkVYfzsw_31_0"/>
      <w:bookmarkStart w:id="1186" w:name="Tc_83S5MUEiKkW_XZh53awDUw_30_0"/>
      <w:bookmarkStart w:id="1187" w:name="Tc_CHqpEzkRf0O80FryiDgSww_29_0"/>
      <w:bookmarkStart w:id="1188" w:name="Tc_IGPSlSORU0ua0u5rYvWUgA_28_0"/>
      <w:bookmarkStart w:id="1189" w:name="Tc_4iQYwMsGT0ezx03R285tUw_27_0"/>
      <w:bookmarkStart w:id="1190" w:name="Tc_mQM8Xhpom0umWqHyrA9dKA_26_0"/>
      <w:bookmarkStart w:id="1191" w:name="Tc_YBhdvEfZZUeTIzeuOkXRaw_25_0"/>
      <w:bookmarkStart w:id="1192" w:name="Tc_nzn-BhGL00CJw7JtcC8cYg_24_0"/>
      <w:bookmarkStart w:id="1193" w:name="Tc_31bEzOkswk2OhvhG0dvAbw_23_0"/>
      <w:bookmarkStart w:id="1194" w:name="Tc_KOOpd5k0j0eI9mA-uun7IA_22_0"/>
      <w:bookmarkStart w:id="1195" w:name="Tc_X-TGkA0QAkWUkyAEdunZCw_21_0"/>
      <w:bookmarkStart w:id="1196" w:name="Tc_4jqqrPTPt0K5keAKq4TJzg_20_0"/>
      <w:bookmarkStart w:id="1197" w:name="Tc_S9s2TNwMK02bxcyqlZBTCA_19_0"/>
      <w:bookmarkStart w:id="1198" w:name="Tc_UG-qA8_RuEmWgk5vW4YpFg_18_0"/>
      <w:bookmarkStart w:id="1199" w:name="Tc_S9dYYPailEeorxcw1wZ5JQ_17_0"/>
      <w:bookmarkStart w:id="1200" w:name="Tc_peI4a_9qX0eFLfhlJduysw_16_0"/>
      <w:bookmarkStart w:id="1201" w:name="Tc_DQApswsWxEGBGNKC-zOAXA_15_0"/>
      <w:bookmarkStart w:id="1202" w:name="Tc_nnd7IYTgmECOLS_krnYAJg_14_0"/>
      <w:bookmarkStart w:id="1203" w:name="Tc_NpfEReHwgkWd5jg-L5i2Yg_13_0"/>
      <w:bookmarkStart w:id="1204" w:name="Tc_iyw81720t0iE98j0FHexKA_12_0"/>
      <w:bookmarkStart w:id="1205" w:name="Tc_CJcAh2QQmkC3fr_dRRdQpg_11_4"/>
      <w:bookmarkStart w:id="1206" w:name="Tc_PWtmPvuU5kqC8TGFFhavEQ_11_0"/>
      <w:bookmarkStart w:id="1207" w:name="Tc_kBiDCZvARkeA93b7RxJLzQ_10_0"/>
      <w:bookmarkStart w:id="1208" w:name="Tc_e_4t9hPsKUyVGDs2RAI9Xg_9_0"/>
      <w:bookmarkStart w:id="1209" w:name="Tc_Dj5lo67z_kOjMQvDD2yRrw_8_0"/>
      <w:bookmarkStart w:id="1210" w:name="Tc_u-9Rz9H6ikad8gZMvFv6Ig_7_0"/>
      <w:bookmarkStart w:id="1211" w:name="Tc_S6h-NMRLfU-D-doXLp5xZw_6_0"/>
      <w:bookmarkStart w:id="1212" w:name="Tc_FIAtsHTwfkSDsQZ-dEmXSw_5_0"/>
      <w:bookmarkStart w:id="1213" w:name="Tc_pOThH0ZOykmbYUauhDdtOA_4_8"/>
      <w:bookmarkStart w:id="1214" w:name="Tc_5iH2LiqkZUexcWSbbRCKIQ_3_8"/>
      <w:bookmarkStart w:id="1215" w:name="Tc_Xi7cDDHFk0CUoaFUXwOZUg_3_6"/>
      <w:bookmarkStart w:id="1216" w:name="Tc_58L7AkT9_0eZshOm3IJU4A_3_4"/>
      <w:bookmarkStart w:id="1217" w:name="Tc_ygmyP6uxAEi0PuPQy_8G5Q_3_2"/>
      <w:bookmarkStart w:id="1218" w:name="Tc_caBlypCV0ku0Y1yMkNtvPQ_2_8"/>
      <w:bookmarkStart w:id="1219" w:name="Tc_XlN3i6AumE-J1t_xTULQZw_2_6"/>
      <w:bookmarkStart w:id="1220" w:name="Tc_8lXrZWCxwUyFU3QLhcBb-g_2_4"/>
      <w:bookmarkStart w:id="1221" w:name="Tc_W_Q3oTKv00OJ2x8SJEzdgQ_2_2"/>
      <w:bookmarkStart w:id="1222" w:name="Tc_UYM5QMlHOkKFRq0brkeqGQ_1_2"/>
      <w:bookmarkStart w:id="1223" w:name="_dd633763_a1be_4a61_b09b_46b0521cd0dd"/>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p>
    <w:tbl>
      <w:tblPr>
        <w:tblW w:w="10205" w:type="dxa"/>
        <w:jc w:val="left"/>
        <w:tblInd w:w="0" w:type="dxa"/>
        <w:tblLayout w:type="fixed"/>
        <w:tblCellMar>
          <w:top w:w="0" w:type="dxa"/>
          <w:left w:w="0" w:type="dxa"/>
          <w:bottom w:w="0" w:type="dxa"/>
          <w:right w:w="0" w:type="dxa"/>
        </w:tblCellMar>
      </w:tblPr>
      <w:tblGrid>
        <w:gridCol w:w="5983"/>
        <w:gridCol w:w="326"/>
        <w:gridCol w:w="733"/>
        <w:gridCol w:w="326"/>
        <w:gridCol w:w="732"/>
        <w:gridCol w:w="326"/>
        <w:gridCol w:w="732"/>
        <w:gridCol w:w="326"/>
        <w:gridCol w:w="721"/>
      </w:tblGrid>
      <w:tr>
        <w:trPr/>
        <w:tc>
          <w:tcPr>
            <w:tcW w:w="5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799205" cy="175260"/>
                      <wp:effectExtent l="0" t="0" r="0" b="0"/>
                      <wp:wrapNone/>
                      <wp:docPr id="209" name="Frame206"/>
                      <a:graphic xmlns:a="http://schemas.openxmlformats.org/drawingml/2006/main">
                        <a:graphicData uri="http://schemas.microsoft.com/office/word/2010/wordprocessingShape">
                          <wps:wsp>
                            <wps:cNvSpPr txBox="1"/>
                            <wps:spPr>
                              <a:xfrm>
                                <a:off x="0" y="0"/>
                                <a:ext cx="3799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0"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65455" cy="175260"/>
                      <wp:effectExtent l="0" t="0" r="0" b="0"/>
                      <wp:wrapNone/>
                      <wp:docPr id="211" name="Frame208"/>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2"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64820" cy="175260"/>
                      <wp:effectExtent l="0" t="0" r="0" b="0"/>
                      <wp:wrapNone/>
                      <wp:docPr id="213" name="Frame210"/>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14"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64820" cy="175260"/>
                      <wp:effectExtent l="0" t="0" r="0" b="0"/>
                      <wp:wrapNone/>
                      <wp:docPr id="215" name="Frame212"/>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16"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57835" cy="175260"/>
                      <wp:effectExtent l="0" t="0" r="0" b="0"/>
                      <wp:wrapNone/>
                      <wp:docPr id="217" name="Frame21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96"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For the Year Ended December 31, </w:t>
            </w:r>
          </w:p>
        </w:tc>
      </w:tr>
      <w:tr>
        <w:trPr/>
        <w:tc>
          <w:tcPr>
            <w:tcW w:w="59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2022</w:t>
            </w:r>
          </w:p>
        </w:tc>
        <w:tc>
          <w:tcPr>
            <w:tcW w:w="326" w:type="dxa"/>
            <w:tcBorders/>
            <w:vAlign w:val="center"/>
          </w:tcPr>
          <w:p>
            <w:pPr>
              <w:pStyle w:val="TableContents"/>
              <w:bidi w:val="0"/>
              <w:spacing w:before="0" w:after="0"/>
              <w:ind w:left="0" w:right="0" w:hanging="0"/>
              <w:jc w:val="left"/>
              <w:rPr/>
            </w:pPr>
            <w:r>
              <w:rPr/>
              <w:t>    </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2023</w:t>
            </w:r>
          </w:p>
        </w:tc>
        <w:tc>
          <w:tcPr>
            <w:tcW w:w="326" w:type="dxa"/>
            <w:tcBorders/>
            <w:vAlign w:val="center"/>
          </w:tcPr>
          <w:p>
            <w:pPr>
              <w:pStyle w:val="TableContents"/>
              <w:bidi w:val="0"/>
              <w:spacing w:before="0" w:after="0"/>
              <w:ind w:left="0" w:right="0" w:hanging="0"/>
              <w:jc w:val="left"/>
              <w:rPr/>
            </w:pPr>
            <w:r>
              <w:rPr/>
              <w:t>    </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2024</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2024</w:t>
            </w:r>
          </w:p>
        </w:tc>
      </w:tr>
      <w:tr>
        <w:trPr/>
        <w:tc>
          <w:tcPr>
            <w:tcW w:w="59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USD</w:t>
            </w:r>
          </w:p>
        </w:tc>
      </w:tr>
      <w:tr>
        <w:trPr/>
        <w:tc>
          <w:tcPr>
            <w:tcW w:w="59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Note 2(e)</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3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3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loss</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(14,437,104)</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(20,719,753)</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(22,401,709)</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(3,069,021)</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Depreciation and amortization</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2,852,315</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3,377,977</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5,875,499</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804,940</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Expected credit loss expense/(reversal)</w:t>
            </w:r>
          </w:p>
        </w:tc>
        <w:tc>
          <w:tcPr>
            <w:tcW w:w="326"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48,707</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(26,315)</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(3,761)</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(515)</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Inventory write-downs</w:t>
            </w:r>
          </w:p>
        </w:tc>
        <w:tc>
          <w:tcPr>
            <w:tcW w:w="32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148,729</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65,362</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123,345</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16,898</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Impairment on long-term assets</w:t>
            </w:r>
          </w:p>
        </w:tc>
        <w:tc>
          <w:tcPr>
            <w:tcW w:w="326"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35,011</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55,331</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7,580</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Foreign exchange loss/(gain)</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282,888</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(55,458)</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212,046</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29,050</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Share-based compensation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2,295,896</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2,369,041</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1,928,512</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264,205</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Investment (income)/loss</w:t>
            </w:r>
          </w:p>
        </w:tc>
        <w:tc>
          <w:tcPr>
            <w:tcW w:w="32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(174,854)</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(969,134)</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438,048</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60,012</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(Gain)/Loss on extinguishment of debt</w:t>
            </w:r>
          </w:p>
        </w:tc>
        <w:tc>
          <w:tcPr>
            <w:tcW w:w="326"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(138,332)</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(170,193)</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4,480</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614</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Share of (income)/loss of equity investees</w:t>
            </w:r>
          </w:p>
        </w:tc>
        <w:tc>
          <w:tcPr>
            <w:tcW w:w="32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(377,775)</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(64,394)</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503,193</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68,937</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Amortization of right-of-use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1,141,740</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1,529,464</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1,825,182</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250,049</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 xml:space="preserve">Loss/(gain) on disposal of property, plant and equipment </w:t>
            </w:r>
          </w:p>
        </w:tc>
        <w:tc>
          <w:tcPr>
            <w:tcW w:w="32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12,807</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(4,473)</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63,615</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8,715</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Deferred income tax expense/(benefit)</w:t>
            </w:r>
          </w:p>
        </w:tc>
        <w:tc>
          <w:tcPr>
            <w:tcW w:w="326"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192,990</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200,892</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(84,880)</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(11,629)</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Changes in operating assets and liabilities:</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Prepayments and other 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(1,239,921)</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279,387</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940,166</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128,802</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Inventory</w:t>
            </w:r>
          </w:p>
        </w:tc>
        <w:tc>
          <w:tcPr>
            <w:tcW w:w="32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(6,257,514)</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2,895,477</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(1,785,940)</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(244,673)</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Other non-current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(1,849,518)</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2,600,019</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1,385,067</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189,753</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Amounts due from related parties</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167,692</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(329,704)</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(5,980,929)</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(819,384)</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Operating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(1,016,571)</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(1,255,825)</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(1,793,806)</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(245,750)</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Taxes payable</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(341,592)</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61,014</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53,323</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7,305</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Trade and notes receivable</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(2,303,364)</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453,382</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2,985,794</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409,052</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Trade and notes payable</w:t>
            </w:r>
          </w:p>
        </w:tc>
        <w:tc>
          <w:tcPr>
            <w:tcW w:w="32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11,650,850</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4,870,777</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4,717,183</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646,251</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Accruals and other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4,119,375</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1,827,860</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1,255,705</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172,031</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Amounts due to related parties, current</w:t>
            </w:r>
          </w:p>
        </w:tc>
        <w:tc>
          <w:tcPr>
            <w:tcW w:w="32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(299,339)</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177,264</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(152,262)</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(20,860)</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Amounts due to related parties, non-current</w:t>
            </w:r>
          </w:p>
        </w:tc>
        <w:tc>
          <w:tcPr>
            <w:tcW w:w="326"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329,492</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45,140</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Other non-current liabilities</w:t>
            </w:r>
          </w:p>
        </w:tc>
        <w:tc>
          <w:tcPr>
            <w:tcW w:w="326" w:type="dxa"/>
            <w:tcBorders/>
            <w:vAlign w:val="center"/>
          </w:tcPr>
          <w:p>
            <w:pPr>
              <w:pStyle w:val="TableContents"/>
              <w:bidi w:val="0"/>
              <w:spacing w:before="0" w:after="0"/>
              <w:ind w:left="0" w:right="0" w:hanging="0"/>
              <w:jc w:val="left"/>
              <w:rPr/>
            </w:pPr>
            <w:r>
              <w:rPr/>
              <w:t> </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1,620,876</w:t>
            </w:r>
          </w:p>
        </w:tc>
        <w:tc>
          <w:tcPr>
            <w:tcW w:w="326" w:type="dxa"/>
            <w:tcBorders/>
            <w:vAlign w:val="center"/>
          </w:tcPr>
          <w:p>
            <w:pPr>
              <w:pStyle w:val="TableContents"/>
              <w:bidi w:val="0"/>
              <w:spacing w:before="0" w:after="0"/>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1,505,787</w:t>
            </w:r>
          </w:p>
        </w:tc>
        <w:tc>
          <w:tcPr>
            <w:tcW w:w="326" w:type="dxa"/>
            <w:tcBorders/>
            <w:vAlign w:val="center"/>
          </w:tcPr>
          <w:p>
            <w:pPr>
              <w:pStyle w:val="TableContents"/>
              <w:bidi w:val="0"/>
              <w:spacing w:before="0" w:after="0"/>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1,658,138</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227,164</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(3,866,008)</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(1,381,546)</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(7,849,168)</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(1,075,334)</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CASH FLOWS FROM INVESTING ACTIVITIES</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Purchase of property, plant and equipment, land use rights and intangible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(6,972,854)</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(14,340,771)</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(9,142,293)</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(1,252,489)</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Proceeds from disposal of property, plant and equipment</w:t>
            </w:r>
          </w:p>
        </w:tc>
        <w:tc>
          <w:tcPr>
            <w:tcW w:w="32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3,622</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73,064</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231,519</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31,718</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Purchase of short-term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(87,631,686)</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(43,899,109)</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(45,957,615)</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(6,296,167)</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Proceeds from maturities of short-term investments</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106,658,218</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47,753,555</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50,413,873</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6,906,672</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Purchase of available-for-sale debt investment</w:t>
            </w:r>
          </w:p>
        </w:tc>
        <w:tc>
          <w:tcPr>
            <w:tcW w:w="326"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(120,000)</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(52,842)</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(7,239)</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Proceeds from disposal of available-for-sale debt investment</w:t>
            </w:r>
          </w:p>
        </w:tc>
        <w:tc>
          <w:tcPr>
            <w:tcW w:w="32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270,000</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Acquisitions of equity investees</w:t>
            </w:r>
          </w:p>
        </w:tc>
        <w:tc>
          <w:tcPr>
            <w:tcW w:w="326"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(279,043)</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(421,729)</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(392,442)</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(53,764)</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Proceeds from disposal of equity investees</w:t>
            </w:r>
          </w:p>
        </w:tc>
        <w:tc>
          <w:tcPr>
            <w:tcW w:w="32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286,760</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Withdrawal of long-term investment</w:t>
            </w:r>
          </w:p>
        </w:tc>
        <w:tc>
          <w:tcPr>
            <w:tcW w:w="326"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10,750</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Purchase of held to maturity debt investments</w:t>
            </w:r>
          </w:p>
        </w:tc>
        <w:tc>
          <w:tcPr>
            <w:tcW w:w="32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(1,830,000)</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(35,000)</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(17,687)</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(2,423)</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Purchase of retained asset-backed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(43,000)</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(124,000)</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(16,988)</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Proceeds from maturities of retained asset-backed securities</w:t>
            </w:r>
          </w:p>
        </w:tc>
        <w:tc>
          <w:tcPr>
            <w:tcW w:w="32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16,865</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82,994</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11,370</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cash provided by /(used in) investing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10,385,017</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(10,885,375)</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(4,958,493)</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(679,310)</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CASH FLOWS FROM FINANCING ACTIVITIES</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Proceeds from exercise of stock options</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78,726</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86,820</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111,347</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15,254</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Capital withdrawal by non-controlling interests</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(3,250)</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(250)</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(343)</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(47)</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Distributions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(32,629)</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Capital injection from redeemable non-controlling interests</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3,295,465</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451,477</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Proceeds from issuance of convertible senior notes</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8,120,765</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Repurchase of convertible senior notes</w:t>
            </w:r>
          </w:p>
        </w:tc>
        <w:tc>
          <w:tcPr>
            <w:tcW w:w="32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(1,202,365)</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(3,387,648)</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(3,302,213)</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(452,401)</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Proceeds from borrowings from third parties</w:t>
            </w:r>
          </w:p>
        </w:tc>
        <w:tc>
          <w:tcPr>
            <w:tcW w:w="326"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6,918,564</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8,014,434</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9,218,865</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1,262,979</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Repayments of borrowings from third parties</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(7,347,941)</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(6,096,018)</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(7,512,784)</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(1,029,247)</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Principal payments on 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(27,489)</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(37,511)</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(37,854)</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(5,186)</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Proceeds from issuance of ordinary shares, net of issuance costs</w:t>
            </w:r>
          </w:p>
        </w:tc>
        <w:tc>
          <w:tcPr>
            <w:tcW w:w="326" w:type="dxa"/>
            <w:tcBorders/>
            <w:vAlign w:val="center"/>
          </w:tcPr>
          <w:p>
            <w:pPr>
              <w:pStyle w:val="TableContents"/>
              <w:bidi w:val="0"/>
              <w:spacing w:before="0" w:after="0"/>
              <w:ind w:left="0" w:right="0" w:hanging="0"/>
              <w:jc w:val="left"/>
              <w:rPr/>
            </w:pPr>
            <w:r>
              <w:rPr/>
              <w:t>​</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20,962,289</w:t>
            </w:r>
          </w:p>
        </w:tc>
        <w:tc>
          <w:tcPr>
            <w:tcW w:w="326" w:type="dxa"/>
            <w:tcBorders/>
            <w:vAlign w:val="center"/>
          </w:tcPr>
          <w:p>
            <w:pPr>
              <w:pStyle w:val="TableContents"/>
              <w:bidi w:val="0"/>
              <w:spacing w:before="0" w:after="0"/>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cash (used in)/provided by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(1,616,384)</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27,662,881</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1,772,483</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242,829</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Effects of exchange rate changes on cash, cash equivalents and restricted cash</w:t>
            </w:r>
          </w:p>
        </w:tc>
        <w:tc>
          <w:tcPr>
            <w:tcW w:w="326" w:type="dxa"/>
            <w:tcBorders/>
            <w:vAlign w:val="center"/>
          </w:tcPr>
          <w:p>
            <w:pPr>
              <w:pStyle w:val="TableContents"/>
              <w:bidi w:val="0"/>
              <w:spacing w:before="0" w:after="0"/>
              <w:ind w:left="0" w:right="0" w:hanging="0"/>
              <w:jc w:val="left"/>
              <w:rPr/>
            </w:pPr>
            <w:r>
              <w:rPr/>
              <w:t> </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(121,896)</w:t>
            </w:r>
          </w:p>
        </w:tc>
        <w:tc>
          <w:tcPr>
            <w:tcW w:w="326" w:type="dxa"/>
            <w:tcBorders/>
            <w:vAlign w:val="center"/>
          </w:tcPr>
          <w:p>
            <w:pPr>
              <w:pStyle w:val="TableContents"/>
              <w:bidi w:val="0"/>
              <w:spacing w:before="0" w:after="0"/>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70,254</w:t>
            </w:r>
          </w:p>
        </w:tc>
        <w:tc>
          <w:tcPr>
            <w:tcW w:w="326" w:type="dxa"/>
            <w:tcBorders/>
            <w:vAlign w:val="center"/>
          </w:tcPr>
          <w:p>
            <w:pPr>
              <w:pStyle w:val="TableContents"/>
              <w:bidi w:val="0"/>
              <w:spacing w:before="0" w:after="0"/>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161,039</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22,064</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NET INCREASE/(DECREASE) IN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4,780,729</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15,466,214</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(10,874,139)</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(1,489,751)</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Cash, cash equivalents and restricted cash at beginning of the year</w:t>
            </w:r>
          </w:p>
        </w:tc>
        <w:tc>
          <w:tcPr>
            <w:tcW w:w="326" w:type="dxa"/>
            <w:tcBorders/>
            <w:vAlign w:val="center"/>
          </w:tcPr>
          <w:p>
            <w:pPr>
              <w:pStyle w:val="TableContents"/>
              <w:bidi w:val="0"/>
              <w:spacing w:before="0" w:after="0"/>
              <w:ind w:left="0" w:right="0" w:hanging="0"/>
              <w:jc w:val="left"/>
              <w:rPr/>
            </w:pPr>
            <w:r>
              <w:rPr/>
              <w:t> </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18,374,564</w:t>
            </w:r>
          </w:p>
        </w:tc>
        <w:tc>
          <w:tcPr>
            <w:tcW w:w="326" w:type="dxa"/>
            <w:tcBorders/>
            <w:vAlign w:val="center"/>
          </w:tcPr>
          <w:p>
            <w:pPr>
              <w:pStyle w:val="TableContents"/>
              <w:bidi w:val="0"/>
              <w:spacing w:before="0" w:after="0"/>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23,155,293</w:t>
            </w:r>
          </w:p>
        </w:tc>
        <w:tc>
          <w:tcPr>
            <w:tcW w:w="326" w:type="dxa"/>
            <w:tcBorders/>
            <w:vAlign w:val="center"/>
          </w:tcPr>
          <w:p>
            <w:pPr>
              <w:pStyle w:val="TableContents"/>
              <w:bidi w:val="0"/>
              <w:spacing w:before="0" w:after="0"/>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38,621,507</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5,291,125</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Cash, cash equivalents and restricted cash at end of the year</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23,155,293</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38,621,507</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27,747,368</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3,801,374</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NON-CASH INVESTING AND FINANCING ACTIVITIES</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Accruals related to purchase of property, plant and equipment</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4,172,758</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4,445,749</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3,872,477</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530,527</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Conversion of convertible senior notes to ordinary shares</w:t>
            </w:r>
          </w:p>
        </w:tc>
        <w:tc>
          <w:tcPr>
            <w:tcW w:w="32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217,922</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Exchange of convertible senior notes to ordinary shares with cancellation of the same amount of treasury shares (Note 12 (iii))</w:t>
            </w:r>
          </w:p>
        </w:tc>
        <w:tc>
          <w:tcPr>
            <w:tcW w:w="326"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902,829</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123,687</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Accretion on redeemable non-controlling interests to redemption value</w:t>
            </w:r>
          </w:p>
        </w:tc>
        <w:tc>
          <w:tcPr>
            <w:tcW w:w="32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279,355</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303,163</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347,516</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47,609</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 xml:space="preserve">Settlement of capped call options and zero strike call options (Note 12 (iii)) </w:t>
            </w:r>
          </w:p>
        </w:tc>
        <w:tc>
          <w:tcPr>
            <w:tcW w:w="326"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709,490</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97,200</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Supplemental Disclosure</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r>
      <w:tr>
        <w:trPr/>
        <w:tc>
          <w:tcPr>
            <w:tcW w:w="59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Interest paid</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274,347</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285,479</w:t>
            </w:r>
          </w:p>
        </w:tc>
        <w:tc>
          <w:tcPr>
            <w:tcW w:w="32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641,903</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87,940</w:t>
            </w:r>
          </w:p>
        </w:tc>
      </w:tr>
      <w:tr>
        <w:trPr/>
        <w:tc>
          <w:tcPr>
            <w:tcW w:w="5983"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Income taxes paid</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77,187</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35,975</w:t>
            </w:r>
          </w:p>
        </w:tc>
        <w:tc>
          <w:tcPr>
            <w:tcW w:w="32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65,363</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45" w:hanging="0"/>
              <w:jc w:val="right"/>
              <w:rPr>
                <w:rFonts w:ascii="Times New Roman;Times;serif" w:hAnsi="Times New Roman;Times;serif"/>
                <w:sz w:val="12"/>
              </w:rPr>
            </w:pPr>
            <w:r>
              <w:rPr>
                <w:rFonts w:ascii="Times New Roman;Times;serif" w:hAnsi="Times New Roman;Times;serif"/>
                <w:sz w:val="12"/>
              </w:rPr>
              <w:t>8,955</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left"/>
        <w:rPr>
          <w:rFonts w:ascii="Times New Roman;Times;serif" w:hAnsi="Times New Roman;Times;serif"/>
          <w:b/>
          <w:sz w:val="20"/>
        </w:rPr>
      </w:pPr>
      <w:bookmarkStart w:id="1224" w:name="Tc_v3QGJcoOXECcG-uXhlt7OA_29_6"/>
      <w:bookmarkStart w:id="1225" w:name="Tc_W9xJD7YAP0e6o3m3NvaTsg_29_4"/>
      <w:bookmarkStart w:id="1226" w:name="Tc_50dDCcLlHUKPGBTXyEY0Cw_29_0"/>
      <w:bookmarkStart w:id="1227" w:name="Tc_ZdNBAkxT7kiuTyFZDOKsUQ_28_6"/>
      <w:bookmarkStart w:id="1228" w:name="Tc_dfuVx54jE0GCeIRPCmWt5A_28_4"/>
      <w:bookmarkStart w:id="1229" w:name="Tc_fjfdQZFroUiLjvqumWsnXA_28_0"/>
      <w:bookmarkStart w:id="1230" w:name="Tc_rF4t1H9mlUiTGv8V2xAAyg_27_6"/>
      <w:bookmarkStart w:id="1231" w:name="Tc_KmCROcLllUioPwJJds9uZA_27_4"/>
      <w:bookmarkStart w:id="1232" w:name="Tc_kLu3hmf1EUeGFTlCJ3fTyQ_27_0"/>
      <w:bookmarkStart w:id="1233" w:name="Tc_u2io9l8rr0yScA5p-R8J0A_26_6"/>
      <w:bookmarkStart w:id="1234" w:name="Tc_LWVZ6mn-EEe6zEE0SsyrZA_26_4"/>
      <w:bookmarkStart w:id="1235" w:name="Tc_gNCKLN1rHE-lXSAUduOZnQ_26_0"/>
      <w:bookmarkStart w:id="1236" w:name="Tc_GvKlOq9gj02hkBiC-mSzcQ_25_6"/>
      <w:bookmarkStart w:id="1237" w:name="Tc_8E1gUjmjjkK0VL29H_Qzfw_25_4"/>
      <w:bookmarkStart w:id="1238" w:name="Tc_ypJ-mc6k1EGzvPyrtakL2Q_25_0"/>
      <w:bookmarkStart w:id="1239" w:name="Tc_F63GB85G0kehaTcuM5wcZA_24_6"/>
      <w:bookmarkStart w:id="1240" w:name="Tc_yTZfMMKgkkeXBstdyCHqow_24_4"/>
      <w:bookmarkStart w:id="1241" w:name="Tc_n79ZQzjMbEKMfCkXmyyl2w_24_0"/>
      <w:bookmarkStart w:id="1242" w:name="Tc_fxJpuQj0TkmjPTVz02W-FQ_23_6"/>
      <w:bookmarkStart w:id="1243" w:name="Tc_mR5qEX-diEe4Sa2wHt_Smg_23_4"/>
      <w:bookmarkStart w:id="1244" w:name="Tc_jE42Kzu6kUCJxGBvkuXv9g_23_0"/>
      <w:bookmarkStart w:id="1245" w:name="Tc_x0h0fNxbBEm84kWkZYrjvw_22_6"/>
      <w:bookmarkStart w:id="1246" w:name="Tc_B3oFqCrBu0irORSGhNkswA_22_4"/>
      <w:bookmarkStart w:id="1247" w:name="Tc_B2cEhpJ6TkGdI58QfbxTeg_22_0"/>
      <w:bookmarkStart w:id="1248" w:name="Tc_rDOAyXqN1EiVHowRdmcSbQ_21_6"/>
      <w:bookmarkStart w:id="1249" w:name="Tc_ricXOHHufEGujO9ocqvKRA_21_4"/>
      <w:bookmarkStart w:id="1250" w:name="Tc_PWQQiHXm30yMET_nZmqr_g_21_0"/>
      <w:bookmarkStart w:id="1251" w:name="Tc_Hv5bm1Tb-EWAgQOhR3rqTQ_20_6"/>
      <w:bookmarkStart w:id="1252" w:name="Tc_RdlqtFv-30SxR0OJk3AvAw_20_4"/>
      <w:bookmarkStart w:id="1253" w:name="Tc_ID4FxdNg3kiUnRUekr330g_20_0"/>
      <w:bookmarkStart w:id="1254" w:name="Tc_Ngvv8lBCi0CnuoIRfZ_bfw_19_6"/>
      <w:bookmarkStart w:id="1255" w:name="Tc_kcJ_eJ0dFEKbuVuybaym9Q_19_4"/>
      <w:bookmarkStart w:id="1256" w:name="Tc_GW1TIBAfx0WB_ds_76UKXg_19_0"/>
      <w:bookmarkStart w:id="1257" w:name="Tc_8iv-bwhivUK3oZYZt7TAcg_18_6"/>
      <w:bookmarkStart w:id="1258" w:name="Tc_pV-Wv3KIjk6lsJigX_KxaA_18_4"/>
      <w:bookmarkStart w:id="1259" w:name="Tc_2hPAuSkrHEaWZRssh1D6QQ_18_0"/>
      <w:bookmarkStart w:id="1260" w:name="Tc_sx6J4jM82kW4PbHGC-XdRA_17_6"/>
      <w:bookmarkStart w:id="1261" w:name="Tc_v4AiKupetUuOyKZ1NTzoUA_17_4"/>
      <w:bookmarkStart w:id="1262" w:name="Tc_AqrjLb_Tx0Wx4huB-iOdFQ_17_0"/>
      <w:bookmarkStart w:id="1263" w:name="Tc_i5LL43JoIEq-Gq87_RdOcA_16_6"/>
      <w:bookmarkStart w:id="1264" w:name="Tc_VJmwzuX3KEizIxlFtPC8Ug_16_4"/>
      <w:bookmarkStart w:id="1265" w:name="Tc_nZ5OpIvPXUO0GrKhF8LG7w_16_0"/>
      <w:bookmarkStart w:id="1266" w:name="Tc_CCcX9G_VDUKSd-bGcc7dhg_15_6"/>
      <w:bookmarkStart w:id="1267" w:name="Tc_5WaDBT6u30yFY9NfcrcExw_15_4"/>
      <w:bookmarkStart w:id="1268" w:name="Tc_ml1jjxURl0u6P-v-vCQvnw_15_0"/>
      <w:bookmarkStart w:id="1269" w:name="Tc_y2gNX57VKEmjl2NP2iXMlw_14_6"/>
      <w:bookmarkStart w:id="1270" w:name="Tc_tmj4kO25_UKPIPtMUwHNaQ_14_4"/>
      <w:bookmarkStart w:id="1271" w:name="Tc_Y8V9zCXMzUmOEi5zMngtoA_14_0"/>
      <w:bookmarkStart w:id="1272" w:name="Tc_ByKsl8NZ20ma96vBPJ-YkA_13_6"/>
      <w:bookmarkStart w:id="1273" w:name="Tc_uKHdN14aEkOjvMHbsBS20g_13_4"/>
      <w:bookmarkStart w:id="1274" w:name="Tc_pX1GIVc8NEO_Yo_ChkyovQ_13_0"/>
      <w:bookmarkStart w:id="1275" w:name="Tc_5ZZy3BZRBEKRIHmM5CRprw_12_6"/>
      <w:bookmarkStart w:id="1276" w:name="Tc_OWsqNeSXNUyxvREjUCQemA_12_4"/>
      <w:bookmarkStart w:id="1277" w:name="Tc_31_AsW1KfkugDaJ6s_GiKQ_12_0"/>
      <w:bookmarkStart w:id="1278" w:name="Tc_QTTOYtG7vEOQsL7DE3lxEA_11_6"/>
      <w:bookmarkStart w:id="1279" w:name="Tc_gZ1nHZ9B3kqspCnAC-SxUQ_11_4"/>
      <w:bookmarkStart w:id="1280" w:name="Tc_QcyhJ31XpUqoxKPD0qWhtA_11_0"/>
      <w:bookmarkStart w:id="1281" w:name="Tc_ZiaieRetRECk8YOznEl4sw_10_6"/>
      <w:bookmarkStart w:id="1282" w:name="Tc_M8zG6phL00uyGa-icL3R6g_10_4"/>
      <w:bookmarkStart w:id="1283" w:name="Tc_RQbczLLhCkGqrpUxc9hApA_10_0"/>
      <w:bookmarkStart w:id="1284" w:name="Tc_kP8bwp7p8kGgfDoBGGQrGQ_9_6"/>
      <w:bookmarkStart w:id="1285" w:name="Tc__wJ_1uYxuUq79ow9Fhhacw_9_4"/>
      <w:bookmarkStart w:id="1286" w:name="Tc_QVl4sKrJz06ROUE8Uzbipw_9_0"/>
      <w:bookmarkStart w:id="1287" w:name="Tc_WmWYcgQO3Uy2y1vosxaEgA_8_6"/>
      <w:bookmarkStart w:id="1288" w:name="Tc_sLzuO9vyjUiwwQlTk_JpuA_8_4"/>
      <w:bookmarkStart w:id="1289" w:name="Tc_VI_rXS_mdUab6Ls_nXNV_w_8_0"/>
      <w:bookmarkStart w:id="1290" w:name="Tc_Th2-i8gEUE6Zt1zdcG3PFw_7_6"/>
      <w:bookmarkStart w:id="1291" w:name="Tc_I_eRTunXFE6rfqMmOmwlqQ_7_4"/>
      <w:bookmarkStart w:id="1292" w:name="Tc_P7Vhlpl6mEe7hyderLCoyA_7_0"/>
      <w:bookmarkStart w:id="1293" w:name="Tc_nXDg-S5lq0SQQb3t7-FF-w_6_6"/>
      <w:bookmarkStart w:id="1294" w:name="Tc_5mz0f_7lFkKVaeOFpM9ovA_6_4"/>
      <w:bookmarkStart w:id="1295" w:name="Tc_ZXO3o7639E-WWmlV6-MKbw_6_0"/>
      <w:bookmarkStart w:id="1296" w:name="Tc_j-MvarqHH06YnbJHbetqHw_5_6"/>
      <w:bookmarkStart w:id="1297" w:name="Tc_62QiqAegU0WPbFKuf2C7sw_5_4"/>
      <w:bookmarkStart w:id="1298" w:name="Tc_baNLTDKp7Eqx2GfwMoVzgg_5_0"/>
      <w:bookmarkStart w:id="1299" w:name="Tc_15wHVsGML02KcrFPQKa6-g_4_6"/>
      <w:bookmarkStart w:id="1300" w:name="Tc_FtA6rPGBgkmgzsONgMlysw_4_4"/>
      <w:bookmarkStart w:id="1301" w:name="Tc_CjJ87vq9jEqBbCT87FhtXA_4_0"/>
      <w:bookmarkStart w:id="1302" w:name="Tc_xgtC_OMd_EK30M88w-cMPQ_3_6"/>
      <w:bookmarkStart w:id="1303" w:name="Tc_T0YYYF7-qEKRTRsOCahUlg_3_4"/>
      <w:bookmarkStart w:id="1304" w:name="Tc_EwFwKV2PskKf2v_AYaeb_w_3_0"/>
      <w:bookmarkStart w:id="1305" w:name="Tc_ZBzMur8oNEKHmah2zVb51Q_2_6"/>
      <w:bookmarkStart w:id="1306" w:name="Tc_NB4qx3hRi0Ocu7DzF6PLJg_2_4"/>
      <w:bookmarkStart w:id="1307" w:name="Tc_-nk7xvhnukWLducLW1Do5A_2_2"/>
      <w:bookmarkStart w:id="1308" w:name="Tc_4iEfzNj-YkiGfzFLBK4oyQ_2_0"/>
      <w:bookmarkStart w:id="1309" w:name="Tc_5y5dqVVuWkKXgQI4Yzj9BA_1_4"/>
      <w:bookmarkStart w:id="1310" w:name="Tc_A5lbF4m_EEiJfmKKIn32xA_1_2"/>
      <w:bookmarkStart w:id="1311" w:name="a1OrganizationandNatureofOperations_825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r>
        <w:rPr>
          <w:rFonts w:ascii="Times New Roman;Times;serif" w:hAnsi="Times New Roman;Times;serif"/>
          <w:b/>
          <w:sz w:val="20"/>
        </w:rPr>
        <w:t>1.    Organization and Nature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NIO Inc. (“NIO”, or the “Company”) was incorporated under the laws of the Cayman Islands in November 2014, as an exempted company with limited liability. The Company was formerly known as NextCar Inc. It changed its name to NextEV Inc. in December 2014, and then changed to NIO Inc. in July 2017. The Company, its subsidiaries and consolidated variable interest entities (the “VIEs”) are collectively referred to as the “Group”.</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Group is primarily engaged in the design, development, manufacturing, and sales of smart electric vehicles during the reporting periods. The Group also offers power solutions and comprehensive value-added services to its users. As of December 31, 2024, the Group’s primary operations are conducted in the People’s Republic of China (the “PRC”) and the Company’s principal subsidiaries and VIEs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38"/>
        <w:gridCol w:w="326"/>
        <w:gridCol w:w="841"/>
        <w:gridCol w:w="326"/>
        <w:gridCol w:w="1996"/>
        <w:gridCol w:w="326"/>
        <w:gridCol w:w="2552"/>
      </w:tblGrid>
      <w:tr>
        <w:trPr/>
        <w:tc>
          <w:tcPr>
            <w:tcW w:w="3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437130" cy="175260"/>
                      <wp:effectExtent l="0" t="0" r="0" b="0"/>
                      <wp:wrapNone/>
                      <wp:docPr id="218" name="Frame215"/>
                      <a:graphic xmlns:a="http://schemas.openxmlformats.org/drawingml/2006/main">
                        <a:graphicData uri="http://schemas.microsoft.com/office/word/2010/wordprocessingShape">
                          <wps:wsp>
                            <wps:cNvSpPr txBox="1"/>
                            <wps:spPr>
                              <a:xfrm>
                                <a:off x="0" y="0"/>
                                <a:ext cx="2437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19"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34035" cy="175260"/>
                      <wp:effectExtent l="0" t="0" r="0" b="0"/>
                      <wp:wrapNone/>
                      <wp:docPr id="220" name="Frame21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1"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267460" cy="175260"/>
                      <wp:effectExtent l="0" t="0" r="0" b="0"/>
                      <wp:wrapNone/>
                      <wp:docPr id="222" name="Frame219"/>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23"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620520" cy="175260"/>
                      <wp:effectExtent l="0" t="0" r="0" b="0"/>
                      <wp:wrapNone/>
                      <wp:docPr id="224" name="Frame221"/>
                      <a:graphic xmlns:a="http://schemas.openxmlformats.org/drawingml/2006/main">
                        <a:graphicData uri="http://schemas.microsoft.com/office/word/2010/wordprocessingShape">
                          <wps:wsp>
                            <wps:cNvSpPr txBox="1"/>
                            <wps:spPr>
                              <a:xfrm>
                                <a:off x="0" y="0"/>
                                <a:ext cx="1620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3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326" w:type="dxa"/>
            <w:tcBorders/>
            <w:vAlign w:val="center"/>
          </w:tcPr>
          <w:p>
            <w:pPr>
              <w:pStyle w:val="TableContents"/>
              <w:bidi w:val="0"/>
              <w:spacing w:before="0" w:after="1"/>
              <w:ind w:left="0" w:right="0" w:hanging="0"/>
              <w:jc w:val="center"/>
              <w:rPr/>
            </w:pPr>
            <w:r>
              <w:rPr/>
              <w:t>​</w:t>
            </w:r>
          </w:p>
        </w:tc>
        <w:tc>
          <w:tcPr>
            <w:tcW w:w="199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Place and Date of incorporation</w:t>
            </w:r>
          </w:p>
        </w:tc>
        <w:tc>
          <w:tcPr>
            <w:tcW w:w="326" w:type="dxa"/>
            <w:tcBorders/>
            <w:vAlign w:val="center"/>
          </w:tcPr>
          <w:p>
            <w:pPr>
              <w:pStyle w:val="TableContents"/>
              <w:bidi w:val="0"/>
              <w:spacing w:before="0" w:after="1"/>
              <w:ind w:left="0" w:right="0" w:hanging="0"/>
              <w:jc w:val="center"/>
              <w:rPr/>
            </w:pPr>
            <w:r>
              <w:rPr/>
              <w:t>​</w:t>
            </w:r>
          </w:p>
        </w:tc>
        <w:tc>
          <w:tcPr>
            <w:tcW w:w="2552" w:type="dxa"/>
            <w:tcBorders/>
            <w:vAlign w:val="center"/>
          </w:tcPr>
          <w:p>
            <w:pPr>
              <w:pStyle w:val="TableContents"/>
              <w:bidi w:val="0"/>
              <w:spacing w:before="0" w:after="1"/>
              <w:ind w:left="0" w:right="0" w:hanging="0"/>
              <w:jc w:val="center"/>
              <w:rPr/>
            </w:pPr>
            <w:r>
              <w:rPr/>
              <w:t>​</w:t>
            </w:r>
          </w:p>
        </w:tc>
      </w:tr>
      <w:tr>
        <w:trPr/>
        <w:tc>
          <w:tcPr>
            <w:tcW w:w="3838"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Subsidiaries</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 held</w:t>
            </w:r>
          </w:p>
        </w:tc>
        <w:tc>
          <w:tcPr>
            <w:tcW w:w="326" w:type="dxa"/>
            <w:tcBorders/>
            <w:vAlign w:val="center"/>
          </w:tcPr>
          <w:p>
            <w:pPr>
              <w:pStyle w:val="TableContents"/>
              <w:bidi w:val="0"/>
              <w:spacing w:before="0" w:after="1"/>
              <w:ind w:left="0" w:right="0" w:hanging="0"/>
              <w:jc w:val="left"/>
              <w:rPr/>
            </w:pPr>
            <w:r>
              <w:rPr/>
              <w:t>    </w:t>
            </w:r>
          </w:p>
        </w:tc>
        <w:tc>
          <w:tcPr>
            <w:tcW w:w="19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or date of acquisition</w:t>
            </w:r>
          </w:p>
        </w:tc>
        <w:tc>
          <w:tcPr>
            <w:tcW w:w="326" w:type="dxa"/>
            <w:tcBorders/>
            <w:vAlign w:val="center"/>
          </w:tcPr>
          <w:p>
            <w:pPr>
              <w:pStyle w:val="TableContents"/>
              <w:bidi w:val="0"/>
              <w:spacing w:before="0" w:after="1"/>
              <w:ind w:left="0" w:right="0" w:hanging="0"/>
              <w:jc w:val="left"/>
              <w:rPr/>
            </w:pPr>
            <w:r>
              <w:rPr/>
              <w:t>    </w:t>
            </w:r>
          </w:p>
        </w:tc>
        <w:tc>
          <w:tcPr>
            <w:tcW w:w="2552"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4"/>
              </w:rPr>
              <w:t>Principal activities</w:t>
            </w:r>
          </w:p>
        </w:tc>
      </w:tr>
      <w:tr>
        <w:trPr/>
        <w:tc>
          <w:tcPr>
            <w:tcW w:w="383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Nextev Limited (“NIO HK”) (formerly known as Nextev Limited)</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Hong Kong, February 2015</w:t>
            </w:r>
          </w:p>
        </w:tc>
        <w:tc>
          <w:tcPr>
            <w:tcW w:w="326" w:type="dxa"/>
            <w:tcBorders/>
            <w:shd w:fill="CCEEFF" w:val="clear"/>
            <w:vAlign w:val="center"/>
          </w:tcPr>
          <w:p>
            <w:pPr>
              <w:pStyle w:val="TableContents"/>
              <w:bidi w:val="0"/>
              <w:spacing w:before="0" w:after="1"/>
              <w:ind w:left="0" w:right="0" w:hanging="0"/>
              <w:jc w:val="left"/>
              <w:rPr/>
            </w:pPr>
            <w:r>
              <w:rPr/>
              <w:t> </w:t>
            </w:r>
          </w:p>
        </w:tc>
        <w:tc>
          <w:tcPr>
            <w:tcW w:w="25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38"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GmbH (formerly known as NextEV GmbH)</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Germany, May 2015</w:t>
            </w:r>
          </w:p>
        </w:tc>
        <w:tc>
          <w:tcPr>
            <w:tcW w:w="326" w:type="dxa"/>
            <w:tcBorders/>
            <w:vAlign w:val="center"/>
          </w:tcPr>
          <w:p>
            <w:pPr>
              <w:pStyle w:val="TableContents"/>
              <w:bidi w:val="0"/>
              <w:spacing w:before="0" w:after="1"/>
              <w:ind w:left="0" w:right="0" w:hanging="0"/>
              <w:jc w:val="left"/>
              <w:rPr/>
            </w:pPr>
            <w:r>
              <w:rPr/>
              <w:t> </w:t>
            </w:r>
          </w:p>
        </w:tc>
        <w:tc>
          <w:tcPr>
            <w:tcW w:w="25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Design and technology development</w:t>
            </w:r>
          </w:p>
        </w:tc>
      </w:tr>
      <w:tr>
        <w:trPr/>
        <w:tc>
          <w:tcPr>
            <w:tcW w:w="383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Co., Ltd. (“NIO SH”) (formerly known as NextEV Co., Ltd.)</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Shanghai, PRC, May 2015</w:t>
            </w:r>
          </w:p>
        </w:tc>
        <w:tc>
          <w:tcPr>
            <w:tcW w:w="326" w:type="dxa"/>
            <w:tcBorders/>
            <w:shd w:fill="CCEEFF" w:val="clear"/>
            <w:vAlign w:val="center"/>
          </w:tcPr>
          <w:p>
            <w:pPr>
              <w:pStyle w:val="TableContents"/>
              <w:bidi w:val="0"/>
              <w:spacing w:before="0" w:after="1"/>
              <w:ind w:left="0" w:right="0" w:hanging="0"/>
              <w:jc w:val="left"/>
              <w:rPr/>
            </w:pPr>
            <w:r>
              <w:rPr/>
              <w:t>​</w:t>
            </w:r>
          </w:p>
        </w:tc>
        <w:tc>
          <w:tcPr>
            <w:tcW w:w="25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Headquarter and technology development</w:t>
            </w:r>
          </w:p>
        </w:tc>
      </w:tr>
      <w:tr>
        <w:trPr/>
        <w:tc>
          <w:tcPr>
            <w:tcW w:w="3838"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USA, Inc. (“NIO US”) (formerly known as NextEV USA, Inc.)</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United States, November 2015</w:t>
            </w:r>
          </w:p>
        </w:tc>
        <w:tc>
          <w:tcPr>
            <w:tcW w:w="326" w:type="dxa"/>
            <w:tcBorders/>
            <w:vAlign w:val="center"/>
          </w:tcPr>
          <w:p>
            <w:pPr>
              <w:pStyle w:val="TableContents"/>
              <w:bidi w:val="0"/>
              <w:spacing w:before="0" w:after="1"/>
              <w:ind w:left="0" w:right="0" w:hanging="0"/>
              <w:jc w:val="left"/>
              <w:rPr/>
            </w:pPr>
            <w:r>
              <w:rPr/>
              <w:t>​</w:t>
            </w:r>
          </w:p>
        </w:tc>
        <w:tc>
          <w:tcPr>
            <w:tcW w:w="25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Technology development</w:t>
            </w:r>
          </w:p>
        </w:tc>
      </w:tr>
      <w:tr>
        <w:trPr/>
        <w:tc>
          <w:tcPr>
            <w:tcW w:w="383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XPT Limited (“XPT”)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Hong Kong, December 2015</w:t>
            </w:r>
          </w:p>
        </w:tc>
        <w:tc>
          <w:tcPr>
            <w:tcW w:w="326" w:type="dxa"/>
            <w:tcBorders/>
            <w:shd w:fill="CCEEFF" w:val="clear"/>
            <w:vAlign w:val="center"/>
          </w:tcPr>
          <w:p>
            <w:pPr>
              <w:pStyle w:val="TableContents"/>
              <w:bidi w:val="0"/>
              <w:spacing w:before="0" w:after="1"/>
              <w:ind w:left="0" w:right="0" w:hanging="0"/>
              <w:jc w:val="left"/>
              <w:rPr/>
            </w:pPr>
            <w:r>
              <w:rPr/>
              <w:t>​</w:t>
            </w:r>
          </w:p>
        </w:tc>
        <w:tc>
          <w:tcPr>
            <w:tcW w:w="25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38"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XPT (Jiangsu) Investment Co., Ltd. (“XPT Jiangsu”)</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Jiangsu, PRC, May 2016</w:t>
            </w:r>
          </w:p>
        </w:tc>
        <w:tc>
          <w:tcPr>
            <w:tcW w:w="326" w:type="dxa"/>
            <w:tcBorders/>
            <w:vAlign w:val="center"/>
          </w:tcPr>
          <w:p>
            <w:pPr>
              <w:pStyle w:val="TableContents"/>
              <w:bidi w:val="0"/>
              <w:spacing w:before="0" w:after="1"/>
              <w:ind w:left="0" w:right="0" w:hanging="0"/>
              <w:jc w:val="left"/>
              <w:rPr/>
            </w:pPr>
            <w:r>
              <w:rPr/>
              <w:t>​</w:t>
            </w:r>
          </w:p>
        </w:tc>
        <w:tc>
          <w:tcPr>
            <w:tcW w:w="25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3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Shanghai XPT Technology Limited</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Shanghai, PRC, May 2016</w:t>
            </w:r>
          </w:p>
        </w:tc>
        <w:tc>
          <w:tcPr>
            <w:tcW w:w="326" w:type="dxa"/>
            <w:tcBorders/>
            <w:shd w:fill="CCEEFF" w:val="clear"/>
            <w:vAlign w:val="center"/>
          </w:tcPr>
          <w:p>
            <w:pPr>
              <w:pStyle w:val="TableContents"/>
              <w:bidi w:val="0"/>
              <w:spacing w:before="0" w:after="1"/>
              <w:ind w:left="0" w:right="0" w:hanging="0"/>
              <w:jc w:val="left"/>
              <w:rPr/>
            </w:pPr>
            <w:r>
              <w:rPr/>
              <w:t>​</w:t>
            </w:r>
          </w:p>
        </w:tc>
        <w:tc>
          <w:tcPr>
            <w:tcW w:w="25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Technology development</w:t>
            </w:r>
          </w:p>
        </w:tc>
      </w:tr>
      <w:tr>
        <w:trPr/>
        <w:tc>
          <w:tcPr>
            <w:tcW w:w="3838"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XPT (Nanjing) E-Powertrain Technology Co., Ltd. (“XPT NJEP”)</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PRC, July 2016</w:t>
            </w:r>
          </w:p>
        </w:tc>
        <w:tc>
          <w:tcPr>
            <w:tcW w:w="326" w:type="dxa"/>
            <w:tcBorders/>
            <w:vAlign w:val="center"/>
          </w:tcPr>
          <w:p>
            <w:pPr>
              <w:pStyle w:val="TableContents"/>
              <w:bidi w:val="0"/>
              <w:spacing w:before="0" w:after="1"/>
              <w:ind w:left="0" w:right="0" w:hanging="0"/>
              <w:jc w:val="left"/>
              <w:rPr/>
            </w:pPr>
            <w:r>
              <w:rPr/>
              <w:t>​</w:t>
            </w:r>
          </w:p>
        </w:tc>
        <w:tc>
          <w:tcPr>
            <w:tcW w:w="25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Manufacturing of E-Powertrain</w:t>
            </w:r>
          </w:p>
        </w:tc>
      </w:tr>
      <w:tr>
        <w:trPr/>
        <w:tc>
          <w:tcPr>
            <w:tcW w:w="383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XPT (Nanjing) Energy Storage System Co., Ltd. (“XPT NJES”)</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PRC, October 2016</w:t>
            </w:r>
          </w:p>
        </w:tc>
        <w:tc>
          <w:tcPr>
            <w:tcW w:w="326" w:type="dxa"/>
            <w:tcBorders/>
            <w:shd w:fill="CCEEFF" w:val="clear"/>
            <w:vAlign w:val="center"/>
          </w:tcPr>
          <w:p>
            <w:pPr>
              <w:pStyle w:val="TableContents"/>
              <w:bidi w:val="0"/>
              <w:spacing w:before="0" w:after="1"/>
              <w:ind w:left="0" w:right="0" w:hanging="0"/>
              <w:jc w:val="left"/>
              <w:rPr/>
            </w:pPr>
            <w:r>
              <w:rPr/>
              <w:t>​</w:t>
            </w:r>
          </w:p>
        </w:tc>
        <w:tc>
          <w:tcPr>
            <w:tcW w:w="25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Manufacturing of battery</w:t>
            </w:r>
          </w:p>
        </w:tc>
      </w:tr>
      <w:tr>
        <w:trPr/>
        <w:tc>
          <w:tcPr>
            <w:tcW w:w="3838"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Power Express Limited (“PE HK)</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Hong Kong, January 2017</w:t>
            </w:r>
          </w:p>
        </w:tc>
        <w:tc>
          <w:tcPr>
            <w:tcW w:w="326" w:type="dxa"/>
            <w:tcBorders/>
            <w:vAlign w:val="center"/>
          </w:tcPr>
          <w:p>
            <w:pPr>
              <w:pStyle w:val="TableContents"/>
              <w:bidi w:val="0"/>
              <w:spacing w:before="0" w:after="1"/>
              <w:ind w:left="0" w:right="0" w:hanging="0"/>
              <w:jc w:val="left"/>
              <w:rPr/>
            </w:pPr>
            <w:r>
              <w:rPr/>
              <w:t>​</w:t>
            </w:r>
          </w:p>
        </w:tc>
        <w:tc>
          <w:tcPr>
            <w:tcW w:w="25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3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User Enterprise Limited (“UE HK”)</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Hong Kong, February 2017</w:t>
            </w:r>
          </w:p>
        </w:tc>
        <w:tc>
          <w:tcPr>
            <w:tcW w:w="326" w:type="dxa"/>
            <w:tcBorders/>
            <w:shd w:fill="CCEEFF" w:val="clear"/>
            <w:vAlign w:val="center"/>
          </w:tcPr>
          <w:p>
            <w:pPr>
              <w:pStyle w:val="TableContents"/>
              <w:bidi w:val="0"/>
              <w:spacing w:before="0" w:after="1"/>
              <w:ind w:left="0" w:right="0" w:hanging="0"/>
              <w:jc w:val="left"/>
              <w:rPr/>
            </w:pPr>
            <w:r>
              <w:rPr/>
              <w:t>​</w:t>
            </w:r>
          </w:p>
        </w:tc>
        <w:tc>
          <w:tcPr>
            <w:tcW w:w="25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38"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Sales and Services Co., Ltd. (“UE CNHC”) (formerly known as Shanghai NIO Sales and Service Co., Ltd. )</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Shanghai, PRC, March 2017</w:t>
            </w:r>
          </w:p>
        </w:tc>
        <w:tc>
          <w:tcPr>
            <w:tcW w:w="326" w:type="dxa"/>
            <w:tcBorders/>
            <w:vAlign w:val="center"/>
          </w:tcPr>
          <w:p>
            <w:pPr>
              <w:pStyle w:val="TableContents"/>
              <w:bidi w:val="0"/>
              <w:spacing w:before="0" w:after="1"/>
              <w:ind w:left="0" w:right="0" w:hanging="0"/>
              <w:jc w:val="left"/>
              <w:rPr/>
            </w:pPr>
            <w:r>
              <w:rPr/>
              <w:t>​</w:t>
            </w:r>
          </w:p>
        </w:tc>
        <w:tc>
          <w:tcPr>
            <w:tcW w:w="25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 and sales and after sales management</w:t>
            </w:r>
          </w:p>
        </w:tc>
      </w:tr>
      <w:tr>
        <w:trPr/>
        <w:tc>
          <w:tcPr>
            <w:tcW w:w="383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NIO Energy Investment (Hubei) Co., Ltd. (“PE CNHC”) (Note (b)) </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Wuhan PRC, April 2017</w:t>
            </w:r>
          </w:p>
        </w:tc>
        <w:tc>
          <w:tcPr>
            <w:tcW w:w="326" w:type="dxa"/>
            <w:tcBorders/>
            <w:shd w:fill="CCEEFF" w:val="clear"/>
            <w:vAlign w:val="center"/>
          </w:tcPr>
          <w:p>
            <w:pPr>
              <w:pStyle w:val="TableContents"/>
              <w:bidi w:val="0"/>
              <w:spacing w:before="0" w:after="1"/>
              <w:ind w:left="0" w:right="0" w:hanging="0"/>
              <w:jc w:val="left"/>
              <w:rPr/>
            </w:pPr>
            <w:r>
              <w:rPr/>
              <w:t>​</w:t>
            </w:r>
          </w:p>
        </w:tc>
        <w:tc>
          <w:tcPr>
            <w:tcW w:w="25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38"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Wuhan NIO Energy Co., Ltd. (“PE WHJV”)</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Wuhan, PRC, May 2017</w:t>
            </w:r>
          </w:p>
        </w:tc>
        <w:tc>
          <w:tcPr>
            <w:tcW w:w="326" w:type="dxa"/>
            <w:tcBorders/>
            <w:vAlign w:val="center"/>
          </w:tcPr>
          <w:p>
            <w:pPr>
              <w:pStyle w:val="TableContents"/>
              <w:bidi w:val="0"/>
              <w:spacing w:before="0" w:after="1"/>
              <w:ind w:left="0" w:right="0" w:hanging="0"/>
              <w:jc w:val="left"/>
              <w:rPr/>
            </w:pPr>
            <w:r>
              <w:rPr/>
              <w:t>​</w:t>
            </w:r>
          </w:p>
        </w:tc>
        <w:tc>
          <w:tcPr>
            <w:tcW w:w="25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3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Holding Co., Ltd. (“NIO China”) (formerly known as NIO (Anhui) Holding Co., Ltd.) (Note (a))</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Anhui, PRC, November 2017</w:t>
            </w:r>
          </w:p>
        </w:tc>
        <w:tc>
          <w:tcPr>
            <w:tcW w:w="326" w:type="dxa"/>
            <w:tcBorders/>
            <w:shd w:fill="CCEEFF" w:val="clear"/>
            <w:vAlign w:val="center"/>
          </w:tcPr>
          <w:p>
            <w:pPr>
              <w:pStyle w:val="TableContents"/>
              <w:bidi w:val="0"/>
              <w:spacing w:before="0" w:after="1"/>
              <w:ind w:left="0" w:right="0" w:hanging="0"/>
              <w:jc w:val="left"/>
              <w:rPr/>
            </w:pPr>
            <w:r>
              <w:rPr/>
              <w:t>​</w:t>
            </w:r>
          </w:p>
        </w:tc>
        <w:tc>
          <w:tcPr>
            <w:tcW w:w="25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Headquarter and technology development</w:t>
            </w:r>
          </w:p>
        </w:tc>
      </w:tr>
      <w:tr>
        <w:trPr/>
        <w:tc>
          <w:tcPr>
            <w:tcW w:w="3838"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XPT (Jiangsu) Automotive Technology Co., Ltd. (“XPT AUTO”)</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PRC, May 2018</w:t>
            </w:r>
          </w:p>
        </w:tc>
        <w:tc>
          <w:tcPr>
            <w:tcW w:w="326" w:type="dxa"/>
            <w:tcBorders/>
            <w:vAlign w:val="center"/>
          </w:tcPr>
          <w:p>
            <w:pPr>
              <w:pStyle w:val="TableContents"/>
              <w:bidi w:val="0"/>
              <w:spacing w:before="0" w:after="1"/>
              <w:ind w:left="0" w:right="0" w:hanging="0"/>
              <w:jc w:val="left"/>
              <w:rPr/>
            </w:pPr>
            <w:r>
              <w:rPr/>
              <w:t>​</w:t>
            </w:r>
          </w:p>
        </w:tc>
        <w:tc>
          <w:tcPr>
            <w:tcW w:w="25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3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Financial Leasing Co., Ltd. (“NIO Leasing”)</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Shanghai, PRC, August 2018</w:t>
            </w:r>
          </w:p>
        </w:tc>
        <w:tc>
          <w:tcPr>
            <w:tcW w:w="326" w:type="dxa"/>
            <w:tcBorders/>
            <w:shd w:fill="CCEEFF" w:val="clear"/>
            <w:vAlign w:val="center"/>
          </w:tcPr>
          <w:p>
            <w:pPr>
              <w:pStyle w:val="TableContents"/>
              <w:bidi w:val="0"/>
              <w:spacing w:before="0" w:after="1"/>
              <w:ind w:left="0" w:right="0" w:hanging="0"/>
              <w:jc w:val="left"/>
              <w:rPr/>
            </w:pPr>
            <w:r>
              <w:rPr/>
              <w:t>​</w:t>
            </w:r>
          </w:p>
        </w:tc>
        <w:tc>
          <w:tcPr>
            <w:tcW w:w="25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Financial Leasing</w:t>
            </w:r>
          </w:p>
        </w:tc>
      </w:tr>
      <w:tr>
        <w:trPr/>
        <w:tc>
          <w:tcPr>
            <w:tcW w:w="3838"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(Anhui) Co., Ltd. (“NIO AH”)</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Anhui, PRC, August 2020</w:t>
            </w:r>
          </w:p>
        </w:tc>
        <w:tc>
          <w:tcPr>
            <w:tcW w:w="326" w:type="dxa"/>
            <w:tcBorders/>
            <w:vAlign w:val="center"/>
          </w:tcPr>
          <w:p>
            <w:pPr>
              <w:pStyle w:val="TableContents"/>
              <w:bidi w:val="0"/>
              <w:spacing w:before="0" w:after="1"/>
              <w:ind w:left="0" w:right="0" w:hanging="0"/>
              <w:jc w:val="left"/>
              <w:rPr/>
            </w:pPr>
            <w:r>
              <w:rPr/>
              <w:t> </w:t>
            </w:r>
          </w:p>
        </w:tc>
        <w:tc>
          <w:tcPr>
            <w:tcW w:w="25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Industrialization and technology development</w:t>
            </w:r>
          </w:p>
        </w:tc>
      </w:tr>
      <w:tr>
        <w:trPr/>
        <w:tc>
          <w:tcPr>
            <w:tcW w:w="383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Technology (Anhui) Co., Ltd. (“NIO R&amp;D”)</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Anhui, PRC, August 2020</w:t>
            </w:r>
          </w:p>
        </w:tc>
        <w:tc>
          <w:tcPr>
            <w:tcW w:w="326" w:type="dxa"/>
            <w:tcBorders/>
            <w:shd w:fill="CCEEFF" w:val="clear"/>
            <w:vAlign w:val="center"/>
          </w:tcPr>
          <w:p>
            <w:pPr>
              <w:pStyle w:val="TableContents"/>
              <w:bidi w:val="0"/>
              <w:spacing w:before="0" w:after="1"/>
              <w:ind w:left="0" w:right="0" w:hanging="0"/>
              <w:jc w:val="left"/>
              <w:rPr/>
            </w:pPr>
            <w:r>
              <w:rPr/>
              <w:t> </w:t>
            </w:r>
          </w:p>
        </w:tc>
        <w:tc>
          <w:tcPr>
            <w:tcW w:w="25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Design and technology development</w:t>
            </w:r>
          </w:p>
        </w:tc>
      </w:tr>
      <w:tr>
        <w:trPr/>
        <w:tc>
          <w:tcPr>
            <w:tcW w:w="3838"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New Horizon B.V.</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Netherlands, November 2022</w:t>
            </w:r>
          </w:p>
        </w:tc>
        <w:tc>
          <w:tcPr>
            <w:tcW w:w="326" w:type="dxa"/>
            <w:tcBorders/>
            <w:vAlign w:val="center"/>
          </w:tcPr>
          <w:p>
            <w:pPr>
              <w:pStyle w:val="TableContents"/>
              <w:bidi w:val="0"/>
              <w:spacing w:before="0" w:after="1"/>
              <w:ind w:left="0" w:right="0" w:hanging="0"/>
              <w:jc w:val="left"/>
              <w:rPr/>
            </w:pPr>
            <w:r>
              <w:rPr/>
              <w:t>​</w:t>
            </w:r>
          </w:p>
        </w:tc>
        <w:tc>
          <w:tcPr>
            <w:tcW w:w="25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3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Nextev Europe Holding B.V.(“NIO NL”)</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Netherlands, December 2020</w:t>
            </w:r>
          </w:p>
        </w:tc>
        <w:tc>
          <w:tcPr>
            <w:tcW w:w="326" w:type="dxa"/>
            <w:tcBorders/>
            <w:shd w:fill="CCEEFF" w:val="clear"/>
            <w:vAlign w:val="center"/>
          </w:tcPr>
          <w:p>
            <w:pPr>
              <w:pStyle w:val="TableContents"/>
              <w:bidi w:val="0"/>
              <w:spacing w:before="0" w:after="1"/>
              <w:ind w:left="0" w:right="0" w:hanging="0"/>
              <w:jc w:val="left"/>
              <w:rPr/>
            </w:pPr>
            <w:r>
              <w:rPr/>
              <w:t> </w:t>
            </w:r>
          </w:p>
        </w:tc>
        <w:tc>
          <w:tcPr>
            <w:tcW w:w="25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38"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NEU Battery Asset Co., Ltd. (“BAC Cayman”)</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Cayman Islands, May 2021</w:t>
            </w:r>
          </w:p>
        </w:tc>
        <w:tc>
          <w:tcPr>
            <w:tcW w:w="326" w:type="dxa"/>
            <w:tcBorders/>
            <w:vAlign w:val="center"/>
          </w:tcPr>
          <w:p>
            <w:pPr>
              <w:pStyle w:val="TableContents"/>
              <w:bidi w:val="0"/>
              <w:spacing w:before="0" w:after="1"/>
              <w:ind w:left="0" w:right="0" w:hanging="0"/>
              <w:jc w:val="left"/>
              <w:rPr/>
            </w:pPr>
            <w:r>
              <w:rPr/>
              <w:t> </w:t>
            </w:r>
          </w:p>
        </w:tc>
        <w:tc>
          <w:tcPr>
            <w:tcW w:w="25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3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Instant Power Europe B.V. Co., Ltd. (“BAC NL”)</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Netherlands, June 2021</w:t>
            </w:r>
          </w:p>
        </w:tc>
        <w:tc>
          <w:tcPr>
            <w:tcW w:w="326" w:type="dxa"/>
            <w:tcBorders/>
            <w:shd w:fill="CCEEFF" w:val="clear"/>
            <w:vAlign w:val="center"/>
          </w:tcPr>
          <w:p>
            <w:pPr>
              <w:pStyle w:val="TableContents"/>
              <w:bidi w:val="0"/>
              <w:spacing w:before="0" w:after="1"/>
              <w:ind w:left="0" w:right="0" w:hanging="0"/>
              <w:jc w:val="left"/>
              <w:rPr/>
            </w:pPr>
            <w:r>
              <w:rPr/>
              <w:t>​</w:t>
            </w:r>
          </w:p>
        </w:tc>
        <w:tc>
          <w:tcPr>
            <w:tcW w:w="25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Battery Subscription Service</w:t>
            </w:r>
          </w:p>
        </w:tc>
      </w:tr>
      <w:tr>
        <w:trPr/>
        <w:tc>
          <w:tcPr>
            <w:tcW w:w="3838"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NEU Battery Asset (Hong Kong) Co., Ltd. (“BAC HK”)</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Hong Kong, July 2021</w:t>
            </w:r>
          </w:p>
        </w:tc>
        <w:tc>
          <w:tcPr>
            <w:tcW w:w="326" w:type="dxa"/>
            <w:tcBorders/>
            <w:vAlign w:val="center"/>
          </w:tcPr>
          <w:p>
            <w:pPr>
              <w:pStyle w:val="TableContents"/>
              <w:bidi w:val="0"/>
              <w:spacing w:before="0" w:after="1"/>
              <w:ind w:left="0" w:right="0" w:hanging="0"/>
              <w:jc w:val="left"/>
              <w:rPr/>
            </w:pPr>
            <w:r>
              <w:rPr/>
              <w:t>​</w:t>
            </w:r>
          </w:p>
        </w:tc>
        <w:tc>
          <w:tcPr>
            <w:tcW w:w="25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3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AI Technology Limited (“NIO AI Technology”)</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96.970%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Cayman Islands, March 2021</w:t>
            </w:r>
          </w:p>
        </w:tc>
        <w:tc>
          <w:tcPr>
            <w:tcW w:w="326" w:type="dxa"/>
            <w:tcBorders/>
            <w:shd w:fill="CCEEFF" w:val="clear"/>
            <w:vAlign w:val="center"/>
          </w:tcPr>
          <w:p>
            <w:pPr>
              <w:pStyle w:val="TableContents"/>
              <w:bidi w:val="0"/>
              <w:spacing w:before="0" w:after="1"/>
              <w:ind w:left="0" w:right="0" w:hanging="0"/>
              <w:jc w:val="left"/>
              <w:rPr/>
            </w:pPr>
            <w:r>
              <w:rPr/>
              <w:t>​</w:t>
            </w:r>
          </w:p>
        </w:tc>
        <w:tc>
          <w:tcPr>
            <w:tcW w:w="25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38"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AI Technology Limited</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96.970%</w:t>
            </w:r>
          </w:p>
        </w:tc>
        <w:tc>
          <w:tcPr>
            <w:tcW w:w="32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Hong Kong, May 2021</w:t>
            </w:r>
          </w:p>
        </w:tc>
        <w:tc>
          <w:tcPr>
            <w:tcW w:w="326" w:type="dxa"/>
            <w:tcBorders/>
            <w:vAlign w:val="center"/>
          </w:tcPr>
          <w:p>
            <w:pPr>
              <w:pStyle w:val="TableContents"/>
              <w:bidi w:val="0"/>
              <w:spacing w:before="0" w:after="1"/>
              <w:ind w:left="0" w:right="0" w:hanging="0"/>
              <w:jc w:val="left"/>
              <w:rPr/>
            </w:pPr>
            <w:r>
              <w:rPr/>
              <w:t> </w:t>
            </w:r>
          </w:p>
        </w:tc>
        <w:tc>
          <w:tcPr>
            <w:tcW w:w="25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3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Anhui NIO Autonomous Driving Technology Co., Ltd. (“Anhui NIO AD”)</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96.970%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Anhui, PRC, June 2021</w:t>
            </w:r>
          </w:p>
        </w:tc>
        <w:tc>
          <w:tcPr>
            <w:tcW w:w="326" w:type="dxa"/>
            <w:tcBorders/>
            <w:shd w:fill="CCEEFF" w:val="clear"/>
            <w:vAlign w:val="center"/>
          </w:tcPr>
          <w:p>
            <w:pPr>
              <w:pStyle w:val="TableContents"/>
              <w:bidi w:val="0"/>
              <w:spacing w:before="0" w:after="1"/>
              <w:ind w:left="0" w:right="0" w:hanging="0"/>
              <w:jc w:val="left"/>
              <w:rPr/>
            </w:pPr>
            <w:r>
              <w:rPr/>
              <w:t> </w:t>
            </w:r>
          </w:p>
        </w:tc>
        <w:tc>
          <w:tcPr>
            <w:tcW w:w="25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Technology development</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7388"/>
        <w:gridCol w:w="326"/>
        <w:gridCol w:w="2491"/>
      </w:tblGrid>
      <w:tr>
        <w:trPr/>
        <w:tc>
          <w:tcPr>
            <w:tcW w:w="7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691380" cy="175260"/>
                      <wp:effectExtent l="0" t="0" r="0" b="0"/>
                      <wp:wrapNone/>
                      <wp:docPr id="225" name="Frame222"/>
                      <a:graphic xmlns:a="http://schemas.openxmlformats.org/drawingml/2006/main">
                        <a:graphicData uri="http://schemas.microsoft.com/office/word/2010/wordprocessingShape">
                          <wps:wsp>
                            <wps:cNvSpPr txBox="1"/>
                            <wps:spPr>
                              <a:xfrm>
                                <a:off x="0" y="0"/>
                                <a:ext cx="4691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26"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581785" cy="175260"/>
                      <wp:effectExtent l="0" t="0" r="0" b="0"/>
                      <wp:wrapNone/>
                      <wp:docPr id="227" name="Frame224"/>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91" w:type="dxa"/>
            <w:tcBorders/>
            <w:vAlign w:val="center"/>
          </w:tcPr>
          <w:p>
            <w:pPr>
              <w:pStyle w:val="TableContents"/>
              <w:bidi w:val="0"/>
              <w:spacing w:before="0" w:after="1"/>
              <w:ind w:left="0" w:right="0" w:hanging="0"/>
              <w:jc w:val="left"/>
              <w:rPr/>
            </w:pPr>
            <w:r>
              <w:rPr/>
              <w:t>​</w:t>
            </w:r>
          </w:p>
        </w:tc>
      </w:tr>
      <w:tr>
        <w:trPr/>
        <w:tc>
          <w:tcPr>
            <w:tcW w:w="73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4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Place and Date of incorporation</w:t>
            </w:r>
          </w:p>
        </w:tc>
      </w:tr>
      <w:tr>
        <w:trPr/>
        <w:tc>
          <w:tcPr>
            <w:tcW w:w="738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VIEs and VIEs’ subsidiaries </w:t>
            </w:r>
          </w:p>
        </w:tc>
        <w:tc>
          <w:tcPr>
            <w:tcW w:w="326" w:type="dxa"/>
            <w:tcBorders/>
            <w:vAlign w:val="center"/>
          </w:tcPr>
          <w:p>
            <w:pPr>
              <w:pStyle w:val="TableContents"/>
              <w:bidi w:val="0"/>
              <w:spacing w:before="0" w:after="1"/>
              <w:ind w:left="0" w:right="0" w:hanging="0"/>
              <w:jc w:val="center"/>
              <w:rPr/>
            </w:pPr>
            <w:r>
              <w:rPr/>
              <w:t>    </w:t>
            </w:r>
          </w:p>
        </w:tc>
        <w:tc>
          <w:tcPr>
            <w:tcW w:w="24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 date of acquisition</w:t>
            </w:r>
          </w:p>
        </w:tc>
      </w:tr>
      <w:tr>
        <w:trPr/>
        <w:tc>
          <w:tcPr>
            <w:tcW w:w="7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Prime Hubs Limited (“Prime Hubs”)</w:t>
            </w:r>
          </w:p>
        </w:tc>
        <w:tc>
          <w:tcPr>
            <w:tcW w:w="326" w:type="dxa"/>
            <w:tcBorders/>
            <w:shd w:fill="CCEEFF" w:val="clear"/>
            <w:vAlign w:val="center"/>
          </w:tcPr>
          <w:p>
            <w:pPr>
              <w:pStyle w:val="TableContents"/>
              <w:bidi w:val="0"/>
              <w:spacing w:before="0" w:after="1"/>
              <w:ind w:left="0" w:right="0" w:hanging="0"/>
              <w:jc w:val="left"/>
              <w:rPr/>
            </w:pPr>
            <w:r>
              <w:rPr/>
              <w:t> </w:t>
            </w:r>
          </w:p>
        </w:tc>
        <w:tc>
          <w:tcPr>
            <w:tcW w:w="2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BVI, October 2014</w:t>
            </w:r>
          </w:p>
        </w:tc>
      </w:tr>
      <w:tr>
        <w:trPr/>
        <w:tc>
          <w:tcPr>
            <w:tcW w:w="7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Beijing NIO Network Technology Co., Ltd. (“Beijing NIO”)</w:t>
            </w:r>
          </w:p>
        </w:tc>
        <w:tc>
          <w:tcPr>
            <w:tcW w:w="326" w:type="dxa"/>
            <w:tcBorders/>
            <w:vAlign w:val="center"/>
          </w:tcPr>
          <w:p>
            <w:pPr>
              <w:pStyle w:val="TableContents"/>
              <w:bidi w:val="0"/>
              <w:spacing w:before="0" w:after="1"/>
              <w:ind w:left="0" w:right="0" w:hanging="0"/>
              <w:jc w:val="left"/>
              <w:rPr/>
            </w:pPr>
            <w:r>
              <w:rPr/>
              <w:t> </w:t>
            </w:r>
          </w:p>
        </w:tc>
        <w:tc>
          <w:tcPr>
            <w:tcW w:w="24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Beijing, PRC, July 2017</w:t>
            </w:r>
          </w:p>
        </w:tc>
      </w:tr>
      <w:tr>
        <w:trPr/>
        <w:tc>
          <w:tcPr>
            <w:tcW w:w="7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Anhui NIO AI Technology Co., Ltd. (“Anhui NIO AT”)</w:t>
            </w:r>
          </w:p>
        </w:tc>
        <w:tc>
          <w:tcPr>
            <w:tcW w:w="326" w:type="dxa"/>
            <w:tcBorders/>
            <w:shd w:fill="CCEEFF" w:val="clear"/>
            <w:vAlign w:val="center"/>
          </w:tcPr>
          <w:p>
            <w:pPr>
              <w:pStyle w:val="TableContents"/>
              <w:bidi w:val="0"/>
              <w:spacing w:before="0" w:after="1"/>
              <w:ind w:left="0" w:right="0" w:hanging="0"/>
              <w:jc w:val="left"/>
              <w:rPr/>
            </w:pPr>
            <w:r>
              <w:rPr/>
              <w:t>​</w:t>
            </w:r>
          </w:p>
        </w:tc>
        <w:tc>
          <w:tcPr>
            <w:tcW w:w="2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Anhui, PRC, April 2021</w:t>
            </w:r>
          </w:p>
        </w:tc>
      </w:tr>
      <w:tr>
        <w:trPr/>
        <w:tc>
          <w:tcPr>
            <w:tcW w:w="7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Anhui NIO Data Technology Co., Ltd. (“Anhui NIO DT”)</w:t>
            </w:r>
          </w:p>
        </w:tc>
        <w:tc>
          <w:tcPr>
            <w:tcW w:w="326" w:type="dxa"/>
            <w:tcBorders/>
            <w:vAlign w:val="center"/>
          </w:tcPr>
          <w:p>
            <w:pPr>
              <w:pStyle w:val="TableContents"/>
              <w:bidi w:val="0"/>
              <w:spacing w:before="0" w:after="1"/>
              <w:ind w:left="0" w:right="0" w:hanging="0"/>
              <w:jc w:val="left"/>
              <w:rPr/>
            </w:pPr>
            <w:r>
              <w:rPr/>
              <w:t>​</w:t>
            </w:r>
          </w:p>
        </w:tc>
        <w:tc>
          <w:tcPr>
            <w:tcW w:w="24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Anhui, PRC, October 2022</w:t>
            </w:r>
          </w:p>
        </w:tc>
      </w:tr>
      <w:tr>
        <w:trPr/>
        <w:tc>
          <w:tcPr>
            <w:tcW w:w="7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Insurance Broker Co., Ltd. (“NIO IB”) (formerly known as Huiding Insurance Broker Co., Ltd.)</w:t>
            </w:r>
          </w:p>
        </w:tc>
        <w:tc>
          <w:tcPr>
            <w:tcW w:w="326" w:type="dxa"/>
            <w:tcBorders/>
            <w:shd w:fill="CCEEFF" w:val="clear"/>
            <w:vAlign w:val="center"/>
          </w:tcPr>
          <w:p>
            <w:pPr>
              <w:pStyle w:val="TableContents"/>
              <w:bidi w:val="0"/>
              <w:spacing w:before="0" w:after="1"/>
              <w:ind w:left="0" w:right="0" w:hanging="0"/>
              <w:jc w:val="left"/>
              <w:rPr/>
            </w:pPr>
            <w:r>
              <w:rPr/>
              <w:t>​</w:t>
            </w:r>
          </w:p>
        </w:tc>
        <w:tc>
          <w:tcPr>
            <w:tcW w:w="2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Anhui, PRC, January 2023</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Note (a) - NIO China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2023 and 2024, the Company held 92.114% and 89.02%, respectively, of total paid-in capital of NIO China. In accordance with NIO China’s share purchase agreements, the redemption of the non-controlling interests is at the holders of non-controlling interests’ option and is upon the occurrence of the events that are not solely within the control of the Company. Therefore, these redeemable non-controlling interests in NIO China were classified as mezzanine equity and are subsequently accreted to the redemption price using the agreed interest rate as a reduction of additional paid in capital (Note 20). With the redemption feature of the non-controlling interests, the Company is considered to effectively have 100% equity interest of NIO China as of December 31, 2023 and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Note (b) - PE CNHC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2023 and December 31, 2024, the Company held 100% and 90.91% of total paid-in capital of PE CNHC, respectively. In May 2024, the Group entered into several agreements with the holders of non-controlling interests, including a share purchase agreement of PE CNHC. In accordance with the share purchase agreement, the redemption of the non-controlling interests is at the holders of non-controlling interests’ option and is upon the occurrence of the events that are not solely within the control of the Company. Therefore, these redeemable non-controlling interests in PE CNHC were classified as mezzanine equity and are subsequently accreted to the redemption price using the agreed interest rate as a reduction of additional paid in capital (Note 20). With the redemption feature of the non-controlling interests, the Company is considered to effectively have 100% equity interest of PE CNHC as of December 31, 2024.</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Variable interest entities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Prime Hubs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October 2014, Prime Hubs, a British Virgin Islands (“BVI”) incorporated company, was established by Li Bin, a shareholder of the Group, to facilitate the adoption of the Company’s employee stock incentive plans on behalf of the Company. The Company entered into a management agreement with Prime Hubs and Li Bin. The agreement enables the Company to direct the activities that most significantly impact Prime Hubs’s economic performance and enable the Company to obtain substantially all of the economic benefits arising from Prime Hubs. As of December 31, 2023 and 2024, Prime Hubs held 4,250,002 Class A Ordinary Shares of the Company, respectively, other than which, Prime Hubs did not have any operations, nor any material assets or liabilities. All restricted shares granted under the Company’s Prime Hubs Restricted Shares Plan have been fully vested.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Beijing NIO</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April 2018, the Group entered into a series of contractual arrangements with Beijing NIO and its individual shareholders (the “Nominee Shareholders”), including, among others, an exclusive business cooperation agreement, a loan agreement, an equity pledge agreement, an exclusive call option agreement and a power of attorney, which enable the Company to direct the activities that most significantly impact Beijing NIO’s economic performance and obtain substantially all of the economic benefits arising from Beijing NIO. Management concluded that Beijing NIO is a variable interest entity and the Company is the ultimate primary beneficiary of Beijing NIO and hence consolidates the financial results of Beijing NIO. The Group operates value-added telecommunication services, including without limitation, performing internet information services, as well as holding certain related licenses, through Beijing NIO. For the years ended December 31, 2022, 2023 and 2024, the financial position, result of operations and cash flow activities of Beijing NIO were immaterial to the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Anhui NIO AT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April 2021, Anhui NIO AT, was established by individual shareholders (the “Nominee Shareholders”). Anhui NIO AD entered into a management agreement with Nominee Shareholders. The agreement enables the Company to direct the activities that most significantly impact Anhui NIO AT’s economic performance, and enabled the Company to obtain substantially all of the economic benefits arising from them. Management concluded that Anhui NIO AT is a variable interest entity and the Company is the ultimate primary beneficiary of Anhui NIO AT and hence consolidates the financial results of Anhui NIO AT. In November 2022, concurrent with the termination of the said management agreement, the Group entered into a series of contractual arrangements with the Nominee Shareholders as well as Anhui NIO AT, including, among others, an exclusive business cooperation agreement, a loan agreement, an equity pledge agreement, an exclusive call option agreement and a power of attorney. These agreements enable the Company to direct the activities that most significantly impact Anhui NIO AT’s economic performance and enable the Company to obtain substantially all of the economic benefits arising from Anhui NIO AT. Management concluded that Anhui NIO AT continues to be a variable interest entity and the Company remains as the ultimate primary beneficiary of Anhui NIO AT. Therefore, the Group continues to consolidate the financial results of Anhui NIO AT’s financial statements. The Group intends to obtain requisite licenses for certain supporting functions during the development of autonomous driving technology through Anhui NIO AT. For the years ended December 31, 2022, 2023 and 2024, the financial position, result of operations and cash flow activities of Anhui NIO AT were immaterial to the consolidated financial statements.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Anhui NIO DT and NIO IB</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October 2022, the Group entered into a series of contractual arrangements with Anhui NIO DT and its individual shareholders (the “Nominee Shareholders”), including, among others, an exclusive business cooperation agreement, a loan agreement, an equity pledge agreement, an exclusive call option agreement and a power of attorney, which enable the Group to direct the activities that most significantly impact Anhui NIO DT’s economic performance and obtain substantially all of the economic benefits arising from Anhui NIO DT. Management concluded that Anhui NIO DT is a variable interest entity and the Company is the ultimate primary beneficiary of Anhui NIO DT and hence consolidates the financial results of Anhui NIO DT in the Group’s consolidated financial statements. In January 2023, Anhui NIO DT acquired NIO IB. NIO IB was a company holding the insurance brokerage license and does not meet the criteria necessary to be defined as a business under US GAAP. Accordingly, the Group accounted for this transaction as an asset acquisition. The Group provides insurance brokerage services which are mainly vehicle-related and property-related and holds requisite licenses through Anhui NIO DT and NIO IB. For the years ended December 31, 2023 and 2024, the financial position, result of operations and cash flow activities of Anhui NIO DT and NIO IB were immaterial to the consolidated financial statements.</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Liquidity and Going Concern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Group’s consolidated financial statements have been prepared on a going concern basis.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Group has been incurring losses from operations since inception. The Group incurred net losses of RMB14.4 billion, RMB20.7 billion and RMB22.4 billion, and operating cash outflow of RMB3.9 billion, RMB1.4 billion and RMB7.8 billion, for the years ended December 31, 2022, 2023 and 2024, respectively. The Group’s accumulated deficit amounted to RMB90.8 billion and RMB113.1 billion as of December 31, 2023 and 2024, respectively. As of December 31, 2024, the Group’s current liabilities exceeded current assets in the amount of RMB0.4 billion. As of December 31, 2024, the Group’s balances of cash and cash equivalents, restricted cash and short-term investment totaled RMB41.8 billion, and the Group had trade and notes payable of RMB34.4 billion, accruals and other liabilities of RMB16.0 billion, and outstanding borrowing of RMB9.1 billion due in the next 12 months.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Therefore, the Group’s ability to continue as a going concern is largely dependent on the successful implementation of management’s business plan to mitigate these adverse conditions, which includes growing the Group’s revenue by increasing sales volume of electric vehicles, maintaining a reasonable working capital turnover rate by managing collection of receivables and settlement of payables, and raising funds from banks under available credit quotas and other sources when needed. Management has prepared a cash flows forecast covering the twelve months from the date of issuance of the consolidated financial statements after giving consideration to its business plan as noted above and the evaluation of the probability of the successful implementation of such business plan. Management has concluded it is probable that the business plan will be effectively implemented, and the Group’s available cash and cash equivalents, restricted cash and short-term investments, cash generated from operating activities and funds from available credit quotas and other sources will be sufficient to support its continuous operations and necessary capital expenditures, and to meet its payment obligations when liabilities fall due within the twelve months from the date of issuance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pBdr/>
        <w:bidi w:val="0"/>
        <w:spacing w:before="0" w:after="240"/>
        <w:ind w:left="0" w:right="0" w:hanging="72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pBdr/>
        <w:bidi w:val="0"/>
        <w:spacing w:before="0" w:after="240"/>
        <w:ind w:left="360" w:right="0" w:hanging="720"/>
        <w:jc w:val="left"/>
        <w:rPr>
          <w:rFonts w:ascii="Times New Roman;Times;serif" w:hAnsi="Times New Roman;Times;serif"/>
          <w:b/>
          <w:i/>
          <w:sz w:val="20"/>
        </w:rPr>
      </w:pPr>
      <w:r>
        <w:rPr>
          <w:rFonts w:ascii="Times New Roman;Times;serif" w:hAnsi="Times New Roman;Times;serif"/>
          <w:b/>
          <w:i/>
          <w:sz w:val="20"/>
        </w:rPr>
        <w:t>(a) Basis of presentation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consolidated financial statements of the Group have been prepared in accordance with accounting principles generally accepted in the United States of America (“US GAAP”). Significant accounting policies followed by the Group in the preparation of the accompanying consolidated financial statements are summarized below.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(b) Principles of consolidation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consolidated financial statements include the financial statements of the Company, its subsidiaries and the VIEs for which the Company is the ultimate primary beneficiary.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subsidiary is an entity in which the Company, directly or indirectly, controls more than one half of the voting power; has the power to appoint or remove the majority of the members of the board of directors (the “Board”); to cast majority of votes at the meeting of the Board or to govern the financial and operating policies of the investee under a statute or agreement among the shareholders or equity 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applies the guidance under Accounting Standard Codification 810, Consolidations (“ASC 810”) on accounting for the VIEs. A VIE is an entity with one or more of the following characteristics: (a) the total equity investment at risk is not sufficient to permit the entity to finance its activities without additional financial support; (b) as a group, the holders of the equity investment at risk lack the ability to make certain decisions, the obligation to absorb expected losses or the right to receive expected residual returns, or (c) an equity investor has voting rights that are disproportionate to its economic interest and substantially all of the entity’s activities are on behalf of the investor. ASC 810 requires variable interest entities to be consolidated by the primary beneficiary which has a controlling financial interest of variable interest entities. The Company is considered as the primary beneficiary of the VIEs and thus consolidates the financial statements each of these entities under U.S. GAAP.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All significant transactions and balances between the Company, its subsidiaries and the VIEs have been eliminated upon consolidation. The non-controlling interests in consolidated subsidiaries are shown separately in the consolidated financial statements.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(c) Use of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the consolidated financial statements in conformity with U.S. GAAP requires management to make estimates and assumptions that affect the reported amounts of assets and liabilities, related disclosures of contingent assets and liabilities at the balance sheet date, and the reported revenue and expenses during the reported period in the consolidated financial statements and accompanying notes. Significant accounting estimates reflected in the Group’s consolidated financial statements mainly include, but are not limited to, warranty liabilities, determination of standalone selling price regarding multiple performance obligations, fair value of available-for-sale debt security investments and equity securities using fair value option investments, lower of cost and net realizable value of inventories, inventory valuation for excess and obsolete inventories, losses on purchase commitments, allowance for current expected credit loss, depreciable lives of property, equipment and software, subsequent measurement of equity securities measured under measurement alternatives, assessment for impairment of long-lived assets, valuation of deferred tax assets, valuation and recognition of share-based compensation, fair value of short-term investments, discount rate of lease liabilities, current or non-current classification of receivable. Actual results could differ from those estimates.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(d) Functional currency and foreign currency translation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reporting currency is the Renminbi (“RMB”). The functional currency of the Company and its subsidiaries which are incorporated in HK is United States dollars (“US$”), except NIO Sport which operates mainly in United Kingdom and uses Great Britain pounds (“GBP”). The functional currencies of the other subsidiaries and the VIEs are their respective local currencies. The determination of the respective functional currency is based on the criteria set out by ASC 830, Foreign Currency Matters.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Transactions denominated in currencies other than in the functional currency are translated into the functional currency using the exchange rates prevailing at the transaction dates. Monetary assets and liabilities denominated in foreign currencies are translated into functional currency using the applicable exchange rates at the balance sheet date. Non-monetary items that are measured in terms of historical cost in foreign currency are re-measured using the exchange rates at the dates of the initial transactions. Exchange gains or losses arising from foreign currency transactions are included in the consolidated statements of comprehensive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financial statements of the Group’s entities of which the functional currency is not RMB are translated from their respective functional currency into RMB. Assets and liabilities denominated in foreign currencies are translated into RMB at the exchange rates at the balance sheet date. Equity accounts other than earnings generated in current period are translated into RMB at the appropriate historical rates. Income and expense items are translated into RMB using the periodic average exchange rates. The resulting foreign currency translation adjustments are recorded in other comprehensive loss in the consolidated statements of comprehensive income or loss, and the accumulated foreign currency translation adjustments are presented as a component of accumulated other comprehensive loss in the consolidated statements of shareholders’ equity. Total foreign currency translation adjustment income were RMB717,274, RMB11,514 and RMB149,668 for the years ended December 31, 2022, 2023 and 2024, respectively. The grant-date fair value of the Group’s share-based compensation expenses is reported in US$ as the respective valuation is conducted in US$ and the shares are denominated in US$.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(e) Convenience translation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Translations of balances in the consolidated balance sheets, consolidated statements of comprehensive loss and consolidated statements of cash flows from RMB into US$ as of and for the years ended December 31, 2024 are solely for the convenience of the reader and were calculated at the rate of US$1.00 = RMB7.2993, representing the noon buying rate in The City of New York for cable transfers of RMB as certified for customs purposes by the Federal Reserve Bank of New York on December 31, 2024. No representation is made that the RMB amounts represent or could have been, or could be, converted, realized or settled into US$ at that rate on, or December 31, 2024, or at any other rate.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(f) Fair value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either recorded or disclosed at fair value, the Group considers the principal or most advantageous market in which it would transact, and it also considers assumptions that market participants would use when pricing the asset or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Level 1 — Quoted prices (unadjusted) in active markets for identical assets or liabilities.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Level 2 — Observable, market-based inputs, other than quoted prices, in active markets for identical assets or liabilities.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Level 3 — Unobservable inputs to the valuation methodology that are significant to the measurement of the fair value of the assets or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disclosed in Note 2(n), the Group’s equity securities with readily determinable fair values are carried at fair value using quoted market prices that currently available on a securities exchange and are classified within Level 1.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investments in money market funds, financial products issued by banks and certain retained asset-backed securities are carried at fair value, which are classified within Level 2 and valued using directly or indirectly observable inputs in the market place. As of December 31, 2023 and 2024, such investments aggregately amounted to RMB8,473,612 and RMB6,109,606,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disclosed in Note 2(q), the Group’s derivative instruments are carried at fair value, which are classified within Level 2 and valued using indirectly observable inputs in the market place.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bookmarkStart w:id="1312" w:name="Tc_N3ko1h_RLES88j5Ygq5Jxw_6_0"/>
      <w:bookmarkStart w:id="1313" w:name="Tc_9sDtUuQaGUaBUvPx53xR6Q_5_0"/>
      <w:bookmarkStart w:id="1314" w:name="Tc_q3RqZlXrY0yVOpU-4rViJw_4_0"/>
      <w:bookmarkStart w:id="1315" w:name="Tc_HeGurCsczUO9pnrZzZg6Zg_3_0"/>
      <w:bookmarkStart w:id="1316" w:name="Tc_gBCH5tOTUE2BPJ7JYnhGhA_2_4"/>
      <w:bookmarkStart w:id="1317" w:name="Tc_UtzMS-b2HU6ucsiqjC7Ktg_2_2"/>
      <w:bookmarkStart w:id="1318" w:name="Tc_L-C7Vf2etUSw_TXvTFbCxg_1_4"/>
      <w:bookmarkStart w:id="1319" w:name="Tc_94mBCxMCAUaDn6Dl4Zd0aw_1_2"/>
      <w:bookmarkEnd w:id="1312"/>
      <w:bookmarkEnd w:id="1313"/>
      <w:bookmarkEnd w:id="1314"/>
      <w:bookmarkEnd w:id="1315"/>
      <w:bookmarkEnd w:id="1316"/>
      <w:bookmarkEnd w:id="1317"/>
      <w:bookmarkEnd w:id="1318"/>
      <w:bookmarkEnd w:id="1319"/>
      <w:r>
        <w:rPr>
          <w:rFonts w:ascii="Times New Roman;Times;serif" w:hAnsi="Times New Roman;Times;serif"/>
          <w:sz w:val="20"/>
        </w:rPr>
        <w:t xml:space="preserve">As disclosed in Note 9, the Group’s available-for-sale debt security investments include investments the Group made in private companies which contains substantive redemption and preferential rights. The Group’s equity securities investments measured using fair value option include an investment the Group made in a private company which contains certain preferential rights. Such investments are classified within Level 3 for fair value measurement. As of December 31, 2023 and 2024, the carrying value of the investments were RMB1,648,861 and RMB1,277,068, respectively. The Group re-measured the respective fair values using a market approach by adopting a backsolve method, which determined the estimated fair value of the investments through comparison to a recent transaction and applied significant unobservable inputs and assumptions. For the years ended December 31, 2022, 2023 and 2024, RMB746,336, nil and nil, respectively, of fair value changes, net of tax, were recorded in </w:t>
      </w:r>
      <w:r>
        <w:rPr>
          <w:rFonts w:ascii="Times New Roman;Times;serif" w:hAnsi="Times New Roman;Times;serif"/>
          <w:b w:val="false"/>
          <w:i w:val="false"/>
          <w:caps w:val="false"/>
          <w:smallCaps w:val="false"/>
          <w:sz w:val="20"/>
        </w:rPr>
        <w:t>other comprehensive income</w:t>
      </w:r>
      <w:r>
        <w:rPr>
          <w:rFonts w:ascii="Times New Roman;Times;serif" w:hAnsi="Times New Roman;Times;serif"/>
          <w:sz w:val="20"/>
        </w:rPr>
        <w:t xml:space="preserve">, in the case of available-for-sale debt security investments, and RMB nil, nil and RMB425,711, respectively, of fair value changes, were recorded in investment income/(loss), in the case of equity securities investments using fair value option. The significant unobservable inputs adopted in the valuation as of December 31, 2023 and December 31, 2024 are as follows: </w:t>
      </w:r>
    </w:p>
    <w:p>
      <w:pPr>
        <w:pStyle w:val="TextBody"/>
        <w:bidi w:val="0"/>
        <w:spacing w:before="0" w:after="0"/>
        <w:ind w:left="0" w:right="0" w:hanging="0"/>
        <w:jc w:val="left"/>
        <w:rPr/>
      </w:pPr>
      <w:r>
        <w:rPr/>
        <w:t>​</w:t>
      </w:r>
    </w:p>
    <w:tbl>
      <w:tblPr>
        <w:tblW w:w="7915" w:type="dxa"/>
        <w:jc w:val="left"/>
        <w:tblInd w:w="0" w:type="dxa"/>
        <w:tblLayout w:type="fixed"/>
        <w:tblCellMar>
          <w:top w:w="0" w:type="dxa"/>
          <w:left w:w="0" w:type="dxa"/>
          <w:bottom w:w="0" w:type="dxa"/>
          <w:right w:w="0" w:type="dxa"/>
        </w:tblCellMar>
      </w:tblPr>
      <w:tblGrid>
        <w:gridCol w:w="1786"/>
        <w:gridCol w:w="326"/>
        <w:gridCol w:w="2716"/>
        <w:gridCol w:w="326"/>
        <w:gridCol w:w="2761"/>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134110" cy="175260"/>
                      <wp:effectExtent l="0" t="0" r="0" b="0"/>
                      <wp:wrapNone/>
                      <wp:docPr id="228" name="Frame225"/>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29"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724660" cy="175260"/>
                      <wp:effectExtent l="0" t="0" r="0" b="0"/>
                      <wp:wrapNone/>
                      <wp:docPr id="230" name="Frame227"/>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1"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753235" cy="175260"/>
                      <wp:effectExtent l="0" t="0" r="0" b="0"/>
                      <wp:wrapNone/>
                      <wp:docPr id="232" name="Frame229"/>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326" w:type="dxa"/>
            <w:tcBorders/>
            <w:vAlign w:val="center"/>
          </w:tcPr>
          <w:p>
            <w:pPr>
              <w:pStyle w:val="TableContents"/>
              <w:bidi w:val="0"/>
              <w:spacing w:before="0" w:after="1"/>
              <w:ind w:left="0" w:right="0" w:hanging="0"/>
              <w:jc w:val="left"/>
              <w:rPr/>
            </w:pPr>
            <w:r>
              <w:rPr/>
              <w:t>​</w:t>
            </w:r>
          </w:p>
        </w:tc>
        <w:tc>
          <w:tcPr>
            <w:tcW w:w="27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Unobservable Input</w:t>
            </w:r>
          </w:p>
        </w:tc>
        <w:tc>
          <w:tcPr>
            <w:tcW w:w="326" w:type="dxa"/>
            <w:tcBorders/>
            <w:shd w:fill="CCEEFF" w:val="clear"/>
            <w:vAlign w:val="center"/>
          </w:tcPr>
          <w:p>
            <w:pPr>
              <w:pStyle w:val="TableContents"/>
              <w:bidi w:val="0"/>
              <w:spacing w:before="0" w:after="1"/>
              <w:ind w:left="0" w:right="0" w:hanging="0"/>
              <w:jc w:val="left"/>
              <w:rPr/>
            </w:pPr>
            <w:r>
              <w:rPr/>
              <w:t>    </w:t>
            </w:r>
          </w:p>
        </w:tc>
        <w:tc>
          <w:tcPr>
            <w:tcW w:w="271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761" w:type="dxa"/>
            <w:tcBorders/>
            <w:shd w:fill="CCEEFF" w:val="clear"/>
            <w:vAlign w:val="center"/>
          </w:tcPr>
          <w:p>
            <w:pPr>
              <w:pStyle w:val="TableContents"/>
              <w:bidi w:val="0"/>
              <w:spacing w:before="0" w:after="1"/>
              <w:ind w:left="0" w:right="0" w:hanging="0"/>
              <w:jc w:val="left"/>
              <w:rPr/>
            </w:pPr>
            <w:r>
              <w:rPr/>
              <w:t> </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vAlign w:val="center"/>
          </w:tcPr>
          <w:p>
            <w:pPr>
              <w:pStyle w:val="TableContents"/>
              <w:bidi w:val="0"/>
              <w:spacing w:before="0" w:after="1"/>
              <w:ind w:left="0" w:right="0" w:hanging="0"/>
              <w:jc w:val="left"/>
              <w:rPr/>
            </w:pPr>
            <w:r>
              <w:rPr/>
              <w:t> </w:t>
            </w:r>
          </w:p>
        </w:tc>
        <w:tc>
          <w:tcPr>
            <w:tcW w:w="27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44%-51%</w:t>
            </w:r>
          </w:p>
        </w:tc>
        <w:tc>
          <w:tcPr>
            <w:tcW w:w="326" w:type="dxa"/>
            <w:tcBorders/>
            <w:vAlign w:val="center"/>
          </w:tcPr>
          <w:p>
            <w:pPr>
              <w:pStyle w:val="TableContents"/>
              <w:bidi w:val="0"/>
              <w:spacing w:before="0" w:after="1"/>
              <w:ind w:left="0" w:right="0" w:hanging="0"/>
              <w:jc w:val="left"/>
              <w:rPr/>
            </w:pPr>
            <w:r>
              <w:rPr/>
              <w:t> </w:t>
            </w:r>
          </w:p>
        </w:tc>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49%-52%</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Probability</w:t>
            </w:r>
          </w:p>
        </w:tc>
        <w:tc>
          <w:tcPr>
            <w:tcW w:w="326" w:type="dxa"/>
            <w:tcBorders/>
            <w:shd w:fill="CCEEFF" w:val="clear"/>
            <w:vAlign w:val="center"/>
          </w:tcPr>
          <w:p>
            <w:pPr>
              <w:pStyle w:val="TableContents"/>
              <w:bidi w:val="0"/>
              <w:spacing w:before="0" w:after="1"/>
              <w:ind w:left="0" w:right="0" w:hanging="0"/>
              <w:jc w:val="left"/>
              <w:rPr/>
            </w:pPr>
            <w:r>
              <w:rPr/>
              <w:t> </w:t>
            </w:r>
          </w:p>
        </w:tc>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Liquidation scenario: 35%-40%</w:t>
              <w:br/>
              <w:t>Redemption scenario: 0%-35%</w:t>
              <w:br/>
              <w:t>IPO scenario: 30%-60%</w:t>
            </w:r>
          </w:p>
        </w:tc>
        <w:tc>
          <w:tcPr>
            <w:tcW w:w="326" w:type="dxa"/>
            <w:tcBorders/>
            <w:shd w:fill="CCEEFF" w:val="clear"/>
            <w:vAlign w:val="center"/>
          </w:tcPr>
          <w:p>
            <w:pPr>
              <w:pStyle w:val="TableContents"/>
              <w:bidi w:val="0"/>
              <w:spacing w:before="0" w:after="1"/>
              <w:ind w:left="0" w:right="0" w:hanging="0"/>
              <w:jc w:val="left"/>
              <w:rPr/>
            </w:pPr>
            <w:r>
              <w:rPr/>
              <w:t> </w:t>
            </w:r>
          </w:p>
        </w:tc>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Liquidation scenario: 20%-43%</w:t>
              <w:br/>
              <w:t>Redemption scenario: 0%-43%</w:t>
              <w:br/>
              <w:t>IPO scenario: 15%-80%</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disclosed in Note 20, the warrants issued by PE CNHC in May 2024 are not traded in an active securities market. As such, the Company estimated its fair value using the binomial option pricing model as of December 31, 2024 using the assumptions including fair value per share, dividend yield, time to maturity, risk free interest rate and expected volatility. As of December 31, 2024, the carrying value of the warrant was not material.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Financial assets and liabilities of the Group primarily consist of cash and cash equivalents, restricted cash, short-term investments, trade receivable, amounts due from related parties, deposits and other receivables, available-for-sale debt security investments, retained asset-backed securities, trade and notes payable, amounts due to related parties, other payables, derivative instruments, short-term borrowings, lease liabilities and long-term borrowings. As of December 31, 2023 and 2024, other than as discussed above, the carrying values of these financial instruments approximated to their respective fair values.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(g) Cash, cash equivalents and restricted cash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and cash equivalents represent cash at hand, time deposits and highly-liquid investments placed with banks or other financial institutions, which are unrestricted as to withdrawal and use, and which have original maturities of three months or less.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which is restricted to withdrawal for use or pledged as security is reported separately on the face of the consolidated balance sheets. The Group’s restricted cash mainly represents (a) secured deposits held in designated bank accounts for corporate bank credit cards, bank acceptance notes, letter of credit and letters of guarantee; and (b) time deposits that are pledged for property leases. The restricted cash is classified according to the contractual term of the restriction imposed.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Cash, cash equivalents and restricted cash as reported in the consolidated statements of cash flows are presented separately on our consolidated balance sheets as follows:</w:t>
      </w:r>
    </w:p>
    <w:p>
      <w:pPr>
        <w:pStyle w:val="TextBody"/>
        <w:bidi w:val="0"/>
        <w:spacing w:before="0" w:after="240"/>
        <w:ind w:left="0" w:right="0" w:firstLine="360"/>
        <w:jc w:val="both"/>
        <w:rPr/>
      </w:pPr>
      <w:r>
        <w:rPr/>
        <w:t>​</w:t>
      </w:r>
    </w:p>
    <w:tbl>
      <w:tblPr>
        <w:tblW w:w="5245" w:type="dxa"/>
        <w:jc w:val="left"/>
        <w:tblInd w:w="0" w:type="dxa"/>
        <w:tblLayout w:type="fixed"/>
        <w:tblCellMar>
          <w:top w:w="0" w:type="dxa"/>
          <w:left w:w="0" w:type="dxa"/>
          <w:bottom w:w="0" w:type="dxa"/>
          <w:right w:w="0" w:type="dxa"/>
        </w:tblCellMar>
      </w:tblPr>
      <w:tblGrid>
        <w:gridCol w:w="2266"/>
        <w:gridCol w:w="326"/>
        <w:gridCol w:w="1141"/>
        <w:gridCol w:w="326"/>
        <w:gridCol w:w="1186"/>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438910" cy="175260"/>
                      <wp:effectExtent l="0" t="0" r="0" b="0"/>
                      <wp:wrapNone/>
                      <wp:docPr id="233" name="Frame230"/>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34"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724535" cy="175260"/>
                      <wp:effectExtent l="0" t="0" r="0" b="0"/>
                      <wp:wrapNone/>
                      <wp:docPr id="235" name="Frame23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36"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753110" cy="175260"/>
                      <wp:effectExtent l="0" t="0" r="0" b="0"/>
                      <wp:wrapNone/>
                      <wp:docPr id="237" name="Frame23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32,935,111</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19,328,920</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5,542,271</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8,320,728</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restricted cash</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144,125</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97,720</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38,621,507</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27,747,368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360" w:right="0" w:hanging="0"/>
        <w:jc w:val="left"/>
        <w:rPr>
          <w:rFonts w:ascii="Times New Roman;Times;serif" w:hAnsi="Times New Roman;Times;serif"/>
          <w:b/>
          <w:i/>
          <w:sz w:val="20"/>
        </w:rPr>
      </w:pPr>
      <w:bookmarkStart w:id="1320" w:name="Tc_le_Tt8rEjkWksts88jvWmg_9_5"/>
      <w:bookmarkStart w:id="1321" w:name="Tc__85rPRuR0Ey5n03vtPcZVg_9_0"/>
      <w:bookmarkStart w:id="1322" w:name="Tc_CSxsahcGUUGoUogPtArywQ_8_0"/>
      <w:bookmarkStart w:id="1323" w:name="Tc_si2VVxTsMU2Y3g6au4LTBw_7_5"/>
      <w:bookmarkStart w:id="1324" w:name="Tc_c8U9mZ_iZkqpvNE6nJ9G1g_7_0"/>
      <w:bookmarkStart w:id="1325" w:name="Tc_6lVYmyee60qetdVb_Dc6WQ_6_5"/>
      <w:bookmarkStart w:id="1326" w:name="Tc_PnluClZziUS7j2QBlfw7kg_6_0"/>
      <w:bookmarkStart w:id="1327" w:name="Tc_p_5JYP1Be02h_GXdW2elQQ_5_5"/>
      <w:bookmarkStart w:id="1328" w:name="Tc_l27yZqY-KUCnyjXQ7HrgZw_5_0"/>
      <w:bookmarkStart w:id="1329" w:name="Tc_wzA5FxTenE6w893ED9KPpw_4_0"/>
      <w:bookmarkStart w:id="1330" w:name="Tc_x_Wpmco7m0-wW_Qi_9ctNw_3_6"/>
      <w:bookmarkStart w:id="1331" w:name="Tc_LuCPHayjZ0qAM90NI75WPw_3_4"/>
      <w:bookmarkStart w:id="1332" w:name="Tc_VZtF1J4jCkSkgVnRdoB0dg_3_2"/>
      <w:bookmarkStart w:id="1333" w:name="Tc_sf-9pwd51kavfQpIrgZKZQ_2_6"/>
      <w:bookmarkStart w:id="1334" w:name="Tc_02zbe72DU02xAXeUzt5Znw_2_4"/>
      <w:bookmarkStart w:id="1335" w:name="Tc_UorrbcEtsEG-6jT49lYA4A_2_2"/>
      <w:bookmarkStart w:id="1336" w:name="Tc_3GTMK1KVyEyHxFol9cgACw_1_6"/>
      <w:bookmarkStart w:id="1337" w:name="Tc_nqVeE4FAl0uKTQam_KN3Mg_1_4"/>
      <w:bookmarkStart w:id="1338" w:name="_f2f82c93_e664_4648_92ff_64b4e2c9a903"/>
      <w:bookmarkStart w:id="1339" w:name="Tc_YlBrMy7ss0CEBVgoGiyPcw_9_5"/>
      <w:bookmarkStart w:id="1340" w:name="Tc_1drpST2NIkmd5_jOaVivAA_9_0"/>
      <w:bookmarkStart w:id="1341" w:name="Tc_6lNjLu1v70qnX5UcwpgGwA_8_0"/>
      <w:bookmarkStart w:id="1342" w:name="Tc_iNbqgdomh0eKcgzFpcQNvQ_7_5"/>
      <w:bookmarkStart w:id="1343" w:name="Tc_SfPOBahrQkq4sRIy32ww-w_7_0"/>
      <w:bookmarkStart w:id="1344" w:name="Tc_ni7z7Ef8HU-mqnLtfqgmFQ_6_5"/>
      <w:bookmarkStart w:id="1345" w:name="Tc_MlAyGZ_NHkOmKWME3-5eYA_6_0"/>
      <w:bookmarkStart w:id="1346" w:name="Tc_pOHawmGAV026mgq9B3wooA_5_5"/>
      <w:bookmarkStart w:id="1347" w:name="Tc_tz5CxE3icEy43-Sd0gaj8w_5_0"/>
      <w:bookmarkStart w:id="1348" w:name="Tc_FOf6EvCOAkS5hSapnMabkA_4_0"/>
      <w:bookmarkStart w:id="1349" w:name="Tc_OyPGusDW3USCYpxwhlWiYQ_3_6"/>
      <w:bookmarkStart w:id="1350" w:name="Tc_mzRBZ41fVEye0_ULpLyH1w_3_4"/>
      <w:bookmarkStart w:id="1351" w:name="Tc_HHJennyfaUaRCp_oxm7cbw_3_2"/>
      <w:bookmarkStart w:id="1352" w:name="Tc_qYFq5Cz_fkCtum-49SvC8A_2_6"/>
      <w:bookmarkStart w:id="1353" w:name="Tc_gEFrTgYTC0SOlwEhSEGHeg_2_4"/>
      <w:bookmarkStart w:id="1354" w:name="Tc_Rg6Z8eLAHEW6YqcO5WyzJg_2_2"/>
      <w:bookmarkStart w:id="1355" w:name="Tc_n4RxdbAaRU6tuvYvKJQ7Ng_1_6"/>
      <w:bookmarkStart w:id="1356" w:name="Tc_ox46Btjxu0SmdudbkMN3XQ_1_4"/>
      <w:bookmarkStart w:id="1357" w:name="_e34da708_54da_4846_9f32_49e868fbf15d"/>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r>
        <w:rPr>
          <w:rFonts w:ascii="Times New Roman;Times;serif" w:hAnsi="Times New Roman;Times;serif"/>
          <w:b/>
          <w:i/>
          <w:sz w:val="20"/>
        </w:rPr>
        <w:t>(h) Short-term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Short-term investments consist primarily of investments in fixed deposits with maturities between three months and one year, which are stated at amortised cost, and investments in money market funds and financial products issued by banks, which are measured at fair value. As of December 31, 2023 and 2024, the short-term investments amounted to RMB16,810,107 and RMB14,137,566, respectively, among which, RMB11,520,514 and RMB11,372,254, were restricted as collateral for notes payable and letter of guarantee as of December 31, 2023 and December 31, 2024, respectively.</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(i) Expected credit losses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trade and notes receivable, receivables of installment payments, deposits and other receivables are within the scope of ASC Topic 326. The Group has identified the relevant risk characteristics of its customers and the related receivables, deposits and other receivables which include size, type of the services or the products the Group provides, or a combination of these characteristics. Receivables with similar risk characteristics have been grouped into pools. For each pool, the Group considers the historical credit loss experience, current economic conditions, supportable forecasts of future economic conditions, and any recoveries in assessing the lifetime expected credit losses. Other key factors that influence the expected credit loss analysis include customer demographics, payment terms offered in the normal course of business to customers, and industry-specific factors that could impact the Group’s receivables. Additionally, external data and macroeconomic factors are also considered. This is assessed at each quarter based on the Group’s specific facts and circumstances.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years ended December 31, 2022, 2023 and 2024, the Group recorded RMB48,707, reversed RMB26,315 and RMB3,761 in expected credit loss provisions in selling, general and administrative expenses, respectively. As of December 31, 2024, the expected credit loss reserve for current and non-current assets are RMB50,594 and RMB59,386, respectively. As of December 31, 2023, the expected credit loss reserve for current and non - current assets are RMB60,384 and RMB53,357,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Balance as at December 31, 2023</w:t>
      </w:r>
    </w:p>
    <w:tbl>
      <w:tblPr>
        <w:tblW w:w="6732" w:type="dxa"/>
        <w:jc w:val="left"/>
        <w:tblInd w:w="0" w:type="dxa"/>
        <w:tblLayout w:type="fixed"/>
        <w:tblCellMar>
          <w:top w:w="0" w:type="dxa"/>
          <w:left w:w="0" w:type="dxa"/>
          <w:bottom w:w="0" w:type="dxa"/>
          <w:right w:w="0" w:type="dxa"/>
        </w:tblCellMar>
      </w:tblPr>
      <w:tblGrid>
        <w:gridCol w:w="3091"/>
        <w:gridCol w:w="326"/>
        <w:gridCol w:w="931"/>
        <w:gridCol w:w="326"/>
        <w:gridCol w:w="826"/>
        <w:gridCol w:w="361"/>
        <w:gridCol w:w="87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962785" cy="175260"/>
                      <wp:effectExtent l="0" t="0" r="0" b="0"/>
                      <wp:wrapNone/>
                      <wp:docPr id="238" name="Frame235"/>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39"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591185" cy="175260"/>
                      <wp:effectExtent l="0" t="0" r="0" b="0"/>
                      <wp:wrapNone/>
                      <wp:docPr id="240" name="Frame2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1"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524510" cy="175260"/>
                      <wp:effectExtent l="0" t="0" r="0" b="0"/>
                      <wp:wrapNone/>
                      <wp:docPr id="242" name="Frame23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29235" cy="175260"/>
                      <wp:effectExtent l="0" t="0" r="0" b="0"/>
                      <wp:wrapNone/>
                      <wp:docPr id="243" name="Frame24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53085" cy="175260"/>
                      <wp:effectExtent l="0" t="0" r="0" b="0"/>
                      <wp:wrapNone/>
                      <wp:docPr id="244" name="Frame24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Expected</w:t>
            </w:r>
          </w:p>
        </w:tc>
        <w:tc>
          <w:tcPr>
            <w:tcW w:w="36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Expected</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Original</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credit loss</w:t>
            </w:r>
          </w:p>
        </w:tc>
        <w:tc>
          <w:tcPr>
            <w:tcW w:w="36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credit loss</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61"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provision</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and notes receivable</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4,703,829</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46,177</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from related parties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1,731,399</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8,796</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Prepayments and other current assets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3,440,174</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5,411</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4,936,918</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53,357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Balance as at December 31, 2024</w:t>
      </w:r>
    </w:p>
    <w:tbl>
      <w:tblPr>
        <w:tblW w:w="6732" w:type="dxa"/>
        <w:jc w:val="left"/>
        <w:tblInd w:w="0" w:type="dxa"/>
        <w:tblLayout w:type="fixed"/>
        <w:tblCellMar>
          <w:top w:w="0" w:type="dxa"/>
          <w:left w:w="0" w:type="dxa"/>
          <w:bottom w:w="0" w:type="dxa"/>
          <w:right w:w="0" w:type="dxa"/>
        </w:tblCellMar>
      </w:tblPr>
      <w:tblGrid>
        <w:gridCol w:w="3091"/>
        <w:gridCol w:w="326"/>
        <w:gridCol w:w="931"/>
        <w:gridCol w:w="326"/>
        <w:gridCol w:w="826"/>
        <w:gridCol w:w="361"/>
        <w:gridCol w:w="87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962785" cy="175260"/>
                      <wp:effectExtent l="0" t="0" r="0" b="0"/>
                      <wp:wrapNone/>
                      <wp:docPr id="245" name="Frame242"/>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46"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91185" cy="175260"/>
                      <wp:effectExtent l="0" t="0" r="0" b="0"/>
                      <wp:wrapNone/>
                      <wp:docPr id="247" name="Frame24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48"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24510" cy="175260"/>
                      <wp:effectExtent l="0" t="0" r="0" b="0"/>
                      <wp:wrapNone/>
                      <wp:docPr id="249" name="Frame24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29235" cy="175260"/>
                      <wp:effectExtent l="0" t="0" r="0" b="0"/>
                      <wp:wrapNone/>
                      <wp:docPr id="250" name="Frame24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553085" cy="175260"/>
                      <wp:effectExtent l="0" t="0" r="0" b="0"/>
                      <wp:wrapNone/>
                      <wp:docPr id="251" name="Frame24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Expected</w:t>
            </w:r>
          </w:p>
        </w:tc>
        <w:tc>
          <w:tcPr>
            <w:tcW w:w="361"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Expected</w: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Original</w:t>
            </w:r>
          </w:p>
        </w:tc>
        <w:tc>
          <w:tcPr>
            <w:tcW w:w="32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credit loss</w:t>
            </w:r>
          </w:p>
        </w:tc>
        <w:tc>
          <w:tcPr>
            <w:tcW w:w="361"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credit loss</w: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61"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provision</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and notes receivable</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1,714,786</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38,540</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due from related parties</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7,712,546</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10,142</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Prepayments and other current assets</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3,634,868</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1,912</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3,632,523</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59,386</w:t>
            </w:r>
          </w:p>
        </w:tc>
      </w:tr>
    </w:tbl>
    <w:p>
      <w:pPr>
        <w:pStyle w:val="TextBody"/>
        <w:bidi w:val="0"/>
        <w:spacing w:before="0" w:after="240"/>
        <w:ind w:left="0" w:right="0" w:firstLine="360"/>
        <w:jc w:val="both"/>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360" w:right="0" w:hanging="0"/>
        <w:jc w:val="left"/>
        <w:rPr>
          <w:rFonts w:ascii="Times New Roman;Times;serif" w:hAnsi="Times New Roman;Times;serif"/>
          <w:b/>
          <w:i/>
          <w:sz w:val="20"/>
        </w:rPr>
      </w:pPr>
      <w:bookmarkStart w:id="1358" w:name="Tc_6XEN3xlcaEOKAGkDPtcguQ_2_0"/>
      <w:bookmarkStart w:id="1359" w:name="Tc_xDhWKJiN4UGqSaH6cxgxTA_1_2"/>
      <w:bookmarkStart w:id="1360" w:name="Tc_mn5m1LuBUUCF7UYZUeo5RA_9_2"/>
      <w:bookmarkStart w:id="1361" w:name="Tc_E_rkHAWhbkiErVCO68PM5w_9_0"/>
      <w:bookmarkStart w:id="1362" w:name="Tc_i1ZAtucc2Ua_UhIwD5KYbQ_8_0"/>
      <w:bookmarkStart w:id="1363" w:name="Tc__NZY8CS-XkKBNIfAIwen4Q_7_2"/>
      <w:bookmarkStart w:id="1364" w:name="Tc_g1Dl5hANBEOzid93AUZegw_7_0"/>
      <w:bookmarkStart w:id="1365" w:name="Tc_HvDG3PCaQECoVyLVFSK4zA_6_2"/>
      <w:bookmarkStart w:id="1366" w:name="Tc_d03nK2XYg0mTzHQgLkBN2A_6_0"/>
      <w:bookmarkStart w:id="1367" w:name="Tc_0UtqRiQ7l0qPmZHrUeQkog_5_0"/>
      <w:bookmarkStart w:id="1368" w:name="Tc_15vWg2-5L02J8JJQMZEaZw_4_2"/>
      <w:bookmarkStart w:id="1369" w:name="Tc_9EIxOye63kG8unv76rTE5g_4_0"/>
      <w:bookmarkStart w:id="1370" w:name="Tc_uEnrioC7CkOWeWvLbrNKAQ_3_2"/>
      <w:bookmarkStart w:id="1371" w:name="Tc_10bDamTI0kWT-lsri9MPiA_3_0"/>
      <w:bookmarkStart w:id="1372" w:name="Tc_MsWR48cz-keCxnY0Hc01_w_2_2"/>
      <w:bookmarkStart w:id="1373" w:name="Tc_Kgixv-ciuUWMT1KoBBPEjw_2_0"/>
      <w:bookmarkStart w:id="1374" w:name="Tc_gE0NkS2_JEadJYRjfC6K4w_1_0"/>
      <w:bookmarkStart w:id="1375" w:name="Tc_T_KYsPXSzEuiGLNXgpck2A_0_2"/>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r>
        <w:rPr>
          <w:rFonts w:ascii="Times New Roman;Times;serif" w:hAnsi="Times New Roman;Times;serif"/>
          <w:b/>
          <w:i/>
          <w:sz w:val="20"/>
        </w:rPr>
        <w:t>(j) Inventory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Inventories are stated at the lower of cost or net realizable value. Cost is calculated on the average basis and includes all costs to acquire and other costs to bring the inventories to their present location and condition. The Group records inventory write-downs for excess or obsolete inventories or accrues costs of inventory commitments based upon assumptions on current and future demand forecasts. If the inventory on hand or inventory purchase commitments is in excess of future demand forecast, the excess amounts are written down or accrued. The Group also reviews inventory to determine whether its carrying value exceeds the net amount realizable upon the ultimate sale of the inventory. This requires the determination of the estimated selling price of the vehicles less the estimated cost to convert inventory on hand into a finished product. Once inventory is written-down, a new, lower-cost basis for that inventory is established and subsequent changes in facts and circumstances do not result in the restoration or increase in that newly established cost basis.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(k) Property, plant and equipment,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Property, plant and equipment are stated at cost less accumulated depreciation and impairment loss, if any. Property, plant and equipment are depreciated at rates sufficient to write off their costs less impairment and residual value, if any, generally over their estimated useful lives on a straight-line basis. Depreciation for mold and tooling is computed using the units-of-production method, including capitalized interest costs which are amortized over the total estimated units of production of the related assets. Leasehold improvements are amortized over the shorter of the lease term or the estimated useful lives of the related assets.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estimated useful lives are as follows: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3881"/>
        <w:gridCol w:w="326"/>
        <w:gridCol w:w="5998"/>
      </w:tblGrid>
      <w:tr>
        <w:trPr/>
        <w:tc>
          <w:tcPr>
            <w:tcW w:w="388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    </w:t>
            </w:r>
          </w:p>
        </w:tc>
        <w:tc>
          <w:tcPr>
            <w:tcW w:w="59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Useful lives</w:t>
            </w:r>
          </w:p>
        </w:tc>
      </w:tr>
      <w:tr>
        <w:trPr/>
        <w:tc>
          <w:tcPr>
            <w:tcW w:w="38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constructions</w:t>
            </w:r>
          </w:p>
        </w:tc>
        <w:tc>
          <w:tcPr>
            <w:tcW w:w="326" w:type="dxa"/>
            <w:tcBorders/>
            <w:shd w:fill="CCEEFF" w:val="clear"/>
            <w:vAlign w:val="center"/>
          </w:tcPr>
          <w:p>
            <w:pPr>
              <w:pStyle w:val="TableContents"/>
              <w:bidi w:val="0"/>
              <w:spacing w:before="0" w:after="0"/>
              <w:ind w:left="0" w:right="0" w:hanging="0"/>
              <w:jc w:val="left"/>
              <w:rPr/>
            </w:pPr>
            <w:r>
              <w:rPr/>
              <w:t>​</w:t>
            </w:r>
          </w:p>
        </w:tc>
        <w:tc>
          <w:tcPr>
            <w:tcW w:w="5998"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 years</w:t>
            </w:r>
          </w:p>
        </w:tc>
      </w:tr>
      <w:tr>
        <w:trPr/>
        <w:tc>
          <w:tcPr>
            <w:tcW w:w="38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Production facilities</w:t>
            </w:r>
          </w:p>
        </w:tc>
        <w:tc>
          <w:tcPr>
            <w:tcW w:w="326" w:type="dxa"/>
            <w:tcBorders/>
            <w:vAlign w:val="center"/>
          </w:tcPr>
          <w:p>
            <w:pPr>
              <w:pStyle w:val="TableContents"/>
              <w:bidi w:val="0"/>
              <w:spacing w:before="0" w:after="0"/>
              <w:ind w:left="0" w:right="0" w:hanging="0"/>
              <w:jc w:val="left"/>
              <w:rPr/>
            </w:pPr>
            <w:r>
              <w:rPr/>
              <w:t>​</w:t>
            </w:r>
          </w:p>
        </w:tc>
        <w:tc>
          <w:tcPr>
            <w:tcW w:w="59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3-10 years</w:t>
            </w:r>
          </w:p>
        </w:tc>
      </w:tr>
      <w:tr>
        <w:trPr/>
        <w:tc>
          <w:tcPr>
            <w:tcW w:w="38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Charging and power swap infrastructure</w:t>
            </w:r>
          </w:p>
        </w:tc>
        <w:tc>
          <w:tcPr>
            <w:tcW w:w="326" w:type="dxa"/>
            <w:tcBorders/>
            <w:shd w:fill="CCEEFF" w:val="clear"/>
            <w:vAlign w:val="center"/>
          </w:tcPr>
          <w:p>
            <w:pPr>
              <w:pStyle w:val="TableContents"/>
              <w:bidi w:val="0"/>
              <w:spacing w:before="0" w:after="0"/>
              <w:ind w:left="0" w:right="0" w:hanging="0"/>
              <w:jc w:val="left"/>
              <w:rPr/>
            </w:pPr>
            <w:r>
              <w:rPr/>
              <w:t>​</w:t>
            </w:r>
          </w:p>
        </w:tc>
        <w:tc>
          <w:tcPr>
            <w:tcW w:w="59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 xml:space="preserve"> to 8 years</w:t>
            </w:r>
          </w:p>
        </w:tc>
      </w:tr>
      <w:tr>
        <w:trPr/>
        <w:tc>
          <w:tcPr>
            <w:tcW w:w="38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R&amp;D equipment</w:t>
            </w:r>
          </w:p>
        </w:tc>
        <w:tc>
          <w:tcPr>
            <w:tcW w:w="326" w:type="dxa"/>
            <w:tcBorders/>
            <w:vAlign w:val="center"/>
          </w:tcPr>
          <w:p>
            <w:pPr>
              <w:pStyle w:val="TableContents"/>
              <w:bidi w:val="0"/>
              <w:spacing w:before="0" w:after="0"/>
              <w:ind w:left="0" w:right="0" w:hanging="0"/>
              <w:jc w:val="left"/>
              <w:rPr/>
            </w:pPr>
            <w:r>
              <w:rPr/>
              <w:t>​</w:t>
            </w:r>
          </w:p>
        </w:tc>
        <w:tc>
          <w:tcPr>
            <w:tcW w:w="59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to 15 years</w:t>
            </w:r>
          </w:p>
        </w:tc>
      </w:tr>
      <w:tr>
        <w:trPr/>
        <w:tc>
          <w:tcPr>
            <w:tcW w:w="38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and electronic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59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years</w:t>
            </w:r>
          </w:p>
        </w:tc>
      </w:tr>
      <w:tr>
        <w:trPr/>
        <w:tc>
          <w:tcPr>
            <w:tcW w:w="38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Purchased software</w:t>
            </w:r>
          </w:p>
        </w:tc>
        <w:tc>
          <w:tcPr>
            <w:tcW w:w="326" w:type="dxa"/>
            <w:tcBorders/>
            <w:vAlign w:val="center"/>
          </w:tcPr>
          <w:p>
            <w:pPr>
              <w:pStyle w:val="TableContents"/>
              <w:bidi w:val="0"/>
              <w:spacing w:before="0" w:after="0"/>
              <w:ind w:left="0" w:right="0" w:hanging="0"/>
              <w:jc w:val="left"/>
              <w:rPr/>
            </w:pPr>
            <w:r>
              <w:rPr/>
              <w:t>​</w:t>
            </w:r>
          </w:p>
        </w:tc>
        <w:tc>
          <w:tcPr>
            <w:tcW w:w="59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to 5 years</w:t>
            </w:r>
          </w:p>
        </w:tc>
      </w:tr>
      <w:tr>
        <w:trPr/>
        <w:tc>
          <w:tcPr>
            <w:tcW w:w="38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59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Shorter of the estimated useful life or remaining lease term (ranging from </w:t>
            </w:r>
            <w:r>
              <w:rPr>
                <w:rFonts w:ascii="Times New Roman;Times;serif" w:hAnsi="Times New Roman;Times;serif"/>
                <w:b w:val="false"/>
                <w:i w:val="false"/>
                <w:caps w:val="false"/>
                <w:smallCaps w:val="false"/>
                <w:sz w:val="20"/>
              </w:rPr>
              <w:t>1</w:t>
            </w:r>
            <w:r>
              <w:rPr>
                <w:rFonts w:ascii="Times New Roman;Times;serif" w:hAnsi="Times New Roman;Times;serif"/>
                <w:sz w:val="20"/>
              </w:rPr>
              <w:t>-10 years)</w:t>
            </w:r>
          </w:p>
        </w:tc>
      </w:tr>
      <w:tr>
        <w:trPr/>
        <w:tc>
          <w:tcPr>
            <w:tcW w:w="38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 for corporate use or customers’ subscription</w:t>
            </w:r>
          </w:p>
        </w:tc>
        <w:tc>
          <w:tcPr>
            <w:tcW w:w="326" w:type="dxa"/>
            <w:tcBorders/>
            <w:vAlign w:val="center"/>
          </w:tcPr>
          <w:p>
            <w:pPr>
              <w:pStyle w:val="TableContents"/>
              <w:bidi w:val="0"/>
              <w:spacing w:before="0" w:after="0"/>
              <w:ind w:left="0" w:right="0" w:hanging="0"/>
              <w:jc w:val="left"/>
              <w:rPr/>
            </w:pPr>
            <w:r>
              <w:rPr/>
              <w:t>​</w:t>
            </w:r>
          </w:p>
        </w:tc>
        <w:tc>
          <w:tcPr>
            <w:tcW w:w="59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years</w:t>
            </w:r>
          </w:p>
        </w:tc>
      </w:tr>
      <w:tr>
        <w:trPr/>
        <w:tc>
          <w:tcPr>
            <w:tcW w:w="38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 (office equipment, after-sales equipment, etc.)</w:t>
            </w:r>
          </w:p>
        </w:tc>
        <w:tc>
          <w:tcPr>
            <w:tcW w:w="326" w:type="dxa"/>
            <w:tcBorders/>
            <w:shd w:fill="CCEEFF" w:val="clear"/>
            <w:vAlign w:val="center"/>
          </w:tcPr>
          <w:p>
            <w:pPr>
              <w:pStyle w:val="TableContents"/>
              <w:bidi w:val="0"/>
              <w:spacing w:before="0" w:after="0"/>
              <w:ind w:left="0" w:right="0" w:hanging="0"/>
              <w:jc w:val="left"/>
              <w:rPr/>
            </w:pPr>
            <w:r>
              <w:rPr/>
              <w:t>​</w:t>
            </w:r>
          </w:p>
        </w:tc>
        <w:tc>
          <w:tcPr>
            <w:tcW w:w="59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 xml:space="preserve"> to 5 years</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cost of maintenance and repairs is expensed as incurred, whereas the cost of renewals and betterment that extends the useful lives of property, plant and equipment is capitalized as additions to the related assets. Interest expense on outstanding debt is capitalized during the period of significant capital asset construction. Capitalized interest on construction-in-progress is included within property, plant and equipment and is amortized over the useful life or units of production of the related assets. When assets are retired or otherwise disposed of, the cost and related accumulated depreciation and amortization are removed from their respective accounts, and any gain or loss on such sale or disposal is reflected in the consolidated statements of comprehensive loss.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(l) Intangible assets, net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Definite lived intangible assets are carried at cost less accumulated amortization and impairment, if any. Definite lived intangible assets are amortized using the straight-line method over the estimated useful lives as below:</w:t>
      </w:r>
    </w:p>
    <w:p>
      <w:pPr>
        <w:pStyle w:val="TextBody"/>
        <w:bidi w:val="0"/>
        <w:spacing w:before="0" w:after="240"/>
        <w:ind w:left="0" w:right="0" w:firstLine="360"/>
        <w:jc w:val="both"/>
        <w:rPr/>
      </w:pPr>
      <w:r>
        <w:rPr/>
        <w:t>​</w:t>
      </w:r>
    </w:p>
    <w:tbl>
      <w:tblPr>
        <w:tblW w:w="2683" w:type="dxa"/>
        <w:jc w:val="left"/>
        <w:tblInd w:w="0" w:type="dxa"/>
        <w:tblLayout w:type="fixed"/>
        <w:tblCellMar>
          <w:top w:w="0" w:type="dxa"/>
          <w:left w:w="0" w:type="dxa"/>
          <w:bottom w:w="0" w:type="dxa"/>
          <w:right w:w="0" w:type="dxa"/>
        </w:tblCellMar>
      </w:tblPr>
      <w:tblGrid>
        <w:gridCol w:w="1246"/>
        <w:gridCol w:w="326"/>
        <w:gridCol w:w="1111"/>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Useful lives</w:t>
            </w:r>
          </w:p>
        </w:tc>
      </w:tr>
      <w:tr>
        <w:trPr/>
        <w:tc>
          <w:tcPr>
            <w:tcW w:w="12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Domain name</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years</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estimates the useful life of the domain name to be 5 years based on the contract terms, expected technical obsolescence and innovations and industry experience of such intangible assets. The estimated useful lives of amortized intangible assets are reassessed if circumstances occur that indicate the original estimated useful lives have changed.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Intangible assets with an indefinite useful life represent the insurance brokerage license, and is carried at cost less any subsequent impairment loss. The Group expects, based upon regulatory precedent, the license can be renewed, on a perfunctory basis, upon expiration and believes that the license is unlikely to be terminated and will continue to contribute revenue in the future. Therefore, the Group considers the useful life of this intangible asset to be indefinite.</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(m) Land use rights, net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Land use rights are recorded at cost less accumulated amortization. Amortization is provided on a straight-line basis over the respective lease period ranging from </w:t>
      </w:r>
      <w:r>
        <w:rPr>
          <w:rFonts w:ascii="Times New Roman;Times;serif" w:hAnsi="Times New Roman;Times;serif"/>
          <w:b w:val="false"/>
          <w:i w:val="false"/>
          <w:caps w:val="false"/>
          <w:smallCaps w:val="false"/>
          <w:sz w:val="20"/>
        </w:rPr>
        <w:t>491</w:t>
      </w:r>
      <w:r>
        <w:rPr>
          <w:rFonts w:ascii="Times New Roman;Times;serif" w:hAnsi="Times New Roman;Times;serif"/>
          <w:sz w:val="20"/>
        </w:rPr>
        <w:t xml:space="preserve"> to 536 months.</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(n) Long-term investments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Group’s long-term investments include equity investments in entities and debt security investments.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Investments in entities in which the Group can exercise significant influence and holds an investment in voting common stock or in substance common stock (or both) of the investee but does not own a majority equity interest or control are accounted for using the equity method of accounting in accordance with ASC topic 323, Investments — Equity Method and Joint Ventures (“ASC 323”). Under the equity method, the Group initially records its investments at fair value. The Group subsequently adjusts the carrying amount of the investments to recognize the Group’s proportionate share of each equity investee’s net income or loss into earnings after the date of investment. The Group evaluates the equity method investments for impairment under ASC 323. An impairment loss on the equity method investments is recognized in earnings when the decline in value is determined to be other-than-temporary.</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Equity securities with readily determinable fair values and over which the Group has neither significant influence nor control through investments in common stock or in-substance common stock are measured at fair value, with changes in fair value reported through earnings.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Equity securities without readily determinable fair values and over which the Group has neither significant influence nor control through investments in common stock or in-substance common stock are measured and recorded using a measurement alternative that measures the securities at cost minus impairment, if any, plus or minus changes resulting from qualifying observable price changes.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Group elected the fair value option (“FVO”) at the date of initial recognition under ASC 825 for certain equity securities, with changes in fair value reported through earnings.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Available-for-sale debt security investments are reported at estimated fair value with the aggregate unrealized gains and losses, net of tax, reflected in accumulated other comprehensive loss in the consolidated balance sheets. Gain or losses are realized when the investments are sold or when dividends are declared or payments are received. If the amortized cost basis of an available-for-sale security exceeds its fair value and if the Company has the intention to sell the security or it is more likely than not that the Company will be required to sell the security before recovery of the amortized cost basis, an impairment is recognized in the consolidated statements of operations. If the Company does not have the intention to sell the security and it is not more likely than not that the Company will be required to sell the security before recovery of the amortized cost basis and the Company determines that the decline in fair value below the amortized cost basis of an available-for-sale security is entirely or partially due to credit-related factors, the credit loss is measured and recognized as an allowance for credit losses in the consolidated statements of operations. The allowance is measured as the amount by which the debt security’s amortized cost basis exceeds the Company’s best estimate of the present value of cash flows expected to be collected.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Held-to-maturity debt security investment are reported at amortized cost. The securities are held to collect contractual cash flows, and the Group has the positive intent and ability to hold those securities to maturity.</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Trading securities are acquired and held principally for the purpose of selling them. The securities are reported at fair value, and subsequent changes in the fair value are recognized through net income. Subsequent changes in the fair value are recognized through net income.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Group monitors its investments measured under equity method for other-than-temporary impairment by considering factors including, but not limited to, current economic and market conditions, the operating performance of the companies including current earnings trends and other company-specific information. No impairment charge was recognized for the years ended December 31, 2022, 2023 and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360" w:right="0" w:hanging="0"/>
        <w:jc w:val="left"/>
        <w:rPr>
          <w:rFonts w:ascii="Times New Roman;Times;serif" w:hAnsi="Times New Roman;Times;serif"/>
          <w:b/>
          <w:i/>
          <w:sz w:val="20"/>
        </w:rPr>
      </w:pPr>
      <w:bookmarkStart w:id="1376" w:name="Tc_3Ash54fgf0qwvpv5gf8kpA_6_0"/>
      <w:bookmarkStart w:id="1377" w:name="Tc_V7cUWKmM1EeZNUZhPu6ofA_5_0"/>
      <w:bookmarkStart w:id="1378" w:name="Tc_TCIBxjEHJU-w0m3A7ew8Dw_4_0"/>
      <w:bookmarkStart w:id="1379" w:name="Tc_C48k0AyDF0mPuflityX97Q_3_0"/>
      <w:bookmarkStart w:id="1380" w:name="Tc_cHCnyPpdikuXfDkDYtVhxw_2_6"/>
      <w:bookmarkStart w:id="1381" w:name="Tc_BosaOxiZDU-E7cQFLIb1Ng_2_4"/>
      <w:bookmarkStart w:id="1382" w:name="Tc_eBGWs-JlvEqGxr3uK4sjQw_2_2"/>
      <w:bookmarkStart w:id="1383" w:name="Tc_nM55_LrpBECUkBsi2up0GA_1_2"/>
      <w:bookmarkEnd w:id="1376"/>
      <w:bookmarkEnd w:id="1377"/>
      <w:bookmarkEnd w:id="1378"/>
      <w:bookmarkEnd w:id="1379"/>
      <w:bookmarkEnd w:id="1380"/>
      <w:bookmarkEnd w:id="1381"/>
      <w:bookmarkEnd w:id="1382"/>
      <w:bookmarkEnd w:id="1383"/>
      <w:r>
        <w:rPr>
          <w:rFonts w:ascii="Times New Roman;Times;serif" w:hAnsi="Times New Roman;Times;serif"/>
          <w:b/>
          <w:i/>
          <w:sz w:val="20"/>
        </w:rPr>
        <w:t>(o) Impairment of long-lived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Long-lived assets are evaluated for impairment whenever events or changes in circumstances (such as a significant adverse change to market conditions that will impact the future use of the assets) indicate that the carrying amount may not be fully recoverable or that the useful life is shorter than the Group had originally estimated. When these events occur, the Group evaluates the impairment by comparing carrying value of the assets to an estimate of future undiscounted cash flows expected to be generated from the use of the assets and their eventual disposition. If the sum of the expected future undiscounted cash flows is less than the carrying value of the assets, the Group recognizes an impairment loss based on the excess of the carrying value of the assets over the fair value of the assets. Impairment charges recognized for the years ended December 31, 2022, 2023 and 2024 was RMB35,011, nil and RMB55,331, respectively.</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(p) Warranty liabilities</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The Group accrues a warranty reserve for all new vehicles sold by the Group, which includes the Group’s best estimate of the projected costs to repair or replace items under warranty. These estimates are based on actual claims incurred to date and an estimate of the nature, frequency and costs of future claims. These estimates are inherently uncertain given the Group’s relatively short history of sales, and changes to the historical or projected warranty experience may cause material changes to the warranty reserve when the Group accumulates more actual data and experience in the future.</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The portion of the warranty reserve expected to be incurred within the next 12 months is included within accruals and other liabilities, while the remaining balance is included within other non-current liabilities on the consolidated balance sheets. Warranty expense is recorded as a component of cost of revenues in the consolidated statements of comprehensive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does not consider standard warranty as being a separate performance obligation as it is intended to provide assurance that a product complies with agreed-upon specifications and is not viewed as a distinct obligation. Accordingly, standard warranty is accounted for in accordance with ASC 460, Guarantees.</w:t>
      </w:r>
    </w:p>
    <w:p>
      <w:pPr>
        <w:pStyle w:val="TextBody"/>
        <w:bidi w:val="0"/>
        <w:spacing w:before="0" w:after="0"/>
        <w:ind w:left="0" w:right="0" w:firstLine="360"/>
        <w:jc w:val="both"/>
        <w:rPr>
          <w:rFonts w:ascii="Times New Roman;Times;serif" w:hAnsi="Times New Roman;Times;serif"/>
          <w:b w:val="false"/>
          <w:sz w:val="20"/>
        </w:rPr>
      </w:pPr>
      <w:r>
        <w:rPr>
          <w:rFonts w:ascii="Times New Roman;Times;serif" w:hAnsi="Times New Roman;Times;serif"/>
          <w:b w:val="false"/>
          <w:sz w:val="20"/>
        </w:rPr>
        <w:t>The following table shows a reconciliation in the current reporting period related to carried-forward warranty liabilities:</w:t>
      </w:r>
    </w:p>
    <w:p>
      <w:pPr>
        <w:pStyle w:val="TextBody"/>
        <w:bidi w:val="0"/>
        <w:spacing w:before="0" w:after="240"/>
        <w:ind w:left="360" w:right="0" w:hanging="0"/>
        <w:jc w:val="left"/>
        <w:rPr/>
      </w:pPr>
      <w:r>
        <w:rPr/>
        <w:t>​</w:t>
      </w:r>
    </w:p>
    <w:tbl>
      <w:tblPr>
        <w:tblW w:w="6382" w:type="dxa"/>
        <w:jc w:val="left"/>
        <w:tblInd w:w="0" w:type="dxa"/>
        <w:tblLayout w:type="fixed"/>
        <w:tblCellMar>
          <w:top w:w="0" w:type="dxa"/>
          <w:left w:w="0" w:type="dxa"/>
          <w:bottom w:w="0" w:type="dxa"/>
          <w:right w:w="0" w:type="dxa"/>
        </w:tblCellMar>
      </w:tblPr>
      <w:tblGrid>
        <w:gridCol w:w="2506"/>
        <w:gridCol w:w="326"/>
        <w:gridCol w:w="931"/>
        <w:gridCol w:w="326"/>
        <w:gridCol w:w="931"/>
        <w:gridCol w:w="326"/>
        <w:gridCol w:w="103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591310" cy="175260"/>
                      <wp:effectExtent l="0" t="0" r="0" b="0"/>
                      <wp:wrapNone/>
                      <wp:docPr id="252" name="Frame249"/>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53"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591185" cy="175260"/>
                      <wp:effectExtent l="0" t="0" r="0" b="0"/>
                      <wp:wrapNone/>
                      <wp:docPr id="254" name="Frame25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55"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91185" cy="175260"/>
                      <wp:effectExtent l="0" t="0" r="0" b="0"/>
                      <wp:wrapNone/>
                      <wp:docPr id="256" name="Frame25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57"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57860" cy="175260"/>
                      <wp:effectExtent l="0" t="0" r="0" b="0"/>
                      <wp:wrapNone/>
                      <wp:docPr id="258" name="Frame25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Warranty – beginning of year</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1,962,977</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2,946,937</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3,912,224</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warranty</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1,128,920</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1,222,916</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1,168,121</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Warranty costs incurred</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(144,960)</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(257,629)</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(359,633)</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Warranty– end of year</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2,946,937</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3,912,224</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4,720,712</w:t>
            </w:r>
          </w:p>
        </w:tc>
      </w:tr>
    </w:tbl>
    <w:p>
      <w:pPr>
        <w:pStyle w:val="TextBody"/>
        <w:bidi w:val="0"/>
        <w:spacing w:before="0" w:after="240"/>
        <w:ind w:left="0" w:right="0" w:hanging="0"/>
        <w:jc w:val="both"/>
        <w:rPr/>
      </w:pPr>
      <w:r>
        <w:rPr/>
        <w:t>​</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(q) Derivatives instruments and hedging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Derivative instruments are carried at fair value, which generally represent the estimated amounts the Group expects to receive or pay upon termination of the contracts as of the reporting date. Derivative financial instruments are not used for trading or speculative purposes.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(r) Revenue recognition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is recognized when or as the control of the goods or services is transferred to a customer. Depending on the terms of the contract and the laws that apply to the contract, control of the goods and services may be transferred over time or at a point in time. Control of the goods and services is transferred over time if the Group’s performance:</w:t>
      </w:r>
    </w:p>
    <w:tbl>
      <w:tblPr>
        <w:tblW w:w="7326" w:type="dxa"/>
        <w:jc w:val="left"/>
        <w:tblInd w:w="0" w:type="dxa"/>
        <w:tblLayout w:type="fixed"/>
        <w:tblCellMar>
          <w:top w:w="28" w:type="dxa"/>
          <w:left w:w="28" w:type="dxa"/>
          <w:bottom w:w="28" w:type="dxa"/>
          <w:right w:w="28" w:type="dxa"/>
        </w:tblCellMar>
      </w:tblPr>
      <w:tblGrid>
        <w:gridCol w:w="124"/>
        <w:gridCol w:w="256"/>
        <w:gridCol w:w="6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provides all of the benefits received and consumed simultaneously by the customer;</w:t>
            </w:r>
          </w:p>
        </w:tc>
      </w:tr>
    </w:tbl>
    <w:tbl>
      <w:tblPr>
        <w:tblW w:w="7131" w:type="dxa"/>
        <w:jc w:val="left"/>
        <w:tblInd w:w="0" w:type="dxa"/>
        <w:tblLayout w:type="fixed"/>
        <w:tblCellMar>
          <w:top w:w="28" w:type="dxa"/>
          <w:left w:w="28" w:type="dxa"/>
          <w:bottom w:w="28" w:type="dxa"/>
          <w:right w:w="28" w:type="dxa"/>
        </w:tblCellMar>
      </w:tblPr>
      <w:tblGrid>
        <w:gridCol w:w="124"/>
        <w:gridCol w:w="256"/>
        <w:gridCol w:w="6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creates and enhances an asset that the customer controls as the Group performs;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create an asset with an alternative use to the Group and the Group has an enforceable right to payment for performance completed to date.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control of the goods and services transfers over time, revenue is recognized over the period of the contract by reference to the progress towards complete satisfaction of that performance obligation. Otherwise, revenue is recognized at a point in time when the customer obtains control of the goods and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Contracts with customers may include multiple performance obligations. For such arrangements, the Group allocates revenue to each performance obligation based on its relative standalone selling price. The Group determines standalone selling prices based on the prices charged to customers. If the standalone selling price is not directly observable, it is estimated using expected cost plus a margin or adjusted market assessment approach, depending on the availability of observable information. Assumptions and estimations have been made in estimating the relative selling price of each distinct performance obligation, and changes in judgments on these assumptions and estimates may impact the revenue recognition.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When either party to a contract has performed, the Group presents the contract in the consolidated balance sheets as a contract asset or a contract liability, depending on the relationship between the entity’s performance and the customer’s payment.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contract asset is the Group’s right to consideration in exchange for goods and services that the Group has transferred to a customer. A receivable is recorded when the Group has an unconditional right to consideration. A right to consideration is unconditional if only the passage of time is required before payment of that consideration is due. As of December 31, 2023 and 2024, the Group did not record any contract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 contract liability is the Group’s obligation to transfer goods or services to a customer for which the Group has received consideration (or an amount of consideration is due) from the customer. The Group’s contract liabilities primarily resulted from the multiple performance obligations identified in the customer contract, which is recorded as deferred revenue and advance from customers.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generates revenue from (i) vehicle sales, (ii) parts, accessories and after-sales vehicle services, (iii) provision of power solutions and (iv) others.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Vehicle sales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generates revenue from sales of electric vehicles, together with a number of embedded products and services through a series of contracts. The Group identifies the users who purchase the vehicle as its customers. In general, there are multiple distinct performance obligations explicitly stated in a series of contracts in addition to sales of vehicles, which may include home chargers, vehicle connectivity services, extended warranty services and battery swapping services, some of which are only granted to certain initial users. These multiple distinct performance obligations are accounted for in accordance with ASC 606. The standard warranty provided by the Group is accounted for in accordance with ASC 460, Guarantees, and the estimated costs are recorded as a liability when the Group transfer the control of vehicle to a user.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instance that customers only pay the amount after deducting the government subsidies to which they are entitled for the purchase of electric vehicles, the government subsidies are applied and collected by the Group or Jianghuai Automobile Group Co., Ltd. (“JAC”) from the government on behalf of the customers. The government subsidy is considered as a part of the transaction price it charges the customers for the electric vehicle, as the subsidy is granted to the buyer of the electric vehicle instead of the Group and the buyer remains liable for such amount to the Group in the event the subsidies were not received by the Group.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the instance that some eligible customers elect installment payment for battery or the auto financing arrangements, the Group believes such arrangement contains a significant financing component and as a result adjusts the transaction price to reflect the impact of time value on the transaction price using an appropriate discount rate (i.e. the interest rates of the loan reflecting the credit risk of the borrower). Interest income from such arrangements with a significant financing component is presented as other sales. Receivables related to the battery installment payment and auto financing programs that are expected to be repaid by customers beyond one year of the dates of the financial statements are recognized as non-current assets. The difference between the gross receivable and the respective present value is recorded as unrealized finance income. Interest income from such arrangements with a significant financing component is presented separately from revenue from contracts with customers.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generally determines standalone selling prices based on the prices charged to customers. If the standalone selling price is not directly observable, it is estimated using expected cost plus a margin or adjusted market assessment approach, considering the Group’s pricing policies and practices, and the data utilized in making pricing decisions. The overall contract price is then allocated to each distinct performance obligation based on the relative estimated standalone selling price in accordance with ASC 606. The revenue for vehicle sales and home chargers are recognized at a point in time when the control of the product is transferred to the customer. For the vehicle connectivity services and battery swapping services, the Group recognizes the revenue over time using a straight-line method during the estimated beneficial period. For the performance obligations which are only granted to initial owners, the estimated beneficial period is based on the estimated length of time that the initial owner owns the vehicles before it is re-sold to secondary market. As for the extended warranty services, given limited operating history and lack of sufficient historical data, the Group decides to recognize the revenue over time based on a straight-line method initially, and will continue monitoring the cost pattern periodically and adjust the revenue recognition pattern to reflect the actual cost pattern as it becomes available.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the consideration for the vehicle and all embedded services are generally paid in advance, which means the payments received are prior to the transfer of goods or services by the Group, the Group records a contract liability (deferred revenue) for the allocated amount regarding those unperformed obligations. As of December 31, 2023 and 2024, the balances of contract liabilities (deferred revenue) from vehicle sales contracts were RMB5,040,125 and RMB6,349,012 respectively.</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val="false"/>
          <w:i/>
          <w:sz w:val="20"/>
        </w:rPr>
        <w:t>Battery</w:t>
      </w:r>
      <w:r>
        <w:rPr>
          <w:rFonts w:ascii="Times New Roman;Times;serif" w:hAnsi="Times New Roman;Times;serif"/>
          <w:b/>
          <w:i/>
          <w:sz w:val="20"/>
        </w:rPr>
        <w:t xml:space="preserve"> </w:t>
      </w:r>
      <w:r>
        <w:rPr>
          <w:rFonts w:ascii="Times New Roman;Times;serif" w:hAnsi="Times New Roman;Times;serif"/>
          <w:b w:val="false"/>
          <w:i/>
          <w:sz w:val="20"/>
        </w:rPr>
        <w:t>as</w:t>
      </w:r>
      <w:r>
        <w:rPr>
          <w:rFonts w:ascii="Times New Roman;Times;serif" w:hAnsi="Times New Roman;Times;serif"/>
          <w:b/>
          <w:i/>
          <w:sz w:val="20"/>
        </w:rPr>
        <w:t xml:space="preserve"> </w:t>
      </w:r>
      <w:r>
        <w:rPr>
          <w:rFonts w:ascii="Times New Roman;Times;serif" w:hAnsi="Times New Roman;Times;serif"/>
          <w:b w:val="false"/>
          <w:i/>
          <w:sz w:val="20"/>
        </w:rPr>
        <w:t>a</w:t>
      </w:r>
      <w:r>
        <w:rPr>
          <w:rFonts w:ascii="Times New Roman;Times;serif" w:hAnsi="Times New Roman;Times;serif"/>
          <w:b/>
          <w:i/>
          <w:sz w:val="20"/>
        </w:rPr>
        <w:t xml:space="preserve"> </w:t>
      </w:r>
      <w:r>
        <w:rPr>
          <w:rFonts w:ascii="Times New Roman;Times;serif" w:hAnsi="Times New Roman;Times;serif"/>
          <w:b w:val="false"/>
          <w:i/>
          <w:sz w:val="20"/>
        </w:rPr>
        <w:t>Service (BaaS)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Battery as a Service (the “BaaS”), allows users to purchase electric vehicles without batteries and subscribe for the usage of batteries separately. In PRC, under the BaaS, the Group sells batteries to Wuhan Weineng Battery Asset Co., Ltd. (the “Battery Asset Company”), an equity investee of the Group, on a back-to-back basis when the Group sells the vehicle to the BaaS users and the BaaS users subscribe for the usage of the batteries from the Battery Asset Company by paying a monthly subscription fee to the Battery Asset Company. The promise to transfer the control of the batteries to the Battery Asset Company is the only performance obligation in the contract with the Battery Asset Company for the sales of batteries. The Group recognizes revenue from the sales of batteries to the Battery Asset Company when the vehicles (together with the batteries) are delivered to the BaaS users which is the point considered then the control of the batteries is transferred to the Battery Asset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Together with the sales of the batteries, the Group entered into service agreements with the Battery Asset Company, pursuant to which the Group provides services to the Battery Asset Company including batteries monitoring, maintenance, upgrade, replacement, IT system support, etc., with monthly service charges. In case of any default in payment of monthly rental fees from users, the Battery Asset Company also has right to request the Group to track and lock down the battery subscribed by the users to limit its usage. In addition, in furtherance of the BaaS, the Group agreed to provide guarantee to the Battery Asset Company for the default in payment of monthly subscription fees from users. The maximum amount of guarantee that can be claimed by the Battery Asset Company for the users’ payment default shall not be higher than the accumulated service fees the Group receives from the Battery Asset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services provided to the Battery Asset Company, revenue is recognized over the period when services are rendered. As for financial guarantee liabilities, the provision of guarantee is linked to and associated with services rendered to the Battery Asset Company and the payment of guarantee amount is therefore accounted for as the reduction to the revenue from the Battery Asset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fair value of the guarantee liabilities is determined by taking considerations of the default pattern of the Group’s existing battery installment programs provided to users. At each period end, the financial liabilities are remeasured with the corresponding changes recorded as the reduction to the revenue. For the years ended December 31, 2023 and 2024, both service revenue and guarantee liability were immaterial.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Since 2022, the BaaS users are also provided with the option to buy out the batteries in PRC. Under this arrangement, BaaS users and the Battery Asset Company enter into battery subscription termination agreement, and the Group purchases the outgoing batteries from the Battery Asset Company, after which the Group sells batteries with qualified performance to the BaaS users. These transactions are arranged on back-to-back basis under which the Group is in substance rendering the agency service to facilitate the BaaS users which are also the customers of the Group to complete the purchase of batteries from the Battery Asset Company. The Group therefore recognizes revenue of the service to facilitate the BaaS batteries buy out transactions on net basis with the amount of the difference between the consideration the Group receives from the BaaS users for the battery sales and the price of batteries the Group pays to the Battery Asset Company. Upon the completion of BaaS buy-out, the Group stops to provide battery service and is not obliged to provide guarantee and warranty related to the relevant batteries to the Battery Asset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36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Practical expedients and exemptions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follows the guidance on immaterial promises when identifying performance obligations in the vehicle sales contracts and concludes that certain value-added services are not performance obligations considering that they are not critical items for vehicle driving and the usage of these services are expected to be very limited. The Group also performs an estimation on the standalone fair value of each promise applying a cost plus margin approach and concludes that the standalone fair value of these services are insignificant individually and in aggregate, representing less than 3% of vehicle gross selling price and aggregate fair value of each individual promise.</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Parts, accessories and after-sales vehicle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sells parts and accessories to the third party authorized service centers and its users, and provides after-sales vehicle services to users, including, repair, maintenance, extended warranty services and other vehicle services. Revenue from the sales of parts and accessories is recognized when the control of the products is transferred to the customers. Revenue from after-sales services is recognized when the services are rendered.</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Provision of power solutions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provides power solutions to users, including, sale of charging piles, provision of battery charging and swapping services, battery upgrade service, BaaS battery buy-out service and other power solution services. Revenue from the services is recognized when relevant services are rendered. Revenue from the sales of charging piles is recognized when the control of the products is transferred to the customers.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Battery swapping service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provides battery swapping service to users with convenient “recharging” experience by swapping the user’s battery for another one. The battery swapping service is in substance a charging service instead of non-monetary exchanges or sales of batteries as the batteries involved in such swapping are the same in capacity and very similar in performance. For performance obligation of the battery swapping service sold together with the vehicles (i.e. monthly free-of-charge quota), the Group recognizes the revenue over time using a straight-line method in the estimated beneficial period, being the estimated length of time that the initial owner owns the vehicle. For the battery swapping beyond monthly free-of-charge quota for which additional considerations are paid by the users, the Group recognizes revenue when the battery swapping service is completed.</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Battery upgrade service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provides battery upgrade service to both BaaS users and non-BaaS users. The users can exchange their batteries with lower capacity for the batteries with higher capacity from the Group with a fixed cash consideration. The battery upgrade service is in substance the provision of incremental battery capacity service to the users instead of non-monetary battery exchanges or sales of battery. Therefore, under non-BaaS model, the revenue from the battery upgrade service is recognized at the amount of cash consideration paid by users at a point in time when the service is rendered. Under the BaaS model, since the ownership of originally installed battery belongs to the Battery Asset Company, when a user requests battery upgrade, the Group actually upgrades the battery that belongs to the Battery Asset Company and recognize revenue for the battery upgrade service at the amount paid by the Battery Asset Company when upgrade service is rendered. BaaS users will then pay a higher monthly subscription fee to the Battery Asset Company for subscribing for the battery with higher capacity.</w:t>
      </w:r>
    </w:p>
    <w:p>
      <w:pPr>
        <w:pStyle w:val="TextBody"/>
        <w:bidi w:val="0"/>
        <w:spacing w:before="0" w:after="24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Others</w:t>
      </w:r>
    </w:p>
    <w:p>
      <w:pPr>
        <w:pStyle w:val="TextBody"/>
        <w:bidi w:val="0"/>
        <w:spacing w:before="0" w:after="240"/>
        <w:ind w:left="0" w:right="0" w:firstLine="36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Other revenues consists of sales of used vehicles, auto financing services, technical services, retail merchandise, automotive regulatory credits, embedded products and services offered together with vehicle sales, including vehicle connectivity services, and other products and services. Revenue is recognized when relevant services are rendered or control of the products is transferred.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Technical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provides a range of technical services to customers, including technologies licensing, engineering, development, testing, sourcing, support and consultancy services. Revenue from technical services is recognized when relevant services are rendered.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Among these services, the Group generates revenue from providing a non-exclusive, non-transferable and sublicensable worldwide license of the Group’s existing and future iteration of technical information, technical solutions, software and intellectual property rights in relation to its electric vehicle platform (collectively referred to as the “Licensed Technologies”) to a related party and its affiliates. The consideration agreed includes one-time fixed amount of license fee plus royalties determined based on licensed products sold by licensee in the future. The functionality of the Licensed Technologies granted to this related party is expected to substantively change during the license period, and the related party is practically required to use the updated Licensed Technologies. This arrangement is considered as one performance obligation to provide access to the Group’s technology, which is continuously developed and upgraded by the Group over the license period. The license fee is recognized in revenue on a straight-line basis over the license period and the sales-based royalties is recognized when the subsequent sale occurs.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Sales of automotive regulatory credits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New Energy Vehicle (“NEV”) mandate policy launched by China’s Ministry of Industry and Information Technology (“MIIT”) specifies the NEV credit targets and as all of the Group’s products are NEVs, the Group is able to generate NEV credits above target. The credits earned per vehicle is dependent on various metrics such as vehicle driving range and battery energy efficiency, and is calculated based on the MIIT published formula. Excess positive NEV credits are tradable to other vehicle manufacturers through a credit management system established by the MIIT on a separately negotiated basis. The Group sells these credits at agreed price to other vehicle manufacturers.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Considerations for automotive regulatory credits are typically received at the point control transfers to the customer, or in accordance with payment terms customary to the business. The Group recognizes revenue on the sale of automotive regulatory credits at the time control of the regulatory credits is transferred to the purchasing party as other sales revenue in the consolidated statements of comprehensive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Incentives</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The Group frequently offers NIO points, a self-managed customer loyalty program, and coupons under various scenarios, which can be redeemed to acquire free or discounted goods or services provided by the Group, including accessories, branded merchandise and other services etc. The major accounting policy for those incentives is described as follows:</w:t>
      </w:r>
    </w:p>
    <w:p>
      <w:pPr>
        <w:pStyle w:val="TextBody"/>
        <w:bidi w:val="0"/>
        <w:spacing w:before="0" w:after="240"/>
        <w:ind w:left="360" w:right="0" w:hanging="0"/>
        <w:jc w:val="left"/>
        <w:rPr>
          <w:rFonts w:ascii="Times New Roman;Times;serif" w:hAnsi="Times New Roman;Times;serif"/>
          <w:b w:val="false"/>
          <w:sz w:val="20"/>
        </w:rPr>
      </w:pPr>
      <w:r>
        <w:rPr>
          <w:rFonts w:ascii="Times New Roman;Times;serif" w:hAnsi="Times New Roman;Times;serif"/>
          <w:b w:val="false"/>
          <w:sz w:val="20"/>
        </w:rPr>
        <w:t>(i) Incentives in connection with sales transactions</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NIO points and coupons granted in connection with the sales transaction that provide a material right to the customer give rise to a separate performance obligation according to ASC 606, and are taken into consideration when allocating the transaction price of the sales. The Group determines the standalone selling price of each point or coupon based on estimated incremental discount adjusted for redemption probability, which is estimated based on the historical redemption pattern. The amount allocated to the NIO points and coupons as separate performance obligation is recorded as contract liability (deferred revenue) and revenue should be recognized when future goods or services are transferred or when the NIO points and coupons expire.</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A coupon that can be applied against amounts owed to the Group in a future sale transaction is consideration payable to a customer, which is accounted for as a reduction of the transaction price and, therefore, of revenue.</w:t>
      </w:r>
    </w:p>
    <w:p>
      <w:pPr>
        <w:pStyle w:val="TextBody"/>
        <w:bidi w:val="0"/>
        <w:spacing w:before="0" w:after="240"/>
        <w:ind w:left="360" w:right="0" w:hanging="0"/>
        <w:jc w:val="left"/>
        <w:rPr>
          <w:rFonts w:ascii="Times New Roman;Times;serif" w:hAnsi="Times New Roman;Times;serif"/>
          <w:b w:val="false"/>
          <w:sz w:val="20"/>
        </w:rPr>
      </w:pPr>
      <w:r>
        <w:rPr>
          <w:rFonts w:ascii="Times New Roman;Times;serif" w:hAnsi="Times New Roman;Times;serif"/>
          <w:b w:val="false"/>
          <w:sz w:val="20"/>
        </w:rPr>
        <w:t>(ii) Incentives in other scenarios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NIO points and coupons are also granted for encouraging user engagement and generating market awareness, such as inviting friends to test drive or purchase a vehicle, frequent sign-ins to the Group’s mobile application, participating in community activities, etc. The Group accounts for such NIO points and coupons as selling, general and administrative expenses with a corresponding liability recorded under other current liabilities of its consolidated balance sheets upon the NIO points and coupons are granted. The Group estimates the liabilities based on cost of the products and services that can be redeemed, and its estimate of probability of redemption. At the time of redemption, the Group records a reduction of inventory and other current liabilities. In certain cases where merchandise is sold for cash in addition to NIO points, the Group records revenue of other sales for the amount of cash received.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years ended December 31, 2022, 2023 and 2024, the revenue portion allocated to the NIO points and coupons as a separate performance obligation was RMB492,925, RMB863,627 and RMB1,683,234, respectively, which is recorded as contract liability (deferred revenue). For the years ended December 31, 2022, 2023 and 2024, the total NIO points and coupons recorded as selling, general and administrative expenses was RMB215,201, RMB162,875 and RMB386,663,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2023 and, 2024, liabilities recorded related to unredeemed NIO points and coupons were RMB1,065,139, and RMB2,017,516, respectively.</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(s) Cost of Sales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Vehicle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vehicle sales includes parts, materials, processing fee, labor costs, manufacturing cost (including depreciation of assets associated with the production) and losses from production related purchase commitments. Cost of vehicle sales also includes reserves for estimated warranty expenses and charges to write-down the carrying value of the inventory when it exceeds its estimated net realizable value and to provide for on-hand inventory that is either obsolete or in excess of forecasted demand.</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Service and Other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service and other sales includes direct parts, materials, labor costs, vehicle connectivity costs, depreciation of associated assets used for providing services, and other cost associated with sales of service and others.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(t) Sales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Sales and marketing expenses consist primarily of advertising expenses, marketing and promotional expenses, salaries and other compensation-related expenses to sales and marketing personnel. Advertising expenses consist primarily of costs for the promotion of corporate image and product marketing. The Group expenses all advertising costs as incurred and classifies these costs under sales and marketing expenses. For the years ended December 31, 2022, 2023 and 2024, advertising costs totaled RMB815,619, RMB1,242,941 and RMB1,480,886, respectively.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(u) Research and development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Certain costs associated with developing internal-use software are capitalized when such costs are incurred within the application development stage of software development. Other than that, all costs associated with research and development (“R&amp;D”) are expensed as incurred. R&amp;D expenses are primary comprised of charges for R&amp;D and consulting work performed by third parties; salaries, bonuses, share-based compensation, and benefits for those employees engaged in research, design and development activities; costs related to design tools; license expenses related to intellectual property, supplies and services; and allocated costs, including depreciation and amortization, rental fees, and utilities.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(v) 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General and administrative expenses consist primarily of salaries, bonuses, share-based compensation and benefits for employees involved in general corporate functions, depreciation and amortization of fixed assets which are used in general corporate activities, legal and other professional services fees, rental and other general corporate related expenses.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(w) Employee benefits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Full time employees of the Group in the PRC participate in a government mandated defined contribution plan, pursuant to which certain pension benefits, medical care, employee housing fund and other welfare benefits are provided to the employees. Chinese labor regulations require that the PRC subsidiaries and VIEs of the Group make contributions to the government for these benefits based on certain percentages of the employees’ salaries, up to a maximum amount specified by the local government. The Group has no legal obligation for the benefits beyond the contributions made. Total amounts of such employee benefit expenses, which were expensed as incurred, were approximately RMB1,578,273, RMB2,349,966 and RMB3,005,528 for the years ended December 31, 2022, 2023 and 2024, respectively.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(x) Government grants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subsidiaries received government subsidies from certain local governments. The Group’s government subsidies consisted of specific subsidies and other subsidies. Specific subsidies are subsidies that the local government has provided for a specific purpose, such as product development and renewal of production facilities. Other subsidies are the subsidies that the local government has not specified its purpose for and are not tied to future trends or performance of the Group; receipt of such subsidy income is not contingent upon any further actions or performance of the Group and the amounts do not have to be refunded under any circumstances. The Group recorded specific purpose subsidies as deferred income when received. For specific subsidies, upon government acceptance of the related project development or asset acquisition, the specific purpose subsidies are recognized to reduce related R&amp;D expenses or the depreciation expense of asset during the period when the relevant expenses are recognized. Other subsidies are recognized as other operating income upon receipt as further performance by the Group is not required.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(y) Income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Current income taxes are recorded in accordance with the regulations of the relevant tax jurisdiction. The Group accounts for income taxes under the asset and liability method in accordance with ASC 740, </w:t>
      </w:r>
      <w:r>
        <w:rPr>
          <w:rFonts w:ascii="Times New Roman;Times;serif" w:hAnsi="Times New Roman;Times;serif"/>
          <w:i/>
          <w:sz w:val="20"/>
        </w:rPr>
        <w:t>Income Tax</w:t>
      </w:r>
      <w:r>
        <w:rPr>
          <w:rFonts w:ascii="Times New Roman;Times;serif" w:hAnsi="Times New Roman;Times;serif"/>
          <w:sz w:val="20"/>
        </w:rPr>
        <w:t>. Deferred income taxes are recognized for the tax consequences attributable to differences between carrying amounts of existing assets and liabilities in the financial statements and their respective tax basis, and operating loss carry-forwards. Deferred tax assets and liabilities are measured using enacted tax rates expected to apply to taxable income in the years in which those temporary differences are expected to be recovered or settled. The effect on deferred taxes of a change in tax rates is recognized in the consolidated statements of comprehensive loss in the period of change. Valuation allowances are established when necessary to reduce the amount of deferred tax assets if it is considered more likely than not that amount of the deferred tax assets will not be realized.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records liabilities related to uncertain tax positions when, despite the Group’s belief that the Group’s tax return positions are supportable, the Group believes that it is more likely than not that those positions may not be fully sustained upon review by tax authorities. Accrued interest and penalties related to unrecognized tax benefits are classified as income tax expense. The Group did not recognize uncertain tax positions as of December 31, 2023 and 2024.</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(z) Share-based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grants restricted shares and share options of the Company and its subsidiary to eligible employees and non-employee consultants and accounts for share-based compensation in accordance with ASC 718, Compensation — Stock Compensation and ASU 2018-07-Compensation-stock compensation (Topic 718)-Improvements to non-employee share-based payment accounting.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Employees’ share-based compensation awards are measured at the grant date fair value of the awards and recognized as expenses a) immediately at the grant date if no vesting conditions are required; or b) for share options or restricted shares granted with only service conditions, using the straight-line vesting method, net of estimated forfeitures, over the vesting period; or c) for share options where the underlying share is liability within the scope of ASC 480, using the graded vesting method, net of estimated forfeitures, over the vesting period, and re-measuring the fair value of the award at each reporting period end until the award is settled.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All transactions in which goods or services are received in exchange for equity instruments are accounted for based on the fair value of the consideration received or the fair value of the equity instrument issued, whichever is more reliably measurable.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April 2019, the Group adopted ASU 2018-07, “Compensation — Stock Compensation (Topic 718): Improvements to Non-employee Share-Based Payment Accounting”. Upon the adoption of this guidance, the Group no longer re-measures equity-classified share-based awards granted to consultants or non-employees at each reporting date through the vesting period and the accounting for these share-based awards to consultants or non-employees and employees was substantially aligned. Share-based compensation expenses for share options and restricted shares granted to non-employees are measured at fair value at the date when such awards are granted and recognized over the period during which the service from the non-employees is provided.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binomial option-pricing model is used to measure the value of share options. The determination of the fair value is affected by the fair value of the ordinary shares as well as assumptions including the expected share price volatility, actual and projected employee and non-employee share option exercise behavior, risk-free interest rates and expected dividends.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assumptions used in share-based compensation expense recognition represent management’s best estimates, but these estimates involve inherent uncertainties and application of management judgment. If factors change or different assumptions are used, the share-based compensation expenses could be materially different for any period. Moreover, the estimates of fair value of the awards are not intended to predict actual future events or the value that ultimately will be realized by grantees who receive share-based awards, and subsequent events are not indicative of the reasonableness of the original estimates of fair value made by the Group for accounting purposes.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restricted shares granted by one of the Company’s subsidiaries to employees, determination of related estimated fair values (the subsidiaries are not publicly traded) requires complex and subjective judgments due to limited financial and operating history, unique business risks and limited comparable public information. Key inputs and assumptions underlying the determined fair value of these restricted shares include but are not limited to the pricing of recent rounds of financing, future cash flow forecasts, discount rates, and liquidity factors relevant to each of the respective subsidiaries.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Forfeitures are estimated at the time of grant and revised in subsequent periods if actual forfeitures differ from those estimates. The Group uses historical data to estimate pre-vesting options and records share-based compensation expenses only for those awards that are expected to vest.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(aa) Comprehensive income/(loss)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Group applies ASC 220, </w:t>
      </w:r>
      <w:r>
        <w:rPr>
          <w:rFonts w:ascii="Times New Roman;Times;serif" w:hAnsi="Times New Roman;Times;serif"/>
          <w:i/>
          <w:sz w:val="20"/>
        </w:rPr>
        <w:t>Comprehensive Income</w:t>
      </w:r>
      <w:r>
        <w:rPr>
          <w:rFonts w:ascii="Times New Roman;Times;serif" w:hAnsi="Times New Roman;Times;serif"/>
          <w:sz w:val="20"/>
        </w:rPr>
        <w:t>, with respect to reporting and presentation of comprehensive loss and its components in a full set of financial statements. Comprehensive loss is defined to include all changes in equity of the Group during a period arising from transactions and other event and circumstances except those resulting from investments by shareholders and distributions to shareholders. For the years presented, the Group’s comprehensive loss includes net loss and other comprehensive income/(loss), which mainly consists of the foreign currency translation adjustment that have been excluded from the determination of net loss, change in fair value of available-for-sale debt securities.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(ab) Leases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the lessee, the Group recognizes in the balance sheet a liability to make lease payments (the lease liability) and a right-of-use asset representing its right to use the underlying asset for the lease term. For leases with a term of 12 months or less, the Group makes an accounting policy election by class of underlying asset not to recognize lease assets and lease liabilities and recognizes lease expenses for such lease generally on a straight-line basis over the lease term. The Group primarily uses the discount rate at the lease commencement date using the rate implicit in the lease. If the information necessary to determine the rate implicit in the lease is not readily available, the Group uses its incremental borrowing rate(“IBR”). The IBR is determined by the Group’s best understanding of the interest rate the Group would bear to borrow an amount equal to the lease payments in a similar economic environment over the lease term based on its credit rating. Operating lease assets are included within right-of-use assets— operating lease, and the corresponding operating lease liabilities are included within operating lease liabilities on the consolidated balance sheets. Finance lease assets are included within other non-current assets, and the corresponding finance lease liabilities are included within accruals and other liabilities for the current portion, and within other non-current liabilities on the consolidated balance sheets.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(ac) Dividends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Dividends are recognized when declared. No dividends were declared for the years ended December 31, 2022, 2023 and 2024.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(ad) Earnings/(loss) per share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Basic earnings/(loss) per share is computed by dividing net income/(loss) attributable to ordinary shareholders by the weighted average number of ordinary shares outstanding during the period. Accretion of the redeemable noncontrolling interests is deducted from the net income/(loss) to arrive at net income/(loss) attributable to the Company’s ordinary shareholders. Diluted earnings/(loss) per share is calculated by dividing net income/(loss) attributable to ordinary shareholders, by the weighted average number of ordinary and dilutive ordinary equivalent shares outstanding during the period. Ordinary equivalent shares consist of unvested restricted shares, restricted share units and ordinary shares issuable upon the exercise of outstanding share options (using the treasury stock method) and ordinary shares issuable upon the conversion of the convertible senior notes issued by the Company (using the if-converted method). Ordinary equivalent shares are not included in the denominator of the diluted earnings per share calculation when inclusion of such shares would be anti-dilutive.</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(ae) Segment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ASC 280, Segment Reporting, establishes standards for companies to report in their financial statements information about operating segments, products, services, geographic areas, and major customers. Operating segments are defined as components of an enterprise for which separate financial information is available and evaluated regularly by the chief operating decision maker in deciding how to allocate resources and in assessing performance.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Based on the criteria established by ASC 280, the Group’s chief operating decision maker (“CODM”) has been identified as the Chief Executive Officer, who reviews consolidated results when making decisions about allocating resources and assessing performance of the Group as a whole and hence, the Group has only one reportable segment. This segment is engaged in smart electric vehicles related business. The Group derives revenue primarily in the “PRC” and manages the business activities on a consolidated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primary measure of segment profitability for the Group operating segment is considered to be net loss. Net loss is used by the CODM to monitor budget versus actual results as well as comparation with the Group’s competitors, which are used in assessing performance of the segment. Significant segment expenses reviewed by the CODM on a regular basis included within net loss include cost of sales, research and development expenses and selling, general and administrative expenses which are separately presented on the Group’s Consolidated Statements of Comprehensive Loss. Other segment items within net loss include interest and investment income, interest expenses, share of income/(loss) of equity investees, other (loss)/income, net and income tax expense/(benefit).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Group does not distinguish between markets or segments for the purpose of internal reporting. As the Group’s long-lived assets are substantially located in the PRC, no geographical segments are presented.</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Recent Accounting Pronouncements</w:t>
      </w:r>
    </w:p>
    <w:tbl>
      <w:tblPr>
        <w:tblW w:w="4367" w:type="dxa"/>
        <w:jc w:val="left"/>
        <w:tblInd w:w="0" w:type="dxa"/>
        <w:tblLayout w:type="fixed"/>
        <w:tblCellMar>
          <w:top w:w="0" w:type="dxa"/>
          <w:left w:w="0" w:type="dxa"/>
          <w:bottom w:w="0" w:type="dxa"/>
          <w:right w:w="0" w:type="dxa"/>
        </w:tblCellMar>
      </w:tblPr>
      <w:tblGrid>
        <w:gridCol w:w="346"/>
        <w:gridCol w:w="4021"/>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(a)</w:t>
            </w:r>
          </w:p>
        </w:tc>
        <w:tc>
          <w:tcPr>
            <w:tcW w:w="402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Recently adopted accounting pronouncements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June 2022, the FASB issued ASU 2022-03 Fair Value Measurement (Topic 820): Fair Value Measurement of Equity Securities Subject to Contractual Sale Restrictions. The update clarifies that a contractual restriction on the sale of an equity security is not considered part of the unit of account of the equity security and, therefore, is not considered in measuring fair value. The update also clarifies that an entity cannot, as a separate unit of account, recognize and measure a contractual sale restriction. The update also requires certain additional disclosures for equity securities subject to contractual sale restrictions. The amendments in this update are effective for the Company beginning January 1, 2024 on a prospective basis. The Group adopted this ASU from January 1, 2024, which did not have a material impact on the Group’s consolidated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November 2023, the FASB issued ASU No. 2023-07, Improvements to Reportable Segment Disclosures (Topic 280).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The Group adopted this ASU from January 1, 2024, which did not have a material impact on the Group’s consolidated financial statements.</w:t>
      </w:r>
    </w:p>
    <w:tbl>
      <w:tblPr>
        <w:tblW w:w="5537" w:type="dxa"/>
        <w:jc w:val="left"/>
        <w:tblInd w:w="0" w:type="dxa"/>
        <w:tblLayout w:type="fixed"/>
        <w:tblCellMar>
          <w:top w:w="0" w:type="dxa"/>
          <w:left w:w="0" w:type="dxa"/>
          <w:bottom w:w="0" w:type="dxa"/>
          <w:right w:w="0" w:type="dxa"/>
        </w:tblCellMar>
      </w:tblPr>
      <w:tblGrid>
        <w:gridCol w:w="346"/>
        <w:gridCol w:w="5191"/>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(b)</w:t>
            </w:r>
          </w:p>
        </w:tc>
        <w:tc>
          <w:tcPr>
            <w:tcW w:w="519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Recently issued accounting pronouncements not yet adopted</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December 2023, the FASB issued ASU No. 2023-08, Accounting for and Disclosure of Crypto Assets (Subtopic 350-60). This ASU requires certain crypto assets to be measured at fair value separately in the balance sheet and income statement each reporting period. This ASU also enhances the other intangible asset disclosure requirements by requiring the name, cost basis, fair value, and number of units for each significant crypto holding. The ASU is effective for annual periods beginning after December 15, 2024, including interim periods within those fiscal years. Adoption of the ASU requires a cumulative-effect adjustment to the opening balance of retained earnings as of the beginning of the annual reporting period in which an entity adopts the amendments. Early adoption is also permitted, including adoption in an interim period. This ASU is currently not expected to have a material impact on the Group’s consolidated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December 2023, the FASB issued ASU No. 2023-09, Improvements to Income Tax Disclosures (Topic 740). The ASU requires disaggregated information about a reporting entity’s effective tax rate reconciliation as well as additional information on income taxes paid. The ASU is effective on a prospective basis for annual periods beginning after December 15, 2024. Early adoption is also permitted for annual financial statements that have not yet been issued or made available for issuance. This ASU will result in the required additional disclosures being included in our consolidated financial statements, once adopted. This ASU is currently not expected to have a material impact on the Group’s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November 2024, the FASB issued ASU No. 2024-03, Income Statement – Reporting Comprehensive Income – Expense Disaggregation Disclosures (Subtopic 220-40). This ASU requires disclosure, in the notes to financial statements, of specified information about certain costs and expenses. A reporting entity is required to 1) disclose the amounts of (a) purchases of inventory, (b) employee compensation, (c) depreciation, (d) intangible asset amortization, and (e) depreciation, depletion, and amortization recognized as part of oil and gas-producing activities (DD&amp;A) (or other amounts of depletion expense) included in each relevant expense caption. A relevant expense caption is an expense caption presented on the face of the income statement within continuing operations that contains any of the expense categories listed in (a)–(e); 2) include certain amounts that are already required to be disclosed under current generally accepted accounting principles in the same disclosure as the other disaggregation requirements; 3) disclose a qualitative description of the amounts remaining in relevant expense captions that are not separately disaggregated quantitatively, and 4) disclose the total amount of selling expenses and, in annual reporting periods, an entity’s definition of selling expenses. The ASU is effective for annual reporting periods beginning after December 15, 2026, and interim reporting periods beginning after December 15, 2027. Early adoption is permitted. The Group is in the process of assessing the impact of this ASU on the Group’s consolidated financial statements.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November 2024, the FASB issued ASU 2024-04, Debt—Debt with Conversion and Other Options (Subtopic 470-20). The amendments in this ASU clarify the requirements for determining whether certain settlements of convertible debt instruments should be accounted for as an induced conversion. The amendments are effective for annual reporting periods beginning after December 15, 2025, and interim reporting periods within those annual reporting periods. Early adoption is permitted. The Group is in the process of assessing the impact of the amendments on the Group’s consolidated financial statements.</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4.    Concentration and Risks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(a) Concentration of 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Assets that potentially subject the Group to significant concentrations of credit risk primarily consist of cash and cash equivalents, restricted cash, short-term investment, trade receivable, amount due from related parties, deposits and other receivables. The maximum exposure of such assets to credit risk is their carrying amounts as of the balance sheet dates. As of December 31, 2023 and 2024, the great majority of the Group’s cash and cash equivalents, restricted cash and short-term investments were held by major financial institutions located in the PRC and the United States which management believes are of high credit quality based on their credit ratings.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(b) Currency convertibility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PRC government imposes controls on the convertibility of RMB into foreign currencies. The Group’s cash and cash equivalents and restricted cash denominated in RMB that are subject to such government controls amounted to RMB12,472,010 and RMB19,902,484 as of December 31, 2023 and 2024, respectively. The value of RMB is subject to changes in the central government policies and to international economic and political developments affecting supply and demand in the PRC foreign exchange trading system market. In the PRC, certain foreign exchange transactions are required by law to be transacted only by authorized financial institutions at exchange rates set by the People’s Bank of China (the “PBOC”). Remittances in currencies other than RMB by the Group in the PRC must be processed through PBOC or other Chinese foreign exchange regulatory bodies which require certain supporting documentation in order to process the remittance.</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(c) Foreign currency exchange rate risk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Since July 21, 2005, the RMB has been permitted to fluctuate within a narrow and managed band against a basket of certain foreign currencies. While the international reaction to the RMB appreciation has generally been positive, there remains significant international pressure on the PRC government to adopt an even more flexible currency policy, which could result in a further and more significant appreciation of the RMB against other currencies.</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left"/>
        <w:rPr>
          <w:rFonts w:ascii="Times New Roman;Times;serif" w:hAnsi="Times New Roman;Times;serif"/>
          <w:sz w:val="20"/>
        </w:rPr>
      </w:pPr>
      <w:bookmarkStart w:id="1384" w:name="Tc_GrHACXeBj0KbsmCLtWwRGg_4_5"/>
      <w:bookmarkStart w:id="1385" w:name="Tc_MAYejwBIHUOWGfSjxr4deg_4_3"/>
      <w:bookmarkStart w:id="1386" w:name="Tc_fOcuKaeQ90CL8oqDsaZYLA_4_0"/>
      <w:bookmarkStart w:id="1387" w:name="Tc_U_m2ZV-Lr0y22OJ2VdJY7w_3_0"/>
      <w:bookmarkStart w:id="1388" w:name="Tc_7hZweyT9NEagNGgErwCq3w_2_4"/>
      <w:bookmarkStart w:id="1389" w:name="Tc_WHQOD03WBUyHzNLtOhX6-w_2_2"/>
      <w:bookmarkStart w:id="1390" w:name="Tc_4a6zFwD2OUqgumLO_UV9XA_1_4"/>
      <w:bookmarkStart w:id="1391" w:name="Tc_RbSSDx5eEEu-n0kGCwF6xg_1_2"/>
      <w:bookmarkStart w:id="1392" w:name="_8d621873_5315_414a_8ac2_b44ce12d47ae"/>
      <w:bookmarkStart w:id="1393" w:name="Tc_OZyixVDZf02bS_GM2nY45g_4_7"/>
      <w:bookmarkStart w:id="1394" w:name="Tc_xV35hARnn0WT14PXdTaU_Q_4_5"/>
      <w:bookmarkStart w:id="1395" w:name="Tc_8ehcq00l8UykhFs63FQR1g_4_3"/>
      <w:bookmarkStart w:id="1396" w:name="Tc_T3uZZy2Glk2v0cw6fRxzdw_4_0"/>
      <w:bookmarkStart w:id="1397" w:name="Tc_z9_YCIWAlkeCAjG43UCKTA_3_0"/>
      <w:bookmarkStart w:id="1398" w:name="Tc__jMVpQOZdUKKx7yg-S3nEg_2_6"/>
      <w:bookmarkStart w:id="1399" w:name="Tc_VYtKPENkDEqxyUNMKWaubg_2_4"/>
      <w:bookmarkStart w:id="1400" w:name="Tc_rBZlYVX0m0qzFW7jV2Xjig_2_2"/>
      <w:bookmarkStart w:id="1401" w:name="Tc_osu8YlqVJEeYBi8NOYGawg_1_2"/>
      <w:bookmarkStart w:id="1402" w:name="_561963a9_cec1_4a39_8ded_8f305a2b5dc2"/>
      <w:bookmarkStart w:id="1403" w:name="Tc_VTVamLPXB0iwFQVANV8rGw_4_5"/>
      <w:bookmarkStart w:id="1404" w:name="Tc_WLI971qMR02hWd6W0h2biA_4_3"/>
      <w:bookmarkStart w:id="1405" w:name="Tc_evnjsFgaxkaD5FiV4mO6sA_4_0"/>
      <w:bookmarkStart w:id="1406" w:name="Tc_li8LiHr5c0e_elKlss6-TA_3_0"/>
      <w:bookmarkStart w:id="1407" w:name="Tc_ZqEvmDoBxkGlF_uwsvBzlg_2_4"/>
      <w:bookmarkStart w:id="1408" w:name="Tc_TBl_4tQ98EmwUGj8LxNoeQ_2_2"/>
      <w:bookmarkStart w:id="1409" w:name="Tc_oNqZgZcIiU-o7yCw8mzCRw_1_4"/>
      <w:bookmarkStart w:id="1410" w:name="Tc_ERiE4f8TJU2qIAYCJTidXw_1_2"/>
      <w:bookmarkStart w:id="1411" w:name="_cf03e547_10a2_4e30_bf9a_fe99a1d90402"/>
      <w:bookmarkStart w:id="1412" w:name="Tc_MKKmkGdQbka9oqNn5rKsTw_4_7"/>
      <w:bookmarkStart w:id="1413" w:name="Tc_WMvh1VRqDkmGzNCoWTYuKw_4_4"/>
      <w:bookmarkStart w:id="1414" w:name="Tc_IGEg_pWBeEuqgBClGo1S-A_4_2"/>
      <w:bookmarkStart w:id="1415" w:name="Tc_P-llmu7VWkmGDtKi2WJckQ_4_0"/>
      <w:bookmarkStart w:id="1416" w:name="Tc_1iXUqsFNWEKVjlAIh_DAFg_3_0"/>
      <w:bookmarkStart w:id="1417" w:name="Tc_7b5D3_gkFUaVM4ds_rK0Aw_2_6"/>
      <w:bookmarkStart w:id="1418" w:name="Tc_u3ULk0Ovw0yConSRVW_n0A_2_4"/>
      <w:bookmarkStart w:id="1419" w:name="Tc_DbcytL9mrkWIDKm-Ra9oew_2_2"/>
      <w:bookmarkStart w:id="1420" w:name="Tc_-M2j2MDn-Uyj9cxB0UMc6Q_1_2"/>
      <w:bookmarkStart w:id="1421" w:name="_226e773b_1bab_4f1d_ad79_2b59e853bf66"/>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r>
        <w:rPr>
          <w:rFonts w:ascii="Times New Roman;Times;serif" w:hAnsi="Times New Roman;Times;serif"/>
          <w:b w:val="false"/>
          <w:i w:val="false"/>
          <w:caps w:val="false"/>
          <w:smallCaps w:val="false"/>
          <w:sz w:val="20"/>
        </w:rPr>
        <w:t>(</w:t>
      </w:r>
      <w:r>
        <w:rPr>
          <w:rFonts w:ascii="Times New Roman;Times;serif" w:hAnsi="Times New Roman;Times;serif"/>
          <w:b/>
          <w:i/>
          <w:sz w:val="20"/>
        </w:rPr>
        <w:t>d)Concentration of customers and suppliers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tables summarized the customer with greater than 10% of the total revenue and account receivables:</w:t>
      </w:r>
    </w:p>
    <w:p>
      <w:pPr>
        <w:pStyle w:val="TextBody"/>
        <w:bidi w:val="0"/>
        <w:spacing w:before="0" w:after="240"/>
        <w:ind w:left="0" w:right="0" w:firstLine="360"/>
        <w:jc w:val="both"/>
        <w:rPr/>
      </w:pPr>
      <w:r>
        <w:rPr/>
        <w:t>​</w:t>
      </w:r>
    </w:p>
    <w:tbl>
      <w:tblPr>
        <w:tblW w:w="5846" w:type="dxa"/>
        <w:jc w:val="left"/>
        <w:tblInd w:w="0" w:type="dxa"/>
        <w:tblLayout w:type="fixed"/>
        <w:tblCellMar>
          <w:top w:w="0" w:type="dxa"/>
          <w:left w:w="0" w:type="dxa"/>
          <w:bottom w:w="0" w:type="dxa"/>
          <w:right w:w="0" w:type="dxa"/>
        </w:tblCellMar>
      </w:tblPr>
      <w:tblGrid>
        <w:gridCol w:w="2626"/>
        <w:gridCol w:w="326"/>
        <w:gridCol w:w="586"/>
        <w:gridCol w:w="410"/>
        <w:gridCol w:w="586"/>
        <w:gridCol w:w="410"/>
        <w:gridCol w:w="586"/>
        <w:gridCol w:w="316"/>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667510" cy="175260"/>
                      <wp:effectExtent l="0" t="0" r="0" b="0"/>
                      <wp:wrapNone/>
                      <wp:docPr id="259" name="Frame256"/>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0"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372110" cy="175260"/>
                      <wp:effectExtent l="0" t="0" r="0" b="0"/>
                      <wp:wrapNone/>
                      <wp:docPr id="261" name="Frame25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60350" cy="175260"/>
                      <wp:effectExtent l="0" t="0" r="0" b="0"/>
                      <wp:wrapNone/>
                      <wp:docPr id="262" name="Frame259"/>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72110" cy="175260"/>
                      <wp:effectExtent l="0" t="0" r="0" b="0"/>
                      <wp:wrapNone/>
                      <wp:docPr id="263" name="Frame26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60350" cy="175260"/>
                      <wp:effectExtent l="0" t="0" r="0" b="0"/>
                      <wp:wrapNone/>
                      <wp:docPr id="264" name="Frame261"/>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372110" cy="175260"/>
                      <wp:effectExtent l="0" t="0" r="0" b="0"/>
                      <wp:wrapNone/>
                      <wp:docPr id="265" name="Frame26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0660" cy="175260"/>
                      <wp:effectExtent l="0" t="0" r="0" b="0"/>
                      <wp:wrapNone/>
                      <wp:docPr id="266" name="Frame26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5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c>
          <w:tcPr>
            <w:tcW w:w="316" w:type="dxa"/>
            <w:tcBorders/>
            <w:vAlign w:val="center"/>
          </w:tcPr>
          <w:p>
            <w:pPr>
              <w:pStyle w:val="TableContents"/>
              <w:bidi w:val="0"/>
              <w:spacing w:before="0" w:after="1"/>
              <w:ind w:left="0" w:right="0" w:hanging="0"/>
              <w:jc w:val="center"/>
              <w:rPr/>
            </w:pPr>
            <w:r>
              <w:rPr/>
              <w:t> </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10" w:type="dxa"/>
            <w:tcBorders/>
            <w:vAlign w:val="center"/>
          </w:tcPr>
          <w:p>
            <w:pPr>
              <w:pStyle w:val="TableContents"/>
              <w:bidi w:val="0"/>
              <w:spacing w:before="0" w:after="1"/>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10" w:type="dxa"/>
            <w:tcBorders/>
            <w:vAlign w:val="center"/>
          </w:tcPr>
          <w:p>
            <w:pPr>
              <w:pStyle w:val="TableContents"/>
              <w:bidi w:val="0"/>
              <w:spacing w:before="0" w:after="1"/>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1"/>
              <w:ind w:left="0" w:right="0" w:hanging="0"/>
              <w:jc w:val="center"/>
              <w:rPr/>
            </w:pPr>
            <w:r>
              <w:rPr/>
              <w:t> </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Percentage of the total revenue</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left"/>
              <w:rPr/>
            </w:pPr>
            <w:r>
              <w:rPr/>
              <w:t>​</w:t>
            </w:r>
          </w:p>
        </w:tc>
        <w:tc>
          <w:tcPr>
            <w:tcW w:w="410"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  </w:t>
            </w:r>
          </w:p>
        </w:tc>
        <w:tc>
          <w:tcPr>
            <w:tcW w:w="410"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62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Customer A</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10"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10"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tbl>
      <w:tblPr>
        <w:tblW w:w="6416" w:type="dxa"/>
        <w:jc w:val="left"/>
        <w:tblInd w:w="0" w:type="dxa"/>
        <w:tblLayout w:type="fixed"/>
        <w:tblCellMar>
          <w:top w:w="0" w:type="dxa"/>
          <w:left w:w="0" w:type="dxa"/>
          <w:bottom w:w="0" w:type="dxa"/>
          <w:right w:w="0" w:type="dxa"/>
        </w:tblCellMar>
      </w:tblPr>
      <w:tblGrid>
        <w:gridCol w:w="3166"/>
        <w:gridCol w:w="326"/>
        <w:gridCol w:w="1141"/>
        <w:gridCol w:w="326"/>
        <w:gridCol w:w="1141"/>
        <w:gridCol w:w="31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10410" cy="175260"/>
                      <wp:effectExtent l="0" t="0" r="0" b="0"/>
                      <wp:wrapNone/>
                      <wp:docPr id="267" name="Frame264"/>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68"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724535" cy="175260"/>
                      <wp:effectExtent l="0" t="0" r="0" b="0"/>
                      <wp:wrapNone/>
                      <wp:docPr id="269" name="Frame26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0"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724535" cy="175260"/>
                      <wp:effectExtent l="0" t="0" r="0" b="0"/>
                      <wp:wrapNone/>
                      <wp:docPr id="271" name="Frame26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0660" cy="175260"/>
                      <wp:effectExtent l="0" t="0" r="0" b="0"/>
                      <wp:wrapNone/>
                      <wp:docPr id="272" name="Frame26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16" w:type="dxa"/>
            <w:tcBorders/>
            <w:vAlign w:val="center"/>
          </w:tcPr>
          <w:p>
            <w:pPr>
              <w:pStyle w:val="TableContents"/>
              <w:bidi w:val="0"/>
              <w:spacing w:before="0" w:after="1"/>
              <w:ind w:left="0" w:right="0" w:hanging="0"/>
              <w:jc w:val="center"/>
              <w:rPr/>
            </w:pPr>
            <w:r>
              <w:rPr/>
              <w:t> </w:t>
            </w:r>
          </w:p>
        </w:tc>
      </w:tr>
      <w:tr>
        <w:trPr/>
        <w:tc>
          <w:tcPr>
            <w:tcW w:w="3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1"/>
              <w:ind w:left="0" w:right="0" w:hanging="0"/>
              <w:jc w:val="center"/>
              <w:rPr/>
            </w:pPr>
            <w:r>
              <w:rPr/>
              <w:t> </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Percentage of the account receivables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Customer A</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Less than 10%</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[1] A related party of the Group</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tables summarizes the supplier with greater than 10% of the total purchase and payables:</w:t>
      </w:r>
    </w:p>
    <w:p>
      <w:pPr>
        <w:pStyle w:val="TextBody"/>
        <w:bidi w:val="0"/>
        <w:spacing w:before="0" w:after="240"/>
        <w:ind w:left="0" w:right="0" w:firstLine="360"/>
        <w:jc w:val="both"/>
        <w:rPr/>
      </w:pPr>
      <w:r>
        <w:rPr/>
        <w:t>​</w:t>
      </w:r>
    </w:p>
    <w:tbl>
      <w:tblPr>
        <w:tblW w:w="5922" w:type="dxa"/>
        <w:jc w:val="left"/>
        <w:tblInd w:w="0" w:type="dxa"/>
        <w:tblLayout w:type="fixed"/>
        <w:tblCellMar>
          <w:top w:w="0" w:type="dxa"/>
          <w:left w:w="0" w:type="dxa"/>
          <w:bottom w:w="0" w:type="dxa"/>
          <w:right w:w="0" w:type="dxa"/>
        </w:tblCellMar>
      </w:tblPr>
      <w:tblGrid>
        <w:gridCol w:w="2701"/>
        <w:gridCol w:w="326"/>
        <w:gridCol w:w="567"/>
        <w:gridCol w:w="439"/>
        <w:gridCol w:w="567"/>
        <w:gridCol w:w="439"/>
        <w:gridCol w:w="567"/>
        <w:gridCol w:w="316"/>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715135" cy="175260"/>
                      <wp:effectExtent l="0" t="0" r="0" b="0"/>
                      <wp:wrapNone/>
                      <wp:docPr id="273" name="Frame270"/>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74" name="Frame2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360045" cy="175260"/>
                      <wp:effectExtent l="0" t="0" r="0" b="0"/>
                      <wp:wrapNone/>
                      <wp:docPr id="275" name="Frame272"/>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78765" cy="175260"/>
                      <wp:effectExtent l="0" t="0" r="0" b="0"/>
                      <wp:wrapNone/>
                      <wp:docPr id="276" name="Frame273"/>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60045" cy="175260"/>
                      <wp:effectExtent l="0" t="0" r="0" b="0"/>
                      <wp:wrapNone/>
                      <wp:docPr id="277" name="Frame274"/>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78765" cy="175260"/>
                      <wp:effectExtent l="0" t="0" r="0" b="0"/>
                      <wp:wrapNone/>
                      <wp:docPr id="278" name="Frame275"/>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360045" cy="175260"/>
                      <wp:effectExtent l="0" t="0" r="0" b="0"/>
                      <wp:wrapNone/>
                      <wp:docPr id="279" name="Frame276"/>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0660" cy="175260"/>
                      <wp:effectExtent l="0" t="0" r="0" b="0"/>
                      <wp:wrapNone/>
                      <wp:docPr id="280" name="Frame27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57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c>
          <w:tcPr>
            <w:tcW w:w="316" w:type="dxa"/>
            <w:tcBorders/>
            <w:vAlign w:val="center"/>
          </w:tcPr>
          <w:p>
            <w:pPr>
              <w:pStyle w:val="TableContents"/>
              <w:bidi w:val="0"/>
              <w:spacing w:before="0" w:after="1"/>
              <w:ind w:left="0" w:right="0" w:hanging="0"/>
              <w:jc w:val="center"/>
              <w:rPr/>
            </w:pPr>
            <w:r>
              <w:rPr/>
              <w:t> </w:t>
            </w:r>
          </w:p>
        </w:tc>
      </w:tr>
      <w:tr>
        <w:trPr/>
        <w:tc>
          <w:tcPr>
            <w:tcW w:w="27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6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39" w:type="dxa"/>
            <w:tcBorders/>
            <w:vAlign w:val="center"/>
          </w:tcPr>
          <w:p>
            <w:pPr>
              <w:pStyle w:val="TableContents"/>
              <w:bidi w:val="0"/>
              <w:spacing w:before="0" w:after="1"/>
              <w:ind w:left="0" w:right="0" w:hanging="0"/>
              <w:jc w:val="center"/>
              <w:rPr/>
            </w:pPr>
            <w:r>
              <w:rPr/>
              <w:t>    </w:t>
            </w:r>
          </w:p>
        </w:tc>
        <w:tc>
          <w:tcPr>
            <w:tcW w:w="56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9" w:type="dxa"/>
            <w:tcBorders/>
            <w:vAlign w:val="center"/>
          </w:tcPr>
          <w:p>
            <w:pPr>
              <w:pStyle w:val="TableContents"/>
              <w:bidi w:val="0"/>
              <w:spacing w:before="0" w:after="1"/>
              <w:ind w:left="0" w:right="0" w:hanging="0"/>
              <w:jc w:val="left"/>
              <w:rPr/>
            </w:pPr>
            <w:r>
              <w:rPr/>
              <w:t>    </w:t>
            </w:r>
          </w:p>
        </w:tc>
        <w:tc>
          <w:tcPr>
            <w:tcW w:w="56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1"/>
              <w:ind w:left="0" w:right="0" w:hanging="0"/>
              <w:jc w:val="center"/>
              <w:rPr/>
            </w:pPr>
            <w:r>
              <w:rPr/>
              <w:t> </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Percentage of the total purchase</w:t>
            </w:r>
          </w:p>
        </w:tc>
        <w:tc>
          <w:tcPr>
            <w:tcW w:w="326" w:type="dxa"/>
            <w:tcBorders/>
            <w:shd w:fill="CCEEFF" w:val="clear"/>
            <w:vAlign w:val="center"/>
          </w:tcPr>
          <w:p>
            <w:pPr>
              <w:pStyle w:val="TableContents"/>
              <w:bidi w:val="0"/>
              <w:spacing w:before="0" w:after="1"/>
              <w:ind w:left="0" w:right="0" w:hanging="0"/>
              <w:jc w:val="left"/>
              <w:rPr/>
            </w:pPr>
            <w:r>
              <w:rPr/>
              <w:t> </w:t>
            </w:r>
          </w:p>
        </w:tc>
        <w:tc>
          <w:tcPr>
            <w:tcW w:w="567"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left"/>
              <w:rPr/>
            </w:pPr>
            <w:r>
              <w:rPr/>
              <w:t>​</w:t>
            </w:r>
          </w:p>
        </w:tc>
        <w:tc>
          <w:tcPr>
            <w:tcW w:w="567" w:type="dxa"/>
            <w:tcBorders/>
            <w:shd w:fill="CCEEFF" w:val="clear"/>
            <w:vAlign w:val="center"/>
          </w:tcPr>
          <w:p>
            <w:pPr>
              <w:pStyle w:val="TableContents"/>
              <w:bidi w:val="0"/>
              <w:spacing w:before="0" w:after="1"/>
              <w:ind w:left="0" w:right="0" w:hanging="0"/>
              <w:jc w:val="right"/>
              <w:rPr/>
            </w:pPr>
            <w:r>
              <w:rPr/>
              <w:t>  </w:t>
            </w:r>
          </w:p>
        </w:tc>
        <w:tc>
          <w:tcPr>
            <w:tcW w:w="439" w:type="dxa"/>
            <w:tcBorders/>
            <w:shd w:fill="CCEEFF" w:val="clear"/>
            <w:vAlign w:val="center"/>
          </w:tcPr>
          <w:p>
            <w:pPr>
              <w:pStyle w:val="TableContents"/>
              <w:bidi w:val="0"/>
              <w:spacing w:before="0" w:after="1"/>
              <w:ind w:left="0" w:right="0" w:hanging="0"/>
              <w:jc w:val="left"/>
              <w:rPr/>
            </w:pPr>
            <w:r>
              <w:rPr/>
              <w:t> </w:t>
            </w:r>
          </w:p>
        </w:tc>
        <w:tc>
          <w:tcPr>
            <w:tcW w:w="567"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Supplier A</w:t>
            </w:r>
          </w:p>
        </w:tc>
        <w:tc>
          <w:tcPr>
            <w:tcW w:w="326" w:type="dxa"/>
            <w:tcBorders/>
            <w:vAlign w:val="center"/>
          </w:tcPr>
          <w:p>
            <w:pPr>
              <w:pStyle w:val="TableContents"/>
              <w:bidi w:val="0"/>
              <w:spacing w:before="0" w:after="1"/>
              <w:ind w:left="0" w:right="0" w:hanging="0"/>
              <w:jc w:val="left"/>
              <w:rPr/>
            </w:pPr>
            <w:r>
              <w:rPr/>
              <w:t> </w:t>
            </w:r>
          </w:p>
        </w:tc>
        <w:tc>
          <w:tcPr>
            <w:tcW w:w="5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4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4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tbl>
      <w:tblPr>
        <w:tblW w:w="6131" w:type="dxa"/>
        <w:jc w:val="left"/>
        <w:tblInd w:w="0" w:type="dxa"/>
        <w:tblLayout w:type="fixed"/>
        <w:tblCellMar>
          <w:top w:w="0" w:type="dxa"/>
          <w:left w:w="0" w:type="dxa"/>
          <w:bottom w:w="0" w:type="dxa"/>
          <w:right w:w="0" w:type="dxa"/>
        </w:tblCellMar>
      </w:tblPr>
      <w:tblGrid>
        <w:gridCol w:w="2971"/>
        <w:gridCol w:w="326"/>
        <w:gridCol w:w="1096"/>
        <w:gridCol w:w="326"/>
        <w:gridCol w:w="1096"/>
        <w:gridCol w:w="316"/>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886585" cy="175260"/>
                      <wp:effectExtent l="0" t="0" r="0" b="0"/>
                      <wp:wrapNone/>
                      <wp:docPr id="281" name="Frame278"/>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2"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95960" cy="175260"/>
                      <wp:effectExtent l="0" t="0" r="0" b="0"/>
                      <wp:wrapNone/>
                      <wp:docPr id="283" name="Frame280"/>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7010" cy="175260"/>
                      <wp:effectExtent l="0" t="0" r="0" b="0"/>
                      <wp:wrapNone/>
                      <wp:docPr id="284"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95960" cy="175260"/>
                      <wp:effectExtent l="0" t="0" r="0" b="0"/>
                      <wp:wrapNone/>
                      <wp:docPr id="285" name="Frame28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0660" cy="175260"/>
                      <wp:effectExtent l="0" t="0" r="0" b="0"/>
                      <wp:wrapNone/>
                      <wp:docPr id="286" name="Frame28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16" w:type="dxa"/>
            <w:tcBorders/>
            <w:vAlign w:val="center"/>
          </w:tcPr>
          <w:p>
            <w:pPr>
              <w:pStyle w:val="TableContents"/>
              <w:bidi w:val="0"/>
              <w:spacing w:before="0" w:after="1"/>
              <w:ind w:left="0" w:right="0" w:hanging="0"/>
              <w:jc w:val="center"/>
              <w:rPr/>
            </w:pPr>
            <w:r>
              <w:rPr/>
              <w:t> </w:t>
            </w:r>
          </w:p>
        </w:tc>
      </w:tr>
      <w:tr>
        <w:trPr/>
        <w:tc>
          <w:tcPr>
            <w:tcW w:w="29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1"/>
              <w:ind w:left="0" w:right="0" w:hanging="0"/>
              <w:jc w:val="center"/>
              <w:rPr/>
            </w:pPr>
            <w:r>
              <w:rPr/>
              <w:t> </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Percentage of the account payables</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Supplier A</w:t>
            </w:r>
          </w:p>
        </w:tc>
        <w:tc>
          <w:tcPr>
            <w:tcW w:w="32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422" w:name="Tc_qMAiEZB3kUGpJ5H2JPKJ_w_8_0"/>
      <w:bookmarkStart w:id="1423" w:name="Tc_BUCD17UxpE-IMVhQUFYCSA_7_0"/>
      <w:bookmarkStart w:id="1424" w:name="Tc_JPKhPF1-TkSJ3E4OklsXkg_6_0"/>
      <w:bookmarkStart w:id="1425" w:name="Tc_5qFNGAfFEESOG9DsKSUJAA_5_0"/>
      <w:bookmarkStart w:id="1426" w:name="Tc_g_ekkWfpHUa4IzO3jX-JJg_4_0"/>
      <w:bookmarkStart w:id="1427" w:name="Tc_1kduoOSnvU6KB_QUJY91dA_3_0"/>
      <w:bookmarkStart w:id="1428" w:name="Tc_2MRT0e3x5U2nAkE_P4kG9g_2_4"/>
      <w:bookmarkStart w:id="1429" w:name="Tc_Rl6H-jXaKUO9wPvQ3fUpqg_2_2"/>
      <w:bookmarkStart w:id="1430" w:name="Tc_6lN7zHs9MUyWZk1Ih2zwMg_1_4"/>
      <w:bookmarkStart w:id="1431" w:name="Tc_zD8qAj0xz0CpgOZQhxzxnw_1_2"/>
      <w:bookmarkEnd w:id="1422"/>
      <w:bookmarkEnd w:id="1423"/>
      <w:bookmarkEnd w:id="1424"/>
      <w:bookmarkEnd w:id="1425"/>
      <w:bookmarkEnd w:id="1426"/>
      <w:bookmarkEnd w:id="1427"/>
      <w:bookmarkEnd w:id="1428"/>
      <w:bookmarkEnd w:id="1429"/>
      <w:bookmarkEnd w:id="1430"/>
      <w:bookmarkEnd w:id="1431"/>
      <w:r>
        <w:rPr>
          <w:rFonts w:ascii="Times New Roman;Times;serif" w:hAnsi="Times New Roman;Times;serif"/>
          <w:b/>
          <w:sz w:val="20"/>
        </w:rPr>
        <w:t>5.    Inventory</w:t>
      </w:r>
    </w:p>
    <w:p>
      <w:pPr>
        <w:pStyle w:val="TextBody"/>
        <w:bidi w:val="0"/>
        <w:spacing w:before="0" w:after="0"/>
        <w:ind w:left="0" w:right="0" w:hanging="0"/>
        <w:jc w:val="left"/>
        <w:rPr/>
      </w:pPr>
      <w:r>
        <w:rPr/>
        <w:t>​</w:t>
      </w:r>
    </w:p>
    <w:tbl>
      <w:tblPr>
        <w:tblW w:w="5185" w:type="dxa"/>
        <w:jc w:val="left"/>
        <w:tblInd w:w="0" w:type="dxa"/>
        <w:tblLayout w:type="fixed"/>
        <w:tblCellMar>
          <w:top w:w="0" w:type="dxa"/>
          <w:left w:w="0" w:type="dxa"/>
          <w:bottom w:w="0" w:type="dxa"/>
          <w:right w:w="0" w:type="dxa"/>
        </w:tblCellMar>
      </w:tblPr>
      <w:tblGrid>
        <w:gridCol w:w="2206"/>
        <w:gridCol w:w="326"/>
        <w:gridCol w:w="1141"/>
        <w:gridCol w:w="326"/>
        <w:gridCol w:w="118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400810" cy="175260"/>
                      <wp:effectExtent l="0" t="0" r="0" b="0"/>
                      <wp:wrapNone/>
                      <wp:docPr id="287" name="Frame284"/>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88"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724535" cy="175260"/>
                      <wp:effectExtent l="0" t="0" r="0" b="0"/>
                      <wp:wrapNone/>
                      <wp:docPr id="289" name="Frame28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0"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753110" cy="175260"/>
                      <wp:effectExtent l="0" t="0" r="0" b="0"/>
                      <wp:wrapNone/>
                      <wp:docPr id="291" name="Frame288"/>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2,245,076</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2,273,991</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90,035</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141,195</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2,646,287</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4,291,167</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Merchandise</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480,174</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626,772</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inventory provision</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(183,846)</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(245,902)</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5,277,726</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7,087,223</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Raw materials primarily consist of materials for volume production as well as spare parts used for aftersales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Finished goods include vehicles ready for transit at production factory, vehicles in transit to fulfill customer orders, new vehicles available for immediate sale at the Group’s sales and service center locations and charging piles.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Merchandise includes accessories and branded merchandise which can be redeemed by customer loyalty program.</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Inventory write-downs recorded in cost of sales for the years ended December 31, 2022, 2023 and 2024 were RMB148,729, RMB65,362 and RMB123,345, respectively.</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left"/>
        <w:rPr>
          <w:rFonts w:ascii="Times New Roman;Times;serif" w:hAnsi="Times New Roman;Times;serif"/>
          <w:b/>
          <w:sz w:val="20"/>
        </w:rPr>
      </w:pPr>
      <w:bookmarkStart w:id="1432" w:name="Tc_kAaLVaRHTkSpJy4fRQ-l-w_10_0"/>
      <w:bookmarkStart w:id="1433" w:name="Tc_Zb9KLOEXP026aKEZ0qoH1g_9_0"/>
      <w:bookmarkStart w:id="1434" w:name="Tc_dA0vdiXMG06ytlzB8iF35w_8_0"/>
      <w:bookmarkStart w:id="1435" w:name="Tc_MljcxZ3R0Eqzt-xiLfWVOA_7_0"/>
      <w:bookmarkStart w:id="1436" w:name="Tc_uYfHeHfJa0WVZPW1NTO8wQ_6_0"/>
      <w:bookmarkStart w:id="1437" w:name="Tc_vlrhvlzWgEyN0iylKkltbQ_4_0"/>
      <w:bookmarkStart w:id="1438" w:name="Tc_d6KSL_hxAE2FLlJ-BJ4IUw_3_0"/>
      <w:bookmarkStart w:id="1439" w:name="Tc_5Hv5f6HXskexyWyPv3FhqA_2_4"/>
      <w:bookmarkStart w:id="1440" w:name="Tc_JqvF2xsyc0qOyVoyt1XluA_2_2"/>
      <w:bookmarkStart w:id="1441" w:name="Tc_pdoTKVBdQU-4QNDHEphsaA_1_4"/>
      <w:bookmarkStart w:id="1442" w:name="Tc_jf9jckHYxkqVrTfQJj0C9g_1_2"/>
      <w:bookmarkEnd w:id="1432"/>
      <w:bookmarkEnd w:id="1433"/>
      <w:bookmarkEnd w:id="1434"/>
      <w:bookmarkEnd w:id="1435"/>
      <w:bookmarkEnd w:id="1436"/>
      <w:bookmarkEnd w:id="1437"/>
      <w:bookmarkEnd w:id="1438"/>
      <w:bookmarkEnd w:id="1439"/>
      <w:bookmarkEnd w:id="1440"/>
      <w:bookmarkEnd w:id="1441"/>
      <w:bookmarkEnd w:id="1442"/>
      <w:r>
        <w:rPr>
          <w:rFonts w:ascii="Times New Roman;Times;serif" w:hAnsi="Times New Roman;Times;serif"/>
          <w:b/>
          <w:sz w:val="20"/>
        </w:rPr>
        <w:t>6.    Prepayments and Other Current Assets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Prepayments and other current assets consist of the following:</w:t>
      </w:r>
    </w:p>
    <w:p>
      <w:pPr>
        <w:pStyle w:val="TextBody"/>
        <w:bidi w:val="0"/>
        <w:spacing w:before="0" w:after="240"/>
        <w:ind w:left="0" w:right="0" w:firstLine="360"/>
        <w:jc w:val="both"/>
        <w:rPr/>
      </w:pPr>
      <w:r>
        <w:rPr/>
        <w:t>​</w:t>
      </w:r>
    </w:p>
    <w:tbl>
      <w:tblPr>
        <w:tblW w:w="8155" w:type="dxa"/>
        <w:jc w:val="left"/>
        <w:tblInd w:w="0" w:type="dxa"/>
        <w:tblLayout w:type="fixed"/>
        <w:tblCellMar>
          <w:top w:w="0" w:type="dxa"/>
          <w:left w:w="0" w:type="dxa"/>
          <w:bottom w:w="0" w:type="dxa"/>
          <w:right w:w="0" w:type="dxa"/>
        </w:tblCellMar>
      </w:tblPr>
      <w:tblGrid>
        <w:gridCol w:w="5176"/>
        <w:gridCol w:w="326"/>
        <w:gridCol w:w="1141"/>
        <w:gridCol w:w="326"/>
        <w:gridCol w:w="1186"/>
      </w:tblGrid>
      <w:tr>
        <w:trPr/>
        <w:tc>
          <w:tcPr>
            <w:tcW w:w="5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3286760" cy="175260"/>
                      <wp:effectExtent l="0" t="0" r="0" b="0"/>
                      <wp:wrapNone/>
                      <wp:docPr id="292" name="Frame289"/>
                      <a:graphic xmlns:a="http://schemas.openxmlformats.org/drawingml/2006/main">
                        <a:graphicData uri="http://schemas.microsoft.com/office/word/2010/wordprocessingShape">
                          <wps:wsp>
                            <wps:cNvSpPr txBox="1"/>
                            <wps:spPr>
                              <a:xfrm>
                                <a:off x="0" y="0"/>
                                <a:ext cx="3286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293" name="Frame2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724535" cy="175260"/>
                      <wp:effectExtent l="0" t="0" r="0" b="0"/>
                      <wp:wrapNone/>
                      <wp:docPr id="294" name="Frame29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295" name="Frame2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753110" cy="175260"/>
                      <wp:effectExtent l="0" t="0" r="0" b="0"/>
                      <wp:wrapNone/>
                      <wp:docPr id="296" name="Frame29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1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Deductible VAT input</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2,271,162</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2,326,470</w:t>
            </w:r>
          </w:p>
        </w:tc>
      </w:tr>
      <w:tr>
        <w:trPr/>
        <w:tc>
          <w:tcPr>
            <w:tcW w:w="5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Prepayment to vendors</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575,016</w:t>
            </w:r>
          </w:p>
        </w:tc>
        <w:tc>
          <w:tcPr>
            <w:tcW w:w="32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755,376</w:t>
            </w:r>
          </w:p>
        </w:tc>
      </w:tr>
      <w:tr>
        <w:trPr/>
        <w:tc>
          <w:tcPr>
            <w:tcW w:w="517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240,769</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376,130</w:t>
            </w:r>
          </w:p>
        </w:tc>
      </w:tr>
      <w:tr>
        <w:trPr/>
        <w:tc>
          <w:tcPr>
            <w:tcW w:w="5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Receivables from third party online payment service providers</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160,030</w:t>
            </w:r>
          </w:p>
        </w:tc>
        <w:tc>
          <w:tcPr>
            <w:tcW w:w="32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85,621</w:t>
            </w:r>
          </w:p>
        </w:tc>
      </w:tr>
      <w:tr>
        <w:trPr/>
        <w:tc>
          <w:tcPr>
            <w:tcW w:w="5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42,340</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16,944</w:t>
            </w:r>
          </w:p>
        </w:tc>
      </w:tr>
      <w:tr>
        <w:trPr/>
        <w:tc>
          <w:tcPr>
            <w:tcW w:w="5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150,857</w:t>
            </w:r>
          </w:p>
        </w:tc>
        <w:tc>
          <w:tcPr>
            <w:tcW w:w="32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74,327</w:t>
            </w:r>
          </w:p>
        </w:tc>
      </w:tr>
      <w:tr>
        <w:trPr/>
        <w:tc>
          <w:tcPr>
            <w:tcW w:w="5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Allowance for credit losses</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(5,411)</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(1,912)</w:t>
            </w:r>
          </w:p>
        </w:tc>
      </w:tr>
      <w:tr>
        <w:trPr/>
        <w:tc>
          <w:tcPr>
            <w:tcW w:w="5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3,434,763</w:t>
            </w:r>
          </w:p>
        </w:tc>
        <w:tc>
          <w:tcPr>
            <w:tcW w:w="326" w:type="dxa"/>
            <w:tcBorders/>
            <w:vAlign w:val="center"/>
          </w:tcPr>
          <w:p>
            <w:pPr>
              <w:pStyle w:val="TableContents"/>
              <w:bidi w:val="0"/>
              <w:spacing w:before="0" w:after="1"/>
              <w:ind w:left="0" w:right="0" w:hanging="0"/>
              <w:jc w:val="left"/>
              <w:rPr/>
            </w:pPr>
            <w:r>
              <w:rPr/>
              <w:t>​</w:t>
            </w:r>
          </w:p>
        </w:tc>
        <w:tc>
          <w:tcPr>
            <w:tcW w:w="11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3,632,956</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443" w:name="Tc_tjpjyf0ZVU6M4zaOrn-7lg_18_0"/>
      <w:bookmarkStart w:id="1444" w:name="Tc_Hkd3guRWqE6cPHS4eV11Rg_17_0"/>
      <w:bookmarkStart w:id="1445" w:name="Tc__FTSPrIT6U6Of2UlFI9JrA_16_0"/>
      <w:bookmarkStart w:id="1446" w:name="Tc_iG9IxxwMy0GBAsAlndGMdg_15_0"/>
      <w:bookmarkStart w:id="1447" w:name="Tc_SNQoJLyCwE-D7M0gsGHdJA_14_0"/>
      <w:bookmarkStart w:id="1448" w:name="Tc_B2MwQamQcE2TseUq78JWew_13_0"/>
      <w:bookmarkStart w:id="1449" w:name="Tc_DeMWIVjWEkiHAUk988p4kw_12_0"/>
      <w:bookmarkStart w:id="1450" w:name="Tc_vVWpGqLMRkKJgBfhJAVX7A_11_0"/>
      <w:bookmarkStart w:id="1451" w:name="Tc_PPRGJrHBnkygAU-n4Lpymw_10_0"/>
      <w:bookmarkStart w:id="1452" w:name="Tc_8uHGacBya02fjrTonHbHNg_9_0"/>
      <w:bookmarkStart w:id="1453" w:name="Tc_RkhUS3-HX023sejYPlF27A_8_0"/>
      <w:bookmarkStart w:id="1454" w:name="Tc_ErGAn-Y6-UuKsNz1cjbKvA_7_0"/>
      <w:bookmarkStart w:id="1455" w:name="Tc_X5MlKiiFrEy0T4-nIr_NvA_6_0"/>
      <w:bookmarkStart w:id="1456" w:name="Tc_p6JSzTtWdUiZWukwzIwnog_5_0"/>
      <w:bookmarkStart w:id="1457" w:name="Tc_5A7gjfINAE60gX1nViNfuA_4_0"/>
      <w:bookmarkStart w:id="1458" w:name="Tc_OW6s5sRyDEWZf29ITgNVRQ_3_0"/>
      <w:bookmarkStart w:id="1459" w:name="Tc_C1kv4UHqUUeRutzzuuc7gw_2_4"/>
      <w:bookmarkStart w:id="1460" w:name="Tc_IjjeojVyM0-sDIGgi6rWYQ_2_2"/>
      <w:bookmarkStart w:id="1461" w:name="Tc_Z7oivoPkQUOiVo_yymVtHg_1_4"/>
      <w:bookmarkStart w:id="1462" w:name="Tc_sqE8p29ntUyDeY_EY_zZYQ_1_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r>
        <w:rPr>
          <w:rFonts w:ascii="Times New Roman;Times;serif" w:hAnsi="Times New Roman;Times;serif"/>
          <w:b/>
          <w:sz w:val="20"/>
        </w:rPr>
        <w:t>7.    Property, Plant and Equipment, Net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Property, plant and equipment and related accumulated depreciation were as follows:</w:t>
      </w:r>
    </w:p>
    <w:p>
      <w:pPr>
        <w:pStyle w:val="TextBody"/>
        <w:bidi w:val="0"/>
        <w:spacing w:before="0" w:after="240"/>
        <w:ind w:left="0" w:right="0" w:firstLine="360"/>
        <w:jc w:val="both"/>
        <w:rPr/>
      </w:pPr>
      <w:r>
        <w:rPr/>
        <w:t>​</w:t>
      </w:r>
    </w:p>
    <w:tbl>
      <w:tblPr>
        <w:tblW w:w="6415" w:type="dxa"/>
        <w:jc w:val="left"/>
        <w:tblInd w:w="0" w:type="dxa"/>
        <w:tblLayout w:type="fixed"/>
        <w:tblCellMar>
          <w:top w:w="0" w:type="dxa"/>
          <w:left w:w="0" w:type="dxa"/>
          <w:bottom w:w="0" w:type="dxa"/>
          <w:right w:w="0" w:type="dxa"/>
        </w:tblCellMar>
      </w:tblPr>
      <w:tblGrid>
        <w:gridCol w:w="3406"/>
        <w:gridCol w:w="326"/>
        <w:gridCol w:w="1156"/>
        <w:gridCol w:w="326"/>
        <w:gridCol w:w="1201"/>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62810" cy="175260"/>
                      <wp:effectExtent l="0" t="0" r="0" b="0"/>
                      <wp:wrapNone/>
                      <wp:docPr id="297" name="Frame294"/>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7010" cy="175260"/>
                      <wp:effectExtent l="0" t="0" r="0" b="0"/>
                      <wp:wrapNone/>
                      <wp:docPr id="298" name="Frame2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734060" cy="175260"/>
                      <wp:effectExtent l="0" t="0" r="0" b="0"/>
                      <wp:wrapNone/>
                      <wp:docPr id="299" name="Frame29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0" name="Frame2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762635" cy="175260"/>
                      <wp:effectExtent l="0" t="0" r="0" b="0"/>
                      <wp:wrapNone/>
                      <wp:docPr id="301" name="Frame298"/>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Charging &amp; battery swap equipment </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6,442,827</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7,761,253</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Mold and tooling</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6,341,011</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7,108,020</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Production facilities </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6,025,654</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6,845,010</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Leasehold improvements </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5,160,732</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6,124,611</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process</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2,894,333</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3,616,078</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vehicles</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833,355</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1,949,132</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and electronic equipment</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1,767,634</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1,922,333</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R&amp;D equipment</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1,469,604</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1,635,821</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Purchased software</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1,281,685</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1,349,419</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constructions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912,378</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913,281</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Subscription vehicles</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890,044</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799,846</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1,150,042</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1,429,868</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35,169,299</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41,454,672</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(10,288,331)</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(15,559,399)</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impairment</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(33,964)</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(2,369)</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plant and equipment, net</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24,847,004</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25,892,904</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Group recorded depreciation expenses of RMB2,874,912, RMB3,372,673 and RMB5,870,195 for the years ended December 31, 2022, 2023 and 2024, respectively.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63" w:name="Tc_-7gJvx4wJ0qGhdHVB07Sfw_5_0"/>
      <w:bookmarkStart w:id="1464" w:name="Tc_RA7JT0r94Ee_zu9ZuUdzFg_4_0"/>
      <w:bookmarkStart w:id="1465" w:name="Tc_GXVvpZp0k0Ky28rojTb-Vg_3_0"/>
      <w:bookmarkStart w:id="1466" w:name="Tc_RYBQDZ0YWkKSNMr8mJpZ4A_2_4"/>
      <w:bookmarkStart w:id="1467" w:name="Tc_0cOtHOXwTECGyE_DQa6Ilg_2_2"/>
      <w:bookmarkStart w:id="1468" w:name="Tc_oAobZVBtn0SJIQVzOKtYnQ_1_4"/>
      <w:bookmarkStart w:id="1469" w:name="Tc_wfcg2-fBEkSq2FFIXFtheg_1_2"/>
      <w:bookmarkEnd w:id="1463"/>
      <w:bookmarkEnd w:id="1464"/>
      <w:bookmarkEnd w:id="1465"/>
      <w:bookmarkEnd w:id="1466"/>
      <w:bookmarkEnd w:id="1467"/>
      <w:bookmarkEnd w:id="1468"/>
      <w:bookmarkEnd w:id="1469"/>
      <w:r>
        <w:rPr>
          <w:rFonts w:ascii="Times New Roman;Times;serif" w:hAnsi="Times New Roman;Times;serif"/>
          <w:b/>
          <w:sz w:val="20"/>
        </w:rPr>
        <w:t>8.    Land Use Rights, Net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Land use rights and related accumulated amortization were as follows:</w:t>
      </w:r>
    </w:p>
    <w:p>
      <w:pPr>
        <w:pStyle w:val="TextBody"/>
        <w:bidi w:val="0"/>
        <w:spacing w:before="0" w:after="0"/>
        <w:ind w:left="0" w:right="0" w:hanging="0"/>
        <w:jc w:val="left"/>
        <w:rPr/>
      </w:pPr>
      <w:r>
        <w:rPr/>
        <w:t>​</w:t>
      </w:r>
    </w:p>
    <w:tbl>
      <w:tblPr>
        <w:tblW w:w="7105" w:type="dxa"/>
        <w:jc w:val="left"/>
        <w:tblInd w:w="0" w:type="dxa"/>
        <w:tblLayout w:type="fixed"/>
        <w:tblCellMar>
          <w:top w:w="0" w:type="dxa"/>
          <w:left w:w="0" w:type="dxa"/>
          <w:bottom w:w="0" w:type="dxa"/>
          <w:right w:w="0" w:type="dxa"/>
        </w:tblCellMar>
      </w:tblPr>
      <w:tblGrid>
        <w:gridCol w:w="4126"/>
        <w:gridCol w:w="326"/>
        <w:gridCol w:w="1141"/>
        <w:gridCol w:w="326"/>
        <w:gridCol w:w="1186"/>
      </w:tblGrid>
      <w:tr>
        <w:trPr/>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620010" cy="175260"/>
                      <wp:effectExtent l="0" t="0" r="0" b="0"/>
                      <wp:wrapNone/>
                      <wp:docPr id="302" name="Frame299"/>
                      <a:graphic xmlns:a="http://schemas.openxmlformats.org/drawingml/2006/main">
                        <a:graphicData uri="http://schemas.microsoft.com/office/word/2010/wordprocessingShape">
                          <wps:wsp>
                            <wps:cNvSpPr txBox="1"/>
                            <wps:spPr>
                              <a:xfrm>
                                <a:off x="0" y="0"/>
                                <a:ext cx="2620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03"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724535" cy="175260"/>
                      <wp:effectExtent l="0" t="0" r="0" b="0"/>
                      <wp:wrapNone/>
                      <wp:docPr id="304" name="Frame30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05" name="Frame3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753110" cy="175260"/>
                      <wp:effectExtent l="0" t="0" r="0" b="0"/>
                      <wp:wrapNone/>
                      <wp:docPr id="306" name="Frame30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use rights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235,198</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235,198</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amortization—land use rights</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(27,899)</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(33,203)</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land use rights, net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207,299</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201,995</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Group recorded amortization expense for land use rights of RMB5,227, RMB5,304 and RMB5,304 for the years ended December 31, 2022, 2023 and 2024,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both"/>
        <w:rPr>
          <w:rFonts w:ascii="Times New Roman;Times;serif" w:hAnsi="Times New Roman;Times;serif"/>
          <w:b/>
          <w:sz w:val="20"/>
        </w:rPr>
      </w:pPr>
      <w:bookmarkStart w:id="1470" w:name="Tc_om1ez9y590i8-QbA-G5GRg_12_0"/>
      <w:bookmarkStart w:id="1471" w:name="Tc_XyHVSxu2v0ubnYI-H_rqpA_11_0"/>
      <w:bookmarkStart w:id="1472" w:name="Tc_ms8VpDlstUu_BOPcYS1OkA_10_0"/>
      <w:bookmarkStart w:id="1473" w:name="Tc_aUUiSRuuVUasyKsy0BJH_w_9_0"/>
      <w:bookmarkStart w:id="1474" w:name="Tc_6-6CgeWoa0enLT821MoN0w_8_0"/>
      <w:bookmarkStart w:id="1475" w:name="Tc_YqgIMWpgskmsBzbXDEi8hQ_7_0"/>
      <w:bookmarkStart w:id="1476" w:name="Tc_2a4OZgS7EUSY4BRDhAjYhg_6_0"/>
      <w:bookmarkStart w:id="1477" w:name="Tc_IFQWwzX9lkmLnRjIYe_Cww_5_0"/>
      <w:bookmarkStart w:id="1478" w:name="Tc_sUnyjoL4KUmcgmYIZRSKHw_4_0"/>
      <w:bookmarkStart w:id="1479" w:name="Tc_70ZtJmKamk-vU9rcO59unw_3_0"/>
      <w:bookmarkStart w:id="1480" w:name="Tc_KHS8UJzhtUeNeZDuC3kviA_2_4"/>
      <w:bookmarkStart w:id="1481" w:name="Tc_Df1TXh8Nu0mXN7U7_X6p5w_2_2"/>
      <w:bookmarkStart w:id="1482" w:name="Tc_KgVpi2bj2UWfo6WLLx7Rtw_1_4"/>
      <w:bookmarkStart w:id="1483" w:name="Tc_cJfcAptJxkOd_qMMcBHOfA_1_2"/>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r>
        <w:rPr>
          <w:rFonts w:ascii="Times New Roman;Times;serif" w:hAnsi="Times New Roman;Times;serif"/>
          <w:b/>
          <w:sz w:val="20"/>
        </w:rPr>
        <w:t>9.    Long-term investments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Group’s long-term investments consisted of the following:</w:t>
      </w:r>
    </w:p>
    <w:p>
      <w:pPr>
        <w:pStyle w:val="TextBody"/>
        <w:bidi w:val="0"/>
        <w:spacing w:before="0" w:after="240"/>
        <w:ind w:left="0" w:right="0" w:hanging="0"/>
        <w:jc w:val="both"/>
        <w:rPr/>
      </w:pPr>
      <w:r>
        <w:rPr/>
        <w:t>​</w:t>
      </w:r>
    </w:p>
    <w:tbl>
      <w:tblPr>
        <w:tblW w:w="7930" w:type="dxa"/>
        <w:jc w:val="left"/>
        <w:tblInd w:w="0" w:type="dxa"/>
        <w:tblLayout w:type="fixed"/>
        <w:tblCellMar>
          <w:top w:w="0" w:type="dxa"/>
          <w:left w:w="0" w:type="dxa"/>
          <w:bottom w:w="0" w:type="dxa"/>
          <w:right w:w="0" w:type="dxa"/>
        </w:tblCellMar>
      </w:tblPr>
      <w:tblGrid>
        <w:gridCol w:w="5041"/>
        <w:gridCol w:w="326"/>
        <w:gridCol w:w="1096"/>
        <w:gridCol w:w="326"/>
        <w:gridCol w:w="1141"/>
      </w:tblGrid>
      <w:tr>
        <w:trPr/>
        <w:tc>
          <w:tcPr>
            <w:tcW w:w="5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3201035" cy="175260"/>
                      <wp:effectExtent l="0" t="0" r="0" b="0"/>
                      <wp:wrapNone/>
                      <wp:docPr id="307" name="Frame304"/>
                      <a:graphic xmlns:a="http://schemas.openxmlformats.org/drawingml/2006/main">
                        <a:graphicData uri="http://schemas.microsoft.com/office/word/2010/wordprocessingShape">
                          <wps:wsp>
                            <wps:cNvSpPr txBox="1"/>
                            <wps:spPr>
                              <a:xfrm>
                                <a:off x="0" y="0"/>
                                <a:ext cx="3201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07010" cy="175260"/>
                      <wp:effectExtent l="0" t="0" r="0" b="0"/>
                      <wp:wrapNone/>
                      <wp:docPr id="308" name="Frame3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95960" cy="175260"/>
                      <wp:effectExtent l="0" t="0" r="0" b="0"/>
                      <wp:wrapNone/>
                      <wp:docPr id="309" name="Frame306"/>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0"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724535" cy="175260"/>
                      <wp:effectExtent l="0" t="0" r="0" b="0"/>
                      <wp:wrapNone/>
                      <wp:docPr id="311" name="Frame30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5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investments:</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method investments (i)</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1,505,509</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1,275,287</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securities using fair value option (ii)</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1,528,861</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1,103,150</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securities without readily determinable fair value (iii)</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391,205</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504,282</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securities with readily determinable fair value</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45,323</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33,865</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investments:</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Held-to-maturity debt securities – time deposit (iv)</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1,875,318</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12,086</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debt securities (v)</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120,000</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173,918</w:t>
            </w:r>
          </w:p>
        </w:tc>
      </w:tr>
      <w:tr>
        <w:trPr/>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Retained asset-backed securities (vi)</w:t>
            </w:r>
          </w:p>
        </w:tc>
        <w:tc>
          <w:tcPr>
            <w:tcW w:w="326" w:type="dxa"/>
            <w:tcBorders/>
            <w:shd w:fill="CCEEFF" w:val="cle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21,000</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23,419</w:t>
            </w:r>
          </w:p>
        </w:tc>
      </w:tr>
      <w:tr>
        <w:trPr/>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5,487,216</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3,126,007</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 Equity method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August 2020, the Group and three other third party investors jointly established the Battery Asset Company. The Group invested RMB200,000 in the Battery Asset Company and held 25% of the Battery Asset Company’s equity interests. In December 2020, the Battery Asset Company entered into an agreement with the other third-party investors for a total additional investment of RMB640,000 by those investors. In 2021, the Group invested an additional RMB270,000 and owned approximately 19.8% equity interests of the Battery Asset Company. In July 2022, the Battery Asset Company entered into an agreement with the other third-party investors for a total additional investment of RMB40,000 by those investors. As of December 31, 2024, the Group owns approximately 19.4% equity interests of the Battery Asset Company. The Group, as a major shareholder of the Battery Asset Company, is entitled to appoint one out of eight directors in the Battery Asset Company’s board of directors and can exercise significant influence over the Battery Asset Company. Therefore, the investment in the Battery Asset Company is accounted for using the equity method of accounting.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July 2024, the Group and one of its shareholders, CYVN Holding L.L.C. (“CYVN”), established a joint venture, with total authorized share capital of US$55 million, among which, the Group and CYVN will invest US$28 million and US$27 million, representing equity interests of 51% and 49%, respectively. The Group is not considered as the controlling shareholder of this joint value given the absence of sufficient voting interests over this joint venture’s significant activities by assessing its influence over decision-making activities in both board of directors and shareholders’ level. As a result, this investment is accounted for using equity method.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2023 and 2024, the Group invested in several private funds and entities with a total amount of RMB128,225 and RMB279,079, respectively. The Group does not control but can exercise significant influence over these investees with certain voting rights. Therefore, the Group accounts for these investments under equity method.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years ended December 31, 2022, 2023 and 2024, the Group recognized RMB377,775, RMB64,394 of shares of income of equity investees and RMB503,193 of shares of loss of equity investees, respectively, from these equity method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2023 and 2024, none of the Group’s equity method investment, neither individually nor in aggregate, was considered as significant under Reg S-X Rules.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bookmarkStart w:id="1484" w:name="Tc_YWzHWbVn2Eix38KuA05EIQ_6_0"/>
      <w:bookmarkStart w:id="1485" w:name="Tc_rOvoC__gYkijPV8zrz5Ryw_5_0"/>
      <w:bookmarkStart w:id="1486" w:name="Tc_PgEp3sUg7USsUb3cdOkKUQ_4_0"/>
      <w:bookmarkStart w:id="1487" w:name="Tc_yJYz7sCm20yIRV2h8tJrlQ_3_0"/>
      <w:bookmarkStart w:id="1488" w:name="Tc_UFJqwlyS8kGax9osFrLuLQ_2_4"/>
      <w:bookmarkStart w:id="1489" w:name="Tc_aZEHcEV4fEy1IQQCG6T7dg_2_2"/>
      <w:bookmarkStart w:id="1490" w:name="Tc_e6UToE_r3k6j6veDkQDeTw_1_4"/>
      <w:bookmarkStart w:id="1491" w:name="Tc_blrJ5ipue026I5sci7O_UA_1_2"/>
      <w:bookmarkEnd w:id="1484"/>
      <w:bookmarkEnd w:id="1485"/>
      <w:bookmarkEnd w:id="1486"/>
      <w:bookmarkEnd w:id="1487"/>
      <w:bookmarkEnd w:id="1488"/>
      <w:bookmarkEnd w:id="1489"/>
      <w:bookmarkEnd w:id="1490"/>
      <w:bookmarkEnd w:id="1491"/>
      <w:r>
        <w:rPr>
          <w:rFonts w:ascii="Times New Roman;Times;serif" w:hAnsi="Times New Roman;Times;serif"/>
          <w:sz w:val="20"/>
        </w:rPr>
        <w:t>(ii) Equity securities using fair value option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In July 2021, the Group, together with several third party investors, established a fund with total capital contributions of RMB650,000, among which the Group contributed RMB550,000. According to the fund agreement, the fund is established for the sole purpose of investing in a pre-determined private company and the Group is able to unilaterally determine the operation and investment strategy of the fund. Therefore, the Group consolidated the financial statements of the fund. The investments provided by other investors to the fund with amount of RMB100,000 are classified as non-controlling interest. The fund purchased a minority interest of a private company that was pre-determined with total consideration of RMB650,000. Since the investment contained certain substantive preferential rights, including redemption at the holders’ option upon occurrence of certain contingent events that were out of the investee’s control and liquidation preference over the common shareholders, it was not considered as common stock or in-substance common stock and was therefore classified as available-for-sale debt investment which was measured at its fair value with the change of fair value recognized as other comprehensive income. In 2022, the Group entered into agreements with other third-party investors and disposed certain equity interests of this private company with the total consideration of RMB270,000 and recognized investment gain of RMB171,567, among which RMB4,652 were released from </w:t>
      </w:r>
      <w:r>
        <w:rPr>
          <w:rFonts w:ascii="Times New Roman;Times;serif" w:hAnsi="Times New Roman;Times;serif"/>
          <w:b w:val="false"/>
          <w:i w:val="false"/>
          <w:caps w:val="false"/>
          <w:smallCaps w:val="false"/>
          <w:sz w:val="20"/>
        </w:rPr>
        <w:t>unrealized gains</w:t>
      </w:r>
      <w:r>
        <w:rPr>
          <w:rFonts w:ascii="Times New Roman;Times;serif" w:hAnsi="Times New Roman;Times;serif"/>
          <w:sz w:val="20"/>
        </w:rPr>
        <w:t xml:space="preserve"> of other comprehensive income. In November 2023, all shareholders of the investee entered into agreements and agreed to terminate their redemption rights, with other preferential rights being remained effective, including the rights to request the investee’s founders’ to repurchase shares from certain shareholders upon the achievement of certain contingent events (the “Put option”) and liquidation preference over the rights of common shareholders. As a result of these changes, the Group determined that the fund should no longer be considered a debt investment. The Group discontinued available-for-sale debt investment accounting and accounted for this investment as an equity investment using the fair value option. Due to the change in the character of the investment and as a result of the related remeasurement, a gain on the previously held available-for-sale debt security was recognized by recycling a previously unrealized gain of RMB977,294 from other comprehensive income to investment income. Correspondingly, the deferred tax impact associated with this unrealised gain of RMB206,734 that was previously recorded in other comprehensive income was recognized in deferred income tax expenses.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As of December 31, 2024, the Group valued equity securities using fair value option using a market approach by adopting a backsolve method which benchmarked to recent comparable financing transactions of these investments, and recognized a loss from the decrease of the fair value of RMB425,711. After deducting the tax impact of RMB89,411, the Group recorded RMB336,300 in net loss, among which RMB68,068 was attributed to non-controlling interests.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(iii) Equity securities without readily determinable fair value</w:t>
      </w:r>
    </w:p>
    <w:p>
      <w:pPr>
        <w:pStyle w:val="TextBody"/>
        <w:bidi w:val="0"/>
        <w:spacing w:before="0" w:after="0"/>
        <w:ind w:left="0" w:right="0" w:hanging="0"/>
        <w:jc w:val="left"/>
        <w:rPr/>
      </w:pPr>
      <w:r>
        <w:rPr/>
        <w:t>​</w:t>
      </w:r>
    </w:p>
    <w:tbl>
      <w:tblPr>
        <w:tblW w:w="7735" w:type="dxa"/>
        <w:jc w:val="left"/>
        <w:tblInd w:w="0" w:type="dxa"/>
        <w:tblLayout w:type="fixed"/>
        <w:tblCellMar>
          <w:top w:w="0" w:type="dxa"/>
          <w:left w:w="0" w:type="dxa"/>
          <w:bottom w:w="0" w:type="dxa"/>
          <w:right w:w="0" w:type="dxa"/>
        </w:tblCellMar>
      </w:tblPr>
      <w:tblGrid>
        <w:gridCol w:w="4756"/>
        <w:gridCol w:w="326"/>
        <w:gridCol w:w="1141"/>
        <w:gridCol w:w="326"/>
        <w:gridCol w:w="1186"/>
      </w:tblGrid>
      <w:tr>
        <w:trPr/>
        <w:tc>
          <w:tcPr>
            <w:tcW w:w="4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3020060" cy="175260"/>
                      <wp:effectExtent l="0" t="0" r="0" b="0"/>
                      <wp:wrapNone/>
                      <wp:docPr id="312" name="Frame309"/>
                      <a:graphic xmlns:a="http://schemas.openxmlformats.org/drawingml/2006/main">
                        <a:graphicData uri="http://schemas.microsoft.com/office/word/2010/wordprocessingShape">
                          <wps:wsp>
                            <wps:cNvSpPr txBox="1"/>
                            <wps:spPr>
                              <a:xfrm>
                                <a:off x="0" y="0"/>
                                <a:ext cx="302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13"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724535" cy="175260"/>
                      <wp:effectExtent l="0" t="0" r="0" b="0"/>
                      <wp:wrapNone/>
                      <wp:docPr id="314" name="Frame31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15" name="Frame3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753110" cy="175260"/>
                      <wp:effectExtent l="0" t="0" r="0" b="0"/>
                      <wp:wrapNone/>
                      <wp:docPr id="316" name="Frame31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securities without readily determinable fair value:</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86" w:type="dxa"/>
            <w:tcBorders/>
            <w:shd w:fill="CCEEFF" w:val="clear"/>
            <w:vAlign w:val="center"/>
          </w:tcPr>
          <w:p>
            <w:pPr>
              <w:pStyle w:val="TableContents"/>
              <w:bidi w:val="0"/>
              <w:spacing w:before="0" w:after="1"/>
              <w:ind w:left="0" w:right="0" w:hanging="0"/>
              <w:jc w:val="right"/>
              <w:rPr/>
            </w:pPr>
            <w:r>
              <w:rPr/>
              <w:t>  </w: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Initial cost</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304,134</w:t>
            </w:r>
          </w:p>
        </w:tc>
        <w:tc>
          <w:tcPr>
            <w:tcW w:w="326"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417,497</w: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cumulative fair value adjustments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87,071</w:t>
            </w:r>
          </w:p>
        </w:tc>
        <w:tc>
          <w:tcPr>
            <w:tcW w:w="326" w:type="dxa"/>
            <w:tcBorders/>
            <w:shd w:fill="CCEEFF" w:val="clear"/>
            <w:vAlign w:val="center"/>
          </w:tcPr>
          <w:p>
            <w:pPr>
              <w:pStyle w:val="TableContents"/>
              <w:bidi w:val="0"/>
              <w:spacing w:before="0" w:after="1"/>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86,785</w: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Carrying value</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391,205</w:t>
            </w:r>
          </w:p>
        </w:tc>
        <w:tc>
          <w:tcPr>
            <w:tcW w:w="326" w:type="dxa"/>
            <w:tcBorders/>
            <w:vAlign w:val="center"/>
          </w:tcPr>
          <w:p>
            <w:pPr>
              <w:pStyle w:val="TableContents"/>
              <w:bidi w:val="0"/>
              <w:spacing w:before="0" w:after="1"/>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504,282</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has certain equity investments which are measured under the measurement alternative. During the years ended December 31, 2022, 2023 and 2024, the Group invested RMB35, RMB294,657 and RMB113,363 in equity securities without readily determinable fair value, respectively. The Group re-measured these investments based on recent financing transactions of these investees, which were considered as observable transactions, and recorded fair value losses of RMB2,652, RMB4,988 and RMB286 in investment income during the years ended December 31, 2022, 2023 and 2024,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 impairment charges were recognized for the years ended December 31, 2022, 2023 and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(iv) Held-to-maturity debt securities – time deposit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Held-to-maturity investments represent time deposits in commercial banks with maturities of more than one year with carrying amounts of RMB1,875.3 million and RMB12.1 million as of December 31, 2023 and 2024 respectively. As of December 31, 2023 and 2024, the weighted average maturities periods are 1.5 and 2.1 years,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 impairment charges were recognized for the years ended December 31, 2022, 2023 and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00"/>
        <w:ind w:left="0" w:right="0" w:firstLine="360"/>
        <w:jc w:val="both"/>
        <w:rPr>
          <w:rFonts w:ascii="Times New Roman;Times;serif" w:hAnsi="Times New Roman;Times;serif"/>
          <w:sz w:val="20"/>
        </w:rPr>
      </w:pPr>
      <w:bookmarkStart w:id="1492" w:name="Tc_WHEl-BKw3U6j5HBA1kC4EQ_6_0"/>
      <w:bookmarkStart w:id="1493" w:name="Tc_NfE2d_R_JUS1RLm9U1Lxow_5_4"/>
      <w:bookmarkStart w:id="1494" w:name="Tc_rgAz6MzB1Ue5y4NEGeCiNQ_5_2"/>
      <w:bookmarkStart w:id="1495" w:name="Tc_ummtkDZQbkmrnmjsP4sQWA_5_0"/>
      <w:bookmarkStart w:id="1496" w:name="Tc_huItQzxl9UOgBvvpWaZOqA_4_0"/>
      <w:bookmarkStart w:id="1497" w:name="Tc_kTyitrFK5k2Y4F-5G8v4yg_3_0"/>
      <w:bookmarkStart w:id="1498" w:name="Tc_h2CnF7Zqs0iVeolczdqrjQ_2_4"/>
      <w:bookmarkStart w:id="1499" w:name="Tc_Br9l4cmO6USONDZYaCJE1g_2_2"/>
      <w:bookmarkStart w:id="1500" w:name="Tc_WUoOHkSzS0y3JnNE5fR47g_1_4"/>
      <w:bookmarkStart w:id="1501" w:name="Tc_glL24N80J0aRFWellPSWmQ_1_2"/>
      <w:bookmarkEnd w:id="1492"/>
      <w:bookmarkEnd w:id="1493"/>
      <w:bookmarkEnd w:id="1494"/>
      <w:bookmarkEnd w:id="1495"/>
      <w:bookmarkEnd w:id="1496"/>
      <w:bookmarkEnd w:id="1497"/>
      <w:bookmarkEnd w:id="1498"/>
      <w:bookmarkEnd w:id="1499"/>
      <w:bookmarkEnd w:id="1500"/>
      <w:bookmarkEnd w:id="1501"/>
      <w:r>
        <w:rPr>
          <w:rFonts w:ascii="Times New Roman;Times;serif" w:hAnsi="Times New Roman;Times;serif"/>
          <w:sz w:val="20"/>
        </w:rPr>
        <w:t>(v) Available-for-sale debt securities</w:t>
      </w:r>
    </w:p>
    <w:p>
      <w:pPr>
        <w:pStyle w:val="TextBody"/>
        <w:bidi w:val="0"/>
        <w:spacing w:before="0" w:after="0"/>
        <w:ind w:left="0" w:right="0" w:hanging="0"/>
        <w:jc w:val="left"/>
        <w:rPr/>
      </w:pPr>
      <w:r>
        <w:rPr/>
        <w:t>​</w:t>
      </w:r>
    </w:p>
    <w:tbl>
      <w:tblPr>
        <w:tblW w:w="6175" w:type="dxa"/>
        <w:jc w:val="left"/>
        <w:tblInd w:w="0" w:type="dxa"/>
        <w:tblLayout w:type="fixed"/>
        <w:tblCellMar>
          <w:top w:w="0" w:type="dxa"/>
          <w:left w:w="0" w:type="dxa"/>
          <w:bottom w:w="0" w:type="dxa"/>
          <w:right w:w="0" w:type="dxa"/>
        </w:tblCellMar>
      </w:tblPr>
      <w:tblGrid>
        <w:gridCol w:w="3196"/>
        <w:gridCol w:w="326"/>
        <w:gridCol w:w="1141"/>
        <w:gridCol w:w="326"/>
        <w:gridCol w:w="1186"/>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29460" cy="175260"/>
                      <wp:effectExtent l="0" t="0" r="0" b="0"/>
                      <wp:wrapNone/>
                      <wp:docPr id="317" name="Frame314"/>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18" name="Frame3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724535" cy="175260"/>
                      <wp:effectExtent l="0" t="0" r="0" b="0"/>
                      <wp:wrapNone/>
                      <wp:docPr id="319" name="Frame31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320" name="Frame3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753110" cy="175260"/>
                      <wp:effectExtent l="0" t="0" r="0" b="0"/>
                      <wp:wrapNone/>
                      <wp:docPr id="321" name="Frame318"/>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debt securities: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  </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Initial cost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120,000</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173,918</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cumulative fair value adjustments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Carrying value</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120,000</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173,918</w:t>
            </w:r>
          </w:p>
        </w:tc>
      </w:tr>
    </w:tbl>
    <w:p>
      <w:pPr>
        <w:pStyle w:val="TextBody"/>
        <w:bidi w:val="0"/>
        <w:spacing w:before="0" w:after="0"/>
        <w:ind w:left="0" w:right="0" w:hanging="0"/>
        <w:jc w:val="left"/>
        <w:rPr/>
      </w:pPr>
      <w:r>
        <w:rPr/>
        <w: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During the years ended 2022, 2023 and 2024, the Group invested RMB120,000, nil and RMB53,918 in certain private companies, respectively. Since the investment contains certain substantive preferential rights, including redemption at the holders’ option upon occurrence of certain contingent events that are out of the investee’s control and liquidation preference over the rights of common shareholders, it is not considered as common stock or in-substance common stock and is therefore classified as available-for-sale debt investment which is measured at its fair value with the change of fair value recognized as other comprehensive income.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There was no significant change to the fair value of these available-for-sale debt securities investments during the years ended December 31, 2022, 2023 and 2024, based on the Company’s fair value assessment. No impairment charges were recognized for the years ended December 31, 2022, 2023 and 2024.</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(vi) Retained asset-backed securities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August 2023 and January 2024, the Company, through its wholly owned subsidiary, entered into asset-backed securitization arrangements and securitized receivables arising from auto financing arrangements through the transfer of those assets to third party securitization entities. The securitization entities initially issued debt securities to investors at the total amount of RMB859 million and RMB2,450 million, respectively. The Group provides management, administration and collection services at market rates on the transferred financial assets, but only retains an insignificant economic interest in the securitization entities. As a result, the Group does not have control over the securitization entity and the transferred receivables were derecognized. The Group elects to classify the retained asset-backed securities as trading securities.</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502" w:name="Tc_G3cMgnp2A0WqR9MGzsN0-A_9_0"/>
      <w:bookmarkStart w:id="1503" w:name="Tc_RTMbout13UOt3EfBIKQcIw_8_0"/>
      <w:bookmarkStart w:id="1504" w:name="Tc_qc3f8Fq4c0ufT9z-vNEgoA_7_0"/>
      <w:bookmarkStart w:id="1505" w:name="Tc_LiFcQldcDEGM9GEsI1a7Vg_6_0"/>
      <w:bookmarkStart w:id="1506" w:name="Tc_3Jp7Bf6UhkaCcQwBAdRwjQ_5_0"/>
      <w:bookmarkStart w:id="1507" w:name="Tc_0LCzf_sLEk--YELG2Q44rA_4_0"/>
      <w:bookmarkStart w:id="1508" w:name="Tc_2zGERPkTO0O791BbXtr42g_3_0"/>
      <w:bookmarkStart w:id="1509" w:name="Tc_-bYPLuonxk2qcnJmg2jFlg_2_4"/>
      <w:bookmarkStart w:id="1510" w:name="Tc_-QTYibH-XESYajZfhGuXoA_2_2"/>
      <w:bookmarkStart w:id="1511" w:name="Tc_lFsFSsxl_EOexqIHehJXmQ_1_4"/>
      <w:bookmarkStart w:id="1512" w:name="Tc_liOVBGurUUiSVB7-crzfEg_1_2"/>
      <w:bookmarkEnd w:id="1502"/>
      <w:bookmarkEnd w:id="1503"/>
      <w:bookmarkEnd w:id="1504"/>
      <w:bookmarkEnd w:id="1505"/>
      <w:bookmarkEnd w:id="1506"/>
      <w:bookmarkEnd w:id="1507"/>
      <w:bookmarkEnd w:id="1508"/>
      <w:bookmarkEnd w:id="1509"/>
      <w:bookmarkEnd w:id="1510"/>
      <w:bookmarkEnd w:id="1511"/>
      <w:bookmarkEnd w:id="1512"/>
      <w:r>
        <w:rPr>
          <w:rFonts w:ascii="Times New Roman;Times;serif" w:hAnsi="Times New Roman;Times;serif"/>
          <w:b/>
          <w:sz w:val="20"/>
        </w:rPr>
        <w:t>10.   Other Non-current Assets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non-current assets consist of the following:</w:t>
      </w:r>
    </w:p>
    <w:p>
      <w:pPr>
        <w:pStyle w:val="TextBody"/>
        <w:bidi w:val="0"/>
        <w:spacing w:before="0" w:after="240"/>
        <w:ind w:left="0" w:right="0" w:firstLine="360"/>
        <w:jc w:val="both"/>
        <w:rPr/>
      </w:pPr>
      <w:r>
        <w:rPr/>
        <w:t>​</w:t>
      </w:r>
    </w:p>
    <w:tbl>
      <w:tblPr>
        <w:tblW w:w="7645" w:type="dxa"/>
        <w:jc w:val="left"/>
        <w:tblInd w:w="0" w:type="dxa"/>
        <w:tblLayout w:type="fixed"/>
        <w:tblCellMar>
          <w:top w:w="0" w:type="dxa"/>
          <w:left w:w="0" w:type="dxa"/>
          <w:bottom w:w="0" w:type="dxa"/>
          <w:right w:w="0" w:type="dxa"/>
        </w:tblCellMar>
      </w:tblPr>
      <w:tblGrid>
        <w:gridCol w:w="4666"/>
        <w:gridCol w:w="326"/>
        <w:gridCol w:w="1141"/>
        <w:gridCol w:w="326"/>
        <w:gridCol w:w="1186"/>
      </w:tblGrid>
      <w:tr>
        <w:trPr/>
        <w:tc>
          <w:tcPr>
            <w:tcW w:w="4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962910" cy="175260"/>
                      <wp:effectExtent l="0" t="0" r="0" b="0"/>
                      <wp:wrapNone/>
                      <wp:docPr id="322" name="Frame319"/>
                      <a:graphic xmlns:a="http://schemas.openxmlformats.org/drawingml/2006/main">
                        <a:graphicData uri="http://schemas.microsoft.com/office/word/2010/wordprocessingShape">
                          <wps:wsp>
                            <wps:cNvSpPr txBox="1"/>
                            <wps:spPr>
                              <a:xfrm>
                                <a:off x="0" y="0"/>
                                <a:ext cx="2962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23" name="Frame3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724535" cy="175260"/>
                      <wp:effectExtent l="0" t="0" r="0" b="0"/>
                      <wp:wrapNone/>
                      <wp:docPr id="324" name="Frame32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25"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753110" cy="175260"/>
                      <wp:effectExtent l="0" t="0" r="0" b="0"/>
                      <wp:wrapNone/>
                      <wp:docPr id="326" name="Frame32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portion of prepayments for long-term assets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1,173,248</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1,246,836</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deposits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1,092,550</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1,196,193</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portion of auto financing receivables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2,486,326</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863,796</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portion of right of use assets – finance lease</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55,985</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63,635</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128,809</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262,063</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credit losses</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(53,357)</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(59,386)</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4,883,561</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3,573,137</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Long-term deposits mainly consists of deposits to vendors for guarantee of production capacity as well as rental deposits which will not be collectible within one year.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both"/>
        <w:rPr>
          <w:rFonts w:ascii="Times New Roman;Times;serif" w:hAnsi="Times New Roman;Times;serif"/>
          <w:b/>
          <w:sz w:val="20"/>
        </w:rPr>
      </w:pPr>
      <w:bookmarkStart w:id="1513" w:name="Tc_2rj-Nw8ltUOYmICqHKgchQ_16_0"/>
      <w:bookmarkStart w:id="1514" w:name="Tc_nQhsiAgtfE-1AdykxbQldQ_15_0"/>
      <w:bookmarkStart w:id="1515" w:name="Tc_nvu9rfLN_06-EGOjUEdcoA_14_0"/>
      <w:bookmarkStart w:id="1516" w:name="Tc_oqcbjO9JgE6MJwEj5biKhQ_13_0"/>
      <w:bookmarkStart w:id="1517" w:name="Tc_BCT4mFfRkkGuDFv8b-fOng_12_2"/>
      <w:bookmarkStart w:id="1518" w:name="Tc_byPZeugEmUmr4oPOECNaJQ_12_0"/>
      <w:bookmarkStart w:id="1519" w:name="Tc_97eRmFKU4kSXeRvCK2AYcQ_11_0"/>
      <w:bookmarkStart w:id="1520" w:name="Tc_RbR38ce2LU2E7o25cCb4Rw_10_0"/>
      <w:bookmarkStart w:id="1521" w:name="Tc_csPTvO0svk2dse5fPBm21Q_9_0"/>
      <w:bookmarkStart w:id="1522" w:name="Tc_OoQp9QGOLky7L3pJfT8fDw_8_0"/>
      <w:bookmarkStart w:id="1523" w:name="Tc_6J-eLKeB2UabVZwQczxbDw_7_0"/>
      <w:bookmarkStart w:id="1524" w:name="Tc_gAFYun520UarJoAmMm0vBw_6_0"/>
      <w:bookmarkStart w:id="1525" w:name="Tc_NjU6tnaQGEqRbaURTEwsmA_5_0"/>
      <w:bookmarkStart w:id="1526" w:name="Tc_BGZIAPa1_UWdg7g9Y_hQeg_4_0"/>
      <w:bookmarkStart w:id="1527" w:name="Tc_0WwfIrOiYUavmCQMJyRVuQ_3_0"/>
      <w:bookmarkStart w:id="1528" w:name="Tc_rnMutSumD0SAJn-5rMMMPg_2_4"/>
      <w:bookmarkStart w:id="1529" w:name="Tc_I05QXsZg1USFhZm8k35cuQ_2_2"/>
      <w:bookmarkStart w:id="1530" w:name="Tc_warPfgEx70Gu8opV3hAnOQ_1_4"/>
      <w:bookmarkStart w:id="1531" w:name="Tc_KeipHM7RCEKcUeegQw7u4Q_1_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r>
        <w:rPr>
          <w:rFonts w:ascii="Times New Roman;Times;serif" w:hAnsi="Times New Roman;Times;serif"/>
          <w:b/>
          <w:sz w:val="20"/>
        </w:rPr>
        <w:t>11.  Accruals and Other Liabilities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Accruals and other liabilities consist of the following:</w:t>
      </w:r>
    </w:p>
    <w:p>
      <w:pPr>
        <w:pStyle w:val="TextBody"/>
        <w:bidi w:val="0"/>
        <w:spacing w:before="0" w:after="240"/>
        <w:ind w:left="0" w:right="0" w:firstLine="360"/>
        <w:jc w:val="both"/>
        <w:rPr/>
      </w:pPr>
      <w:r>
        <w:rPr/>
        <w:t>​</w:t>
      </w:r>
    </w:p>
    <w:tbl>
      <w:tblPr>
        <w:tblW w:w="7570" w:type="dxa"/>
        <w:jc w:val="left"/>
        <w:tblInd w:w="0" w:type="dxa"/>
        <w:tblLayout w:type="fixed"/>
        <w:tblCellMar>
          <w:top w:w="0" w:type="dxa"/>
          <w:left w:w="0" w:type="dxa"/>
          <w:bottom w:w="0" w:type="dxa"/>
          <w:right w:w="0" w:type="dxa"/>
        </w:tblCellMar>
      </w:tblPr>
      <w:tblGrid>
        <w:gridCol w:w="4591"/>
        <w:gridCol w:w="326"/>
        <w:gridCol w:w="1141"/>
        <w:gridCol w:w="326"/>
        <w:gridCol w:w="1186"/>
      </w:tblGrid>
      <w:tr>
        <w:trPr/>
        <w:tc>
          <w:tcPr>
            <w:tcW w:w="4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915285" cy="175260"/>
                      <wp:effectExtent l="0" t="0" r="0" b="0"/>
                      <wp:wrapNone/>
                      <wp:docPr id="327" name="Frame324"/>
                      <a:graphic xmlns:a="http://schemas.openxmlformats.org/drawingml/2006/main">
                        <a:graphicData uri="http://schemas.microsoft.com/office/word/2010/wordprocessingShape">
                          <wps:wsp>
                            <wps:cNvSpPr txBox="1"/>
                            <wps:spPr>
                              <a:xfrm>
                                <a:off x="0" y="0"/>
                                <a:ext cx="291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28"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724535" cy="175260"/>
                      <wp:effectExtent l="0" t="0" r="0" b="0"/>
                      <wp:wrapNone/>
                      <wp:docPr id="329" name="Frame32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330" name="Frame3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753110" cy="175260"/>
                      <wp:effectExtent l="0" t="0" r="0" b="0"/>
                      <wp:wrapNone/>
                      <wp:docPr id="331" name="Frame328"/>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Payables for purchase of property, plant and equipment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4,445,749</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3,643,002</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deferred revenue/income</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1,945,021</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3,156,430</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benefits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1,902,119</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2,082,972</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Payables for marketing events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1,636,911</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1,962,341</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Payables for R&amp;D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2,318,679</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1,924,269</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 from customers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911,006</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918,465</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709,288</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652,633</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422,730</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418,760</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Accrued costs on purchase commitments </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521,443</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336,656</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payable to BaaS users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249,917</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payables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135,492</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86,474</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finance lease liabilities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25,311</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13,498</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payables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582,605</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595,662</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15,556,354</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16,041,079</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Accrued costs of loss on purchase commitments represents the unsettled amount the Group provided for purchase commitments specifically related to these vehicles, as a result of the planned products upgrade of certain existing vehicle models.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Payable to BaaS users represents certain monthly subscription fee the Group agreed to compensate to BaaS users, if certain criteria are met. The Group accrued the payable to BaaS users against vehicle sales. Based on the payment schedule, payable to BaaS users due within the next 12 month is recorded as accruals and other liabilities.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532" w:name="Tc_qWUci0ob_Ey74xGRSMkPWg_15_0"/>
      <w:bookmarkStart w:id="1533" w:name="Tc_U6tMNuq9rUOJAoy7xvgGiQ_14_0"/>
      <w:bookmarkStart w:id="1534" w:name="Tc_qpsZEwpny0ib4_OA760NtA_13_0"/>
      <w:bookmarkStart w:id="1535" w:name="Tc_ZmaVw5opj0ykas98wmxasg_12_0"/>
      <w:bookmarkStart w:id="1536" w:name="Tc_oGprUWBAY0ukZIQDVaclog_11_0"/>
      <w:bookmarkStart w:id="1537" w:name="Tc_htXa4hFO7U2q-wpNLWablA_10_4"/>
      <w:bookmarkStart w:id="1538" w:name="Tc_LFWl3gyUFki2wZDn9395OQ_10_0"/>
      <w:bookmarkStart w:id="1539" w:name="Tc_U7wr8Q5lDkeSCnyFzdYQLA_9_0"/>
      <w:bookmarkStart w:id="1540" w:name="Tc_4-fHfACdbEyeYfFXAkcFDg_8_0"/>
      <w:bookmarkStart w:id="1541" w:name="Tc_EoNyfnqGl0GS7vwivBfv6w_7_0"/>
      <w:bookmarkStart w:id="1542" w:name="Tc_1fHHHP9vp0y8JJRk0c7GoA_6_0"/>
      <w:bookmarkStart w:id="1543" w:name="Tc_8TdO8QLzOEKDPQAL3iqz0A_5_0"/>
      <w:bookmarkStart w:id="1544" w:name="Tc_R5pH7emCJEW1wbvK5pNqKQ_4_0"/>
      <w:bookmarkStart w:id="1545" w:name="Tc_PpyCF5QdVkOzxLCgI9bfOg_3_0"/>
      <w:bookmarkStart w:id="1546" w:name="Tc_xZtmJGZ1hkqU-hq9zvGDuA_2_4"/>
      <w:bookmarkStart w:id="1547" w:name="Tc_zvYbdhwRaE6yQArDvlAq0w_2_2"/>
      <w:bookmarkStart w:id="1548" w:name="Tc_Jw2URwmMCUWfLExPyYHDnQ_1_4"/>
      <w:bookmarkStart w:id="1549" w:name="Tc_A0DKkNPivE6eY4edYB9Kvw_1_2"/>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r>
        <w:rPr>
          <w:rFonts w:ascii="Times New Roman;Times;serif" w:hAnsi="Times New Roman;Times;serif"/>
          <w:b/>
          <w:sz w:val="20"/>
        </w:rPr>
        <w:t>12.  Borrowings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Borrowings consist of the following:</w:t>
      </w:r>
    </w:p>
    <w:p>
      <w:pPr>
        <w:pStyle w:val="TextBody"/>
        <w:bidi w:val="0"/>
        <w:spacing w:before="0" w:after="240"/>
        <w:ind w:left="0" w:right="0" w:firstLine="360"/>
        <w:jc w:val="both"/>
        <w:rPr/>
      </w:pPr>
      <w:r>
        <w:rPr/>
        <w:t>​</w:t>
      </w:r>
    </w:p>
    <w:tbl>
      <w:tblPr>
        <w:tblW w:w="7555" w:type="dxa"/>
        <w:jc w:val="left"/>
        <w:tblInd w:w="0" w:type="dxa"/>
        <w:tblLayout w:type="fixed"/>
        <w:tblCellMar>
          <w:top w:w="0" w:type="dxa"/>
          <w:left w:w="0" w:type="dxa"/>
          <w:bottom w:w="0" w:type="dxa"/>
          <w:right w:w="0" w:type="dxa"/>
        </w:tblCellMar>
      </w:tblPr>
      <w:tblGrid>
        <w:gridCol w:w="4576"/>
        <w:gridCol w:w="326"/>
        <w:gridCol w:w="1141"/>
        <w:gridCol w:w="326"/>
        <w:gridCol w:w="1186"/>
      </w:tblGrid>
      <w:tr>
        <w:trPr/>
        <w:tc>
          <w:tcPr>
            <w:tcW w:w="4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905760" cy="175260"/>
                      <wp:effectExtent l="0" t="0" r="0" b="0"/>
                      <wp:wrapNone/>
                      <wp:docPr id="332" name="Frame329"/>
                      <a:graphic xmlns:a="http://schemas.openxmlformats.org/drawingml/2006/main">
                        <a:graphicData uri="http://schemas.microsoft.com/office/word/2010/wordprocessingShape">
                          <wps:wsp>
                            <wps:cNvSpPr txBox="1"/>
                            <wps:spPr>
                              <a:xfrm>
                                <a:off x="0" y="0"/>
                                <a:ext cx="2905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33"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724535" cy="175260"/>
                      <wp:effectExtent l="0" t="0" r="0" b="0"/>
                      <wp:wrapNone/>
                      <wp:docPr id="334" name="Frame33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35" name="Frame3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753110" cy="175260"/>
                      <wp:effectExtent l="0" t="0" r="0" b="0"/>
                      <wp:wrapNone/>
                      <wp:docPr id="336" name="Frame33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5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borrowing:</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4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loan (i)</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4,783,000</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4,490,000</w:t>
            </w:r>
          </w:p>
        </w:tc>
      </w:tr>
      <w:tr>
        <w:trPr/>
        <w:tc>
          <w:tcPr>
            <w:tcW w:w="4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short-term financing arrangements (ii)</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302,411</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1,239,561</w:t>
            </w:r>
          </w:p>
        </w:tc>
      </w:tr>
      <w:tr>
        <w:trPr/>
        <w:tc>
          <w:tcPr>
            <w:tcW w:w="4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borrowings: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4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convertible notes (iii)</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3,286,640</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2,706,285</w:t>
            </w:r>
          </w:p>
        </w:tc>
      </w:tr>
      <w:tr>
        <w:trPr/>
        <w:tc>
          <w:tcPr>
            <w:tcW w:w="4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bank loan (iv)</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1,144,420</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639,180</w:t>
            </w:r>
          </w:p>
        </w:tc>
      </w:tr>
      <w:tr>
        <w:trPr/>
        <w:tc>
          <w:tcPr>
            <w:tcW w:w="4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other financing arrangements (ii)</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26,204</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52,157</w:t>
            </w:r>
          </w:p>
        </w:tc>
      </w:tr>
      <w:tr>
        <w:trPr/>
        <w:tc>
          <w:tcPr>
            <w:tcW w:w="4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asset-backed securities and notes (v)</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278,823</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4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borrowings: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4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loan (iv)</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1,198,380</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2,965,490</w:t>
            </w:r>
          </w:p>
        </w:tc>
      </w:tr>
      <w:tr>
        <w:trPr/>
        <w:tc>
          <w:tcPr>
            <w:tcW w:w="4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 (iii)</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11,575,725</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8,166,996</w:t>
            </w:r>
          </w:p>
        </w:tc>
      </w:tr>
      <w:tr>
        <w:trPr/>
        <w:tc>
          <w:tcPr>
            <w:tcW w:w="4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financing arrangements (ii)</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268,756</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308,269</w:t>
            </w:r>
          </w:p>
        </w:tc>
      </w:tr>
      <w:tr>
        <w:trPr/>
        <w:tc>
          <w:tcPr>
            <w:tcW w:w="4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22,864,359</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20,567,938</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(i) Short-term bank loan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2023, the Group obtained short-term borrowings from several banks of RMB4,783,000 in aggregate. The annual interest rate of these borrowings is approximately 2.35% to 2.95%.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2024, the Group obtained short-term borrowings from several banks of RMB4,490,000 in aggregate. The annual interest rate of these borrowings is approximately 2.10% to 2.60%.</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short-term borrowings contain covenants including, among others, limitation on liens, consolidation, merger, sale of the Group’s assets and certain financial measures which include upper limit of asset liability ratio. The Group was in compliance with all of the loan covenants as of December 31, 2023 and December 31, 2024. As of December 31, 2023 and 2024, certain of the Group’s short-term borrowings were guaranteed by the Company’s subsidiaries or pledged with short-term investments with the amount of RMB354,135 and nil, respectively.</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(ii) Other financing arrangements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financing arrangements mainly consist of financial liabilities arising from sale and leaseback arrangements of certain vehicles and power swap station assets that the control of the underlying assets are not transferred from the Group (the seller-lessee) to the buyer-lessor.</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(iii) Convertible notes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2024 Notes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February 2019, the Group issued US$650,000 convertible senior notes and additional US$100,000 senior notes (collectively the “2024 Notes”) to the Notes purchasers (the “Notes Offering”). The 2024 Notes bears interest at a rate of 4.50% per year, payable semi-annually in arrears on February 1 and August 1 of each year, beginning on August 1, 2019. The 2024 Notes is convertible into the Company’s American Depositary Shares at the pre-agreed fixed conversion price at the discretion of the holders and will mature for repayment on February 1, 2024. Holders of the 2024 Notes are entitled to require the Company to repurchase all or part of the 2024 Notes in cash on February 1, 2022 or in the event of certain fundamental changes. In connection with the Notes Offering, the Company entered into capped call transactions with certain Notes purchasers and/or their respective affiliates and/or other financial institutions (the “Capped Call Option Counterparties”) and used a portion of the net proceeds of the Notes Offering to pay the cost of such transactions. In addition, the Company also entered into privately negotiated zero-strike call option transactions with certain Notes purchasers or their respective affiliates (the “Zero-Strike Call Option Counterparties”) and used a portion of the net proceeds of the Notes Offering to pay the aggregate premium under such transactions. The Company accounts for the 2024 Notes as a single instruments as a long-term debt. The debt issuance cost were recorded as reduction to the long-term debts and are amortized as interest expenses using the effective interest method. The value of the 2024 Notes are measured by the cash received. The cost for the capped call transactions have been recorded as deduction of additional paid-in capital within total shareholders’ equity. The zero-strike call option was deemed as a prepaid forward to purchase the Company’s own shares and recognized as permanent equity at its fair value at inception as a reduction to additional paid in capital in the consolidated balance sheet. In November 2020, US$7 in aggregate principal amount of such Notes were converted, pursuant to which the Company issued 735 Class A ordinary shares to the holders of such Notes. The balance of the Notes converted were derecognized and recorded as ordinary shares and additional paid-in capital.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15, 2021, the Company entered into separate and individually privately negotiated agreements with certain holders of its outstanding 2024 Notes to exchange US$581,685 principal amount of the outstanding 2024 Notes for 62,192,017 ADSs with a conversion premium of US$56,359 (the “2024 Notes Exchanges”). In connection with the 2024 Notes Exchanges, the Company also entered into agreements with certain financial institutions to terminate a portion of the capped call transactions and Zero-Strike Call transactions with the amount corresponding to the portion of the principal amount of the 2024 Notes that were exchanged. With above termination of the capped call transactions and Zero-Strike Call transactions, the Company received 16,402,643 treasury shares accordingly.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2024 Notes Exchanges, the 2024 Notes with carrying amount of US$578,902 were derecognised with a corresponding amount being recognised as share capital and additional paid-in capital. The conversion premium of US$56,359 was recorded as interest expenses according to ASC 470-20-40-16, which requires a reporting entity to recognize an expense equal to the fair value of the shares or other consideration issued to induce conversion, i.e., the excess of the fair value of all consideration transferred over the fair value of the securities transferred pursuant to the original conversion terms. For the terminations of the capped call transactions and Zero-Strike Call transactions, the amount of the purchase price of the capped call transactions and Zero-Strike Call transactions terminated of RMB1,849,600 that was previously recorded in the additional paid-in capital was reclassified to treasury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2023, the carrying value of the remaining 2024 Notes with the amount of RMB1,165,244 was classified in current liabilities. On February 1, 2024, the Company repaid the then outstanding 2024 Notes in full upon the maturity of the 2024 Notes with carrying amount of US$164,520 (RMB1,168,732). The Company also entered into agreements with certain financial institutions to terminate the capped call transactions and Zero-Strike Call transactions and received 13,404,825 treasury shares accordingly. The amount of the purchase price of the capped call transactions and Zero-Strike Call transactions terminated of RMB709,490 that was previously recorded in the additional paid-in capital was reclassified to treasury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2026 and 2027 Notes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January 2021, the Group issued US$750,000 convertible senior Notes due 2026 (the “2026 Notes”) and US$750,000 convertible senior Notes due 2027 (the “2027 Notes”). The 2026 Notes bears no interest and the 2027 Notes bears interest at a rate of 0.50% per year, which is payable semiannually in arrears on February 1 and August 1 of each year, beginning on August 1, 2021. Holders may convert their 2026 Notes at their option prior to the close of business on the business day immediately preceding August 1, 2025, and holders may convert their 2027 Notes at their option prior to the close of business on the business day immediately preceding August 1, 2026. The initial conversion price is US$93.06 per ADS for the Notes, subject to customary anti-dilution adjustments. Upon conversion, the Company will pay or deliver, as the case may be, cash, ADSs, or a combination of cash and ADSs, at the Company’s discretion. Holders of the 2026 Notes have the right to require the Company to repurchase in cash for all or part of their Notes on February 1, 2024 or in the event of certain fundamental changes at a repurchase price equal to 100% of the principal amount of the Notes to be repurchased. Holders of the 2027 Notes have the right to require the Company to repurchase in cash for all or part of their Notes on February 1, 2025 or in the event of certain fundamental changes at a repurchase price equal to 100% of the principal amount of the Notes to be repurchased, plus accrued and unpaid interest.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early adopted ASU 2020-06 which eliminates the cash conversion accounting models for 2026 Notes and 2027 Notes. Accordingly, the principal amount of these Notes was reported as one single unit of account in long-term borrowings at its principal amount, net of debt issuance costs of US$26,340, on the basis of not electing fair value option for the Notes and no substantial premium to be offered. The Notes are subsequently measured at amortized cost with interest expenses accrued over the term of these Notes using the effective interest method.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2022, the Group repurchased the aggregated portion of 2026 Notes with the carrying amount of US$190,962 (RMB1,317,106). In 2023, the Group repurchased the aggregated portion of 2026 Notes and 2027 Notes with the carrying amount of US$ 253,762 (RMB1,801,685) and US$242,249 (RMB1,719,944), respectively. In February 2024, upon the exercise of repurchase prices by the holders of the 2026 Notes, the Group repurchased the portion of 2026 Notes with the aggregated carrying amount of US$298,689 (RMB2,122,155).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November and December 2024, as separately negotiated, the Group settled certain 2027 Notes with a principal amount of $127,090 by delivering 27,690,071 Company’s ADSs and cancelled the same amount of treasury shares, with the exchange ratio ranged from 207.0 to 227.6 ADSs per $1,000 principal amount of the 2027 Notes. The Group did not receive any cash proceeds from the issuance of the ADSs upon exchange. The Group derecognized treasury stock of RMB2,214,029, with the difference of RMB1,311,200 recorded in additional paid-in capital accordingly.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2024, the carrying amount of the remaining 2026 Notes and 2027 Notes were RMB6,534 and RMB2,706,285, respectively. As of December 31, 2024, the Company reclassified the carrying value of 2027 Notes with the amount of RMB2,706,285 in current liabilities to reflect the early redemption right by 2027 Notes holders on February 1,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Subsequently in February 2025, upon the exercise of repurchase rights by the holders of the 2027 Notes, the Group repurchased the portion of 2027 Notes with the aggregated carrying amount of US$378,312 (RMB2,712,412).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bookmarkStart w:id="1550" w:name="Tc_5H6Lpu9bZE-KbGg4aaydlQ_22_2"/>
      <w:bookmarkStart w:id="1551" w:name="Tc_XdbjeRGkZ0CsXGd8Le-dRQ_21_12"/>
      <w:bookmarkStart w:id="1552" w:name="Tc_4fmDW7xWV0-Ah0XzJDXPow_21_10"/>
      <w:bookmarkStart w:id="1553" w:name="Tc_AJdsi2bttkucb2319dT04Q_21_8"/>
      <w:bookmarkStart w:id="1554" w:name="Tc_d2C98FcRBUa-4w5CmnNKhQ_21_6"/>
      <w:bookmarkStart w:id="1555" w:name="Tc_dqUCrZcDM0eEpnvumGxy9w_21_4"/>
      <w:bookmarkStart w:id="1556" w:name="Tc_YzUF60SCIkexz6JIj_UKCg_21_2"/>
      <w:bookmarkStart w:id="1557" w:name="Tc_Oif71KcgPEukFXSKBxWSDg_21_0"/>
      <w:bookmarkStart w:id="1558" w:name="Tc_ImrjpvK4tESitGJczBt5NQ_20_12"/>
      <w:bookmarkStart w:id="1559" w:name="Tc_SEboRNhN7Uym7ifPppC42A_20_10"/>
      <w:bookmarkStart w:id="1560" w:name="Tc_IeOmMQh3C0-_r-7xPlInig_20_8"/>
      <w:bookmarkStart w:id="1561" w:name="Tc_negHpyKmtk-B2bhJan-SQA_20_6"/>
      <w:bookmarkStart w:id="1562" w:name="Tc_JpTN7sejsEWbPZCkLbj2Uw_20_4"/>
      <w:bookmarkStart w:id="1563" w:name="Tc_nS3jCrVFWUKVYVaqtMDCxg_20_2"/>
      <w:bookmarkStart w:id="1564" w:name="Tc_WDSgNQMZ_U2dvyNVdqvXGQ_20_0"/>
      <w:bookmarkStart w:id="1565" w:name="Tc_H7xhNgPDH0Cu1nQVTPiCIA_19_12"/>
      <w:bookmarkStart w:id="1566" w:name="Tc_n3QyfplcJk2i9n6hIYfl6g_19_10"/>
      <w:bookmarkStart w:id="1567" w:name="Tc_o4ctQ4xGDEyKw3pCD7qBOA_19_8"/>
      <w:bookmarkStart w:id="1568" w:name="Tc_MAXaZ8T7Q0KFGoSgRkC2NA_19_6"/>
      <w:bookmarkStart w:id="1569" w:name="Tc_bM81RgL1aE-pgNAsRRsIpQ_19_4"/>
      <w:bookmarkStart w:id="1570" w:name="Tc_qYI-AuVLwkOXRh1IFNmCSg_19_2"/>
      <w:bookmarkStart w:id="1571" w:name="Tc_KlqZb0UB206xzBjJq0LNLA_19_0"/>
      <w:bookmarkStart w:id="1572" w:name="Tc_N80v7TRGNkmYAimqsH7ewA_18_12"/>
      <w:bookmarkStart w:id="1573" w:name="Tc_XjQeBQ5Xn0yv7YxBY6RUYQ_18_10"/>
      <w:bookmarkStart w:id="1574" w:name="Tc_ixzvmuzyUEaC27DslEjq-Q_18_8"/>
      <w:bookmarkStart w:id="1575" w:name="Tc_ufcDo8TQz0uu5J9jCbTHPw_18_6"/>
      <w:bookmarkStart w:id="1576" w:name="Tc_m_KLmrh5A0ywAWakusJXtA_18_4"/>
      <w:bookmarkStart w:id="1577" w:name="Tc_PE_XBeak6k6XlsZfS1k8Fg_18_2"/>
      <w:bookmarkStart w:id="1578" w:name="Tc_ULEmu2ab70qgZQO8hpqSQg_18_0"/>
      <w:bookmarkStart w:id="1579" w:name="Tc_NI3Cy8D-5ku1Xq0zdbIL8Q_17_12"/>
      <w:bookmarkStart w:id="1580" w:name="Tc_IJMD6Uow1kikRkLjx-SJ2Q_17_10"/>
      <w:bookmarkStart w:id="1581" w:name="Tc_abezXIPLMkmU5UfzzC1KCA_17_8"/>
      <w:bookmarkStart w:id="1582" w:name="Tc_ukvJQ2zLjUyeiWs9h_rDcg_17_6"/>
      <w:bookmarkStart w:id="1583" w:name="Tc_U4rGAHsyj0yMYNBcNcHD1Q_17_4"/>
      <w:bookmarkStart w:id="1584" w:name="Tc_4E0r4oLKSU2KEPr80lqJGQ_17_2"/>
      <w:bookmarkStart w:id="1585" w:name="Tc_6dh1rjYqeE2w0dCwMAYZgA_17_0"/>
      <w:bookmarkStart w:id="1586" w:name="Tc_n8_DsAlu5UaXIZnzTWW8hQ_16_12"/>
      <w:bookmarkStart w:id="1587" w:name="Tc_ZoK5tuOVB0W1mNe9sNGAwQ_16_10"/>
      <w:bookmarkStart w:id="1588" w:name="Tc_sP09hAmcGEy5AuyWnsmP8A_16_8"/>
      <w:bookmarkStart w:id="1589" w:name="Tc_ztwClJXRuU-4nqfJVPyKEw_16_6"/>
      <w:bookmarkStart w:id="1590" w:name="Tc__2PD-q5cwEWR04NePQMPMA_16_4"/>
      <w:bookmarkStart w:id="1591" w:name="Tc_AVzHOTplSku74uC68oS-Vg_16_2"/>
      <w:bookmarkStart w:id="1592" w:name="Tc_v8GIhrVwGU6G-mVz9IXhqA_16_0"/>
      <w:bookmarkStart w:id="1593" w:name="Tc_hZv6DYw6P0iDRdo8isjS4A_15_6"/>
      <w:bookmarkStart w:id="1594" w:name="Tc_n7IGAf06uU6W6Ymp6EAW-g_15_4"/>
      <w:bookmarkStart w:id="1595" w:name="Tc_MLvVuqEFYEyBh6mzPdL-0w_15_2"/>
      <w:bookmarkStart w:id="1596" w:name="Tc_cDPq_8qDj0S6wNaQJQ-1ZA_15_0"/>
      <w:bookmarkStart w:id="1597" w:name="Tc_CBNmaLc63Em4LWXp5XFxJg_14_18"/>
      <w:bookmarkStart w:id="1598" w:name="Tc_-CZ4pmkHlEK-ZBJ1KGJFaQ_14_16"/>
      <w:bookmarkStart w:id="1599" w:name="Tc_4-ej0OYQokuZMTgmeReIfA_14_14"/>
      <w:bookmarkStart w:id="1600" w:name="Tc_G91VmFRYHUa8u-cIh2K49A_14_12"/>
      <w:bookmarkStart w:id="1601" w:name="Tc_GozEtzJ6AEurI6pOwVID_A_14_6"/>
      <w:bookmarkStart w:id="1602" w:name="Tc_4s8BfOdJBEiHL_0TUsyS6A_14_4"/>
      <w:bookmarkStart w:id="1603" w:name="Tc_MB0OY3PQfUedwrITVoWl-Q_14_2"/>
      <w:bookmarkStart w:id="1604" w:name="Tc_bbd0N65BxUW6glrx9kOmkA_14_0"/>
      <w:bookmarkStart w:id="1605" w:name="Tc_8IeLK4psxUW1KtXYWMVdrA_13_18"/>
      <w:bookmarkStart w:id="1606" w:name="Tc_sHpRPQnmpEy3LH7oPZXXKQ_13_16"/>
      <w:bookmarkStart w:id="1607" w:name="Tc_dFdBCwIbgkK_8UmJB0md7g_13_14"/>
      <w:bookmarkStart w:id="1608" w:name="Tc_Ix4HjWu9ekqsX8nfgyPLMg_13_6"/>
      <w:bookmarkStart w:id="1609" w:name="Tc_ybfe-gvUHUaG029GNjrdeQ_13_4"/>
      <w:bookmarkStart w:id="1610" w:name="Tc_Lx1Sxg09pUufoRL0x7wObQ_13_2"/>
      <w:bookmarkStart w:id="1611" w:name="Tc_1U4xE-w2MUyXcGB0SVUQBg_13_0"/>
      <w:bookmarkStart w:id="1612" w:name="Tc_5t2ByH2iSkGKYMZIX8884Q_12_6"/>
      <w:bookmarkStart w:id="1613" w:name="Tc_ByFKDyfUU0Ojw7HAK9FleQ_12_4"/>
      <w:bookmarkStart w:id="1614" w:name="Tc_rMSZtiY6okSTn0SME6L0_g_12_2"/>
      <w:bookmarkStart w:id="1615" w:name="Tc_fdA_JEyqR0e2qyGM1VQcaQ_12_0"/>
      <w:bookmarkStart w:id="1616" w:name="Tc_kHbMKdW0Z0SKEh2WDHPwTA_11_6"/>
      <w:bookmarkStart w:id="1617" w:name="Tc_gXD-tRJ4k0GkD2NNB2xy1A_11_4"/>
      <w:bookmarkStart w:id="1618" w:name="Tc_c64MKA3uBUOEekATl9LL6Q_11_2"/>
      <w:bookmarkStart w:id="1619" w:name="Tc_G9aCg9UmEU62ZtPh2K_-Xw_11_0"/>
      <w:bookmarkStart w:id="1620" w:name="Tc_9yUGPqUylUC-opG8UhNcvw_10_6"/>
      <w:bookmarkStart w:id="1621" w:name="Tc_WPphXCRbqE6MNSK8SMglPQ_10_4"/>
      <w:bookmarkStart w:id="1622" w:name="Tc_hTpF5PMIv0eBpSJhZr9szA_10_2"/>
      <w:bookmarkStart w:id="1623" w:name="Tc_ChRz_pCoqU6ALHXn0kWvXg_10_0"/>
      <w:bookmarkStart w:id="1624" w:name="Tc_F3sHB_-NK0ys-JSo96OdKw_9_6"/>
      <w:bookmarkStart w:id="1625" w:name="Tc_cVt0KrDEs0WpnsaiS3qDRA_9_4"/>
      <w:bookmarkStart w:id="1626" w:name="Tc_S8_JEe6rHkGZaI6hcn5s6g_9_2"/>
      <w:bookmarkStart w:id="1627" w:name="Tc_d5orNCqd6UCDP14f3zLEPg_9_0"/>
      <w:bookmarkStart w:id="1628" w:name="Tc_v0sbNFgiOk2b59H6kkEpNg_8_6"/>
      <w:bookmarkStart w:id="1629" w:name="Tc_36Xwj9pWzUO1_ZLCj1PHEw_8_4"/>
      <w:bookmarkStart w:id="1630" w:name="Tc_JeDcLzp86Ue6BQYvM1ZxEg_8_2"/>
      <w:bookmarkStart w:id="1631" w:name="Tc_TW7usqv140GCoBQ8Zw4hcw_8_0"/>
      <w:bookmarkStart w:id="1632" w:name="Tc_MH7Nj3k0lkyc9JjeH_jvYQ_7_18"/>
      <w:bookmarkStart w:id="1633" w:name="Tc_zAsSPwQLNkSBL8X-D0B-gQ_7_16"/>
      <w:bookmarkStart w:id="1634" w:name="Tc_oHc7QRXv_E6juBOymys2Rg_7_14"/>
      <w:bookmarkStart w:id="1635" w:name="Tc_jqLFI2ChH0qQy2n_zckDDg_7_12"/>
      <w:bookmarkStart w:id="1636" w:name="Tc_OaV_jnJ8WEOJHU4LuCOHKg_7_6"/>
      <w:bookmarkStart w:id="1637" w:name="Tc_W1rNMI43okC5OHewdeuMAg_7_4"/>
      <w:bookmarkStart w:id="1638" w:name="Tc_oznNSG4DVkuhcC7UDcM9Kw_7_2"/>
      <w:bookmarkStart w:id="1639" w:name="Tc_440IZ6TAmEOj8h_POxUdWA_7_0"/>
      <w:bookmarkStart w:id="1640" w:name="Tc_5dVXsI5Tu0SKr9t_IhyyrA_6_18"/>
      <w:bookmarkStart w:id="1641" w:name="Tc_KETyGIa8vUG8N_j8su3tZA_6_6"/>
      <w:bookmarkStart w:id="1642" w:name="Tc_QazHBBoV90ujcZ68INYDEA_6_4"/>
      <w:bookmarkStart w:id="1643" w:name="Tc_GL6HfVXMYU2uCHRFEow6CQ_6_2"/>
      <w:bookmarkStart w:id="1644" w:name="Tc_A4SXGFLr8ku4x-ISinHuYg_6_0"/>
      <w:bookmarkStart w:id="1645" w:name="Tc_g3mJ8ckFLkmhFv1R9-pUDw_5_18"/>
      <w:bookmarkStart w:id="1646" w:name="Tc_iHWZSjPkqk-0ZQWnn4Rs7g_5_16"/>
      <w:bookmarkStart w:id="1647" w:name="Tc_XTKLumSYuEu8_DMzvo2-Cg_5_14"/>
      <w:bookmarkStart w:id="1648" w:name="Tc_wj3lbTXiw0OtCdfEMGDINQ_5_12"/>
      <w:bookmarkStart w:id="1649" w:name="Tc_ZDmnuDI4LEa4vV_tZelsaQ_5_6"/>
      <w:bookmarkStart w:id="1650" w:name="Tc_byHoeOH4z0GdM6R5I1ZqgA_5_4"/>
      <w:bookmarkStart w:id="1651" w:name="Tc_VyIgwUTJOUyer77i-4RKww_5_2"/>
      <w:bookmarkStart w:id="1652" w:name="Tc_JYMiI0GCiU6ETgzEfj2Prg_5_0"/>
      <w:bookmarkStart w:id="1653" w:name="Tc_Er1ikvQaoUaj7cgFf0nIPA_4_18"/>
      <w:bookmarkStart w:id="1654" w:name="Tc_S3hqsmdVUUWs0-flkrh8nw_4_16"/>
      <w:bookmarkStart w:id="1655" w:name="Tc_YbFbHmj9X0OVsP3q5_ssxA_4_14"/>
      <w:bookmarkStart w:id="1656" w:name="Tc_802DGND5RUatZOzObsAcqg_4_12"/>
      <w:bookmarkStart w:id="1657" w:name="Tc_nzxDTwp5KEqmRtakPp6B4Q_4_10"/>
      <w:bookmarkStart w:id="1658" w:name="Tc_GXXPxCz1xk23IgtkjO1QcQ_4_8"/>
      <w:bookmarkStart w:id="1659" w:name="Tc_u5rR5g-PFUqtlg6EvbTGGg_4_6"/>
      <w:bookmarkStart w:id="1660" w:name="Tc_m2fevPElkEmeTe1o_2w4Bw_4_4"/>
      <w:bookmarkStart w:id="1661" w:name="Tc_BrXF53irMkSyaumWvkhGNw_4_2"/>
      <w:bookmarkStart w:id="1662" w:name="Tc_wJseCZLvAEim8XFDA75Cyg_4_0"/>
      <w:bookmarkStart w:id="1663" w:name="Tc_N4k_ei3vHk6STFnf2EYqjA_3_18"/>
      <w:bookmarkStart w:id="1664" w:name="Tc_06xG5O4UVUyWsOCAWcrd8A_3_16"/>
      <w:bookmarkStart w:id="1665" w:name="Tc_jVTNaPvo6USbliALSq0Hpg_3_14"/>
      <w:bookmarkStart w:id="1666" w:name="Tc_AslSimNH5UyGHbOYOfbyog_3_12"/>
      <w:bookmarkStart w:id="1667" w:name="Tc_jp_hwrs3sUS-9kTKYkS0BA_3_10"/>
      <w:bookmarkStart w:id="1668" w:name="Tc_qJocm1JxgUCJ7qXfrH3BOw_3_8"/>
      <w:bookmarkStart w:id="1669" w:name="Tc_iTHymKXiS0eO-Bd8q5C8NQ_3_6"/>
      <w:bookmarkStart w:id="1670" w:name="Tc_F_Yahr4Rukm9U90TwY2S5g_3_2"/>
      <w:bookmarkStart w:id="1671" w:name="Tc_GqCIyoDIZEGoWuYILrAojQ_2_18"/>
      <w:bookmarkStart w:id="1672" w:name="Tc_QnmLNpXAD02eujlaOKyFPA_2_16"/>
      <w:bookmarkStart w:id="1673" w:name="Tc_m_rFJr2EKkO_iQjIguJ37Q_2_12"/>
      <w:bookmarkStart w:id="1674" w:name="Tc_gf3uKhHP70WjOl7ymvS0YQ_2_10"/>
      <w:bookmarkStart w:id="1675" w:name="Tc_Sztcq1eJEUa3Rfp3PTW3Tw_1_14"/>
      <w:bookmarkStart w:id="1676" w:name="Tc_HZVjXlEf_0-d6Du_-3nZnw_1_8"/>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r>
        <w:rPr>
          <w:rFonts w:ascii="Times New Roman;Times;serif" w:hAnsi="Times New Roman;Times;serif"/>
          <w:sz w:val="20"/>
        </w:rPr>
        <w:t>2029 and 2030 Notes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September and October 2023, the Company issued US$575,000 convertible senior Notes due 2029 (the “2029 Notes”) and US$575,000 convertible senior Notes due 2030 (the “2030 Notes”). The 2029 Notes bears interest at a rate of 3.875% per year, payable semiannually in arrears on April 15 and October 15 of each year, beginning on April 15, 2024. The 2030 Notes bears interest at a rate of 4.625% per year, payable semiannually in arrears on April 15 and October 15 of each year, beginning on April 15, 2024. Holders may convert their 2029 Notes at their option prior to the close of business on the second scheduled trading day immediately preceding October 15, 2029, and holders may convert their 2030 Notes at their option prior to the close of business on the second scheduled trading day immediately preceding October 15, 2030. The initial conversion price is US$11.12 per ADS for the Notes, subject to customary anti-dilution adjustments. Upon conversion, the Company will pay or deliver, as the case may be, cash, ADSs, or a combination of cash and ADSs, at the Company’s discretion. Holders of the 2029 Notes have the right to require the Company to repurchase in cash for all or part of their Notes on October 15, 2027 or in the event of certain fundamental changes at a repurchase price equal to 100% of the principal amount of the Notes to be repurchased. Holders of the 2030 Notes have the right to require the Company to repurchase in cash for all or part of their Notes on October 15, 2028 or in the event of certain fundamental changes at a repurchase price equal to 100% of the principal amount of the Notes to be repurchased, plus accrued and unpaid interest.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accounted for 2029 Notes and 2030 Notes in accordance with ASU 2020-06 which eliminates the cash conversion accounting models. Accordingly, the principal amount of these Notes was reported as one single unit of account in long-term borrowings at its principal amount, net of debt issuance costs of US$17,855, on the basis of not electing fair value option for the Notes and no substantial premium to be offered. The Notes are subsequently measured at amortized cost with interest expenses accrued over the term of these Notes using the effective interest method. As of December 31, 2023 and December 31, 2024, the carrying amount of the Notes were RMB8,023,401 and RMB8,160,462, respectively.</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(iv) Long-term bank loan</w:t>
      </w:r>
    </w:p>
    <w:p>
      <w:pPr>
        <w:pStyle w:val="TextBody"/>
        <w:bidi w:val="0"/>
        <w:spacing w:before="0" w:after="0"/>
        <w:ind w:left="0" w:right="0" w:hanging="0"/>
        <w:jc w:val="left"/>
        <w:rPr/>
      </w:pPr>
      <w:r>
        <w:rPr/>
        <w:t>​</w:t>
      </w:r>
    </w:p>
    <w:tbl>
      <w:tblPr>
        <w:tblW w:w="10684" w:type="dxa"/>
        <w:jc w:val="left"/>
        <w:tblInd w:w="0" w:type="dxa"/>
        <w:tblLayout w:type="fixed"/>
        <w:tblCellMar>
          <w:top w:w="0" w:type="dxa"/>
          <w:left w:w="0" w:type="dxa"/>
          <w:bottom w:w="0" w:type="dxa"/>
          <w:right w:w="0" w:type="dxa"/>
        </w:tblCellMar>
      </w:tblPr>
      <w:tblGrid>
        <w:gridCol w:w="346"/>
        <w:gridCol w:w="326"/>
        <w:gridCol w:w="736"/>
        <w:gridCol w:w="326"/>
        <w:gridCol w:w="871"/>
        <w:gridCol w:w="326"/>
        <w:gridCol w:w="1096"/>
        <w:gridCol w:w="326"/>
        <w:gridCol w:w="856"/>
        <w:gridCol w:w="326"/>
        <w:gridCol w:w="736"/>
        <w:gridCol w:w="326"/>
        <w:gridCol w:w="736"/>
        <w:gridCol w:w="326"/>
        <w:gridCol w:w="856"/>
        <w:gridCol w:w="326"/>
        <w:gridCol w:w="736"/>
        <w:gridCol w:w="326"/>
        <w:gridCol w:w="781"/>
      </w:tblGrid>
      <w:tr>
        <w:trPr/>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710" cy="175260"/>
                      <wp:effectExtent l="0" t="0" r="0" b="0"/>
                      <wp:wrapNone/>
                      <wp:docPr id="337"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7010" cy="175260"/>
                      <wp:effectExtent l="0" t="0" r="0" b="0"/>
                      <wp:wrapNone/>
                      <wp:docPr id="338"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467360" cy="175260"/>
                      <wp:effectExtent l="0" t="0" r="0" b="0"/>
                      <wp:wrapNone/>
                      <wp:docPr id="339" name="Frame33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340" name="Frame3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53085" cy="175260"/>
                      <wp:effectExtent l="0" t="0" r="0" b="0"/>
                      <wp:wrapNone/>
                      <wp:docPr id="341" name="Frame33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2" name="Frame3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95960" cy="175260"/>
                      <wp:effectExtent l="0" t="0" r="0" b="0"/>
                      <wp:wrapNone/>
                      <wp:docPr id="343" name="Frame340"/>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44"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43560" cy="175260"/>
                      <wp:effectExtent l="0" t="0" r="0" b="0"/>
                      <wp:wrapNone/>
                      <wp:docPr id="345" name="Frame342"/>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46" name="Frame3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67360" cy="175260"/>
                      <wp:effectExtent l="0" t="0" r="0" b="0"/>
                      <wp:wrapNone/>
                      <wp:docPr id="347" name="Frame34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48"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467360" cy="175260"/>
                      <wp:effectExtent l="0" t="0" r="0" b="0"/>
                      <wp:wrapNone/>
                      <wp:docPr id="349" name="Frame34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50" name="Frame3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543560" cy="175260"/>
                      <wp:effectExtent l="0" t="0" r="0" b="0"/>
                      <wp:wrapNone/>
                      <wp:docPr id="351" name="Frame348"/>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2" name="Frame3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467360" cy="175260"/>
                      <wp:effectExtent l="0" t="0" r="0" b="0"/>
                      <wp:wrapNone/>
                      <wp:docPr id="353" name="Frame35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7010" cy="175260"/>
                      <wp:effectExtent l="0" t="0" r="0" b="0"/>
                      <wp:wrapNone/>
                      <wp:docPr id="354"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495935" cy="175260"/>
                      <wp:effectExtent l="0" t="0" r="0" b="0"/>
                      <wp:wrapNone/>
                      <wp:docPr id="355" name="Frame35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8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9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As of December 31, 2023</w:t>
            </w:r>
          </w:p>
        </w:tc>
        <w:tc>
          <w:tcPr>
            <w:tcW w:w="326" w:type="dxa"/>
            <w:tcBorders/>
            <w:vAlign w:val="center"/>
          </w:tcPr>
          <w:p>
            <w:pPr>
              <w:pStyle w:val="TableContents"/>
              <w:bidi w:val="0"/>
              <w:spacing w:before="0" w:after="1"/>
              <w:ind w:left="0" w:right="0" w:hanging="0"/>
              <w:jc w:val="center"/>
              <w:rPr/>
            </w:pPr>
            <w:r>
              <w:rPr/>
              <w:t>    </w:t>
            </w:r>
          </w:p>
        </w:tc>
        <w:tc>
          <w:tcPr>
            <w:tcW w:w="30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As of December 31, 2024</w:t>
            </w:r>
          </w:p>
        </w:tc>
      </w:tr>
      <w:tr>
        <w:trPr/>
        <w:tc>
          <w:tcPr>
            <w:tcW w:w="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Current portion</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Long-term portion</w:t>
            </w:r>
          </w:p>
        </w:tc>
        <w:tc>
          <w:tcPr>
            <w:tcW w:w="326" w:type="dxa"/>
            <w:tcBorders/>
            <w:vAlign w:val="center"/>
          </w:tcPr>
          <w:p>
            <w:pPr>
              <w:pStyle w:val="TableContents"/>
              <w:bidi w:val="0"/>
              <w:spacing w:before="0" w:after="1"/>
              <w:ind w:left="0" w:right="0" w:hanging="0"/>
              <w:jc w:val="center"/>
              <w:rPr/>
            </w:pPr>
            <w:r>
              <w:rPr/>
              <w:t>​</w:t>
            </w:r>
          </w:p>
        </w:tc>
        <w:tc>
          <w:tcPr>
            <w:tcW w:w="8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Current portion</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Long-term portion</w:t>
            </w:r>
          </w:p>
        </w:tc>
      </w:tr>
      <w:tr>
        <w:trPr/>
        <w:tc>
          <w:tcPr>
            <w:tcW w:w="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Date of </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Maturity/</w:t>
            </w:r>
          </w:p>
        </w:tc>
        <w:tc>
          <w:tcPr>
            <w:tcW w:w="326" w:type="dxa"/>
            <w:tcBorders/>
            <w:vAlign w:val="center"/>
          </w:tcPr>
          <w:p>
            <w:pPr>
              <w:pStyle w:val="TableContents"/>
              <w:bidi w:val="0"/>
              <w:spacing w:before="0" w:after="1"/>
              <w:ind w:left="0" w:right="0" w:hanging="0"/>
              <w:jc w:val="center"/>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Outstanding</w:t>
            </w:r>
          </w:p>
        </w:tc>
        <w:tc>
          <w:tcPr>
            <w:tcW w:w="32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according to</w:t>
            </w:r>
          </w:p>
        </w:tc>
        <w:tc>
          <w:tcPr>
            <w:tcW w:w="32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according to</w:t>
            </w:r>
          </w:p>
        </w:tc>
        <w:tc>
          <w:tcPr>
            <w:tcW w:w="326" w:type="dxa"/>
            <w:tcBorders/>
            <w:vAlign w:val="center"/>
          </w:tcPr>
          <w:p>
            <w:pPr>
              <w:pStyle w:val="TableContents"/>
              <w:bidi w:val="0"/>
              <w:spacing w:before="0" w:after="1"/>
              <w:ind w:left="0" w:right="0" w:hanging="0"/>
              <w:jc w:val="center"/>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Outstanding</w:t>
            </w:r>
          </w:p>
        </w:tc>
        <w:tc>
          <w:tcPr>
            <w:tcW w:w="32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according to</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according to</w:t>
            </w:r>
          </w:p>
        </w:tc>
      </w:tr>
      <w:tr>
        <w:trPr/>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Ref.</w:t>
            </w:r>
          </w:p>
        </w:tc>
        <w:tc>
          <w:tcPr>
            <w:tcW w:w="326" w:type="dxa"/>
            <w:tcBorders/>
            <w:vAlign w:val="center"/>
          </w:tcPr>
          <w:p>
            <w:pPr>
              <w:pStyle w:val="TableContents"/>
              <w:bidi w:val="0"/>
              <w:spacing w:before="0" w:after="1"/>
              <w:ind w:left="0" w:right="0" w:hanging="0"/>
              <w:jc w:val="center"/>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borrowing</w:t>
            </w:r>
          </w:p>
        </w:tc>
        <w:tc>
          <w:tcPr>
            <w:tcW w:w="326" w:type="dxa"/>
            <w:tcBorders/>
            <w:vAlign w:val="center"/>
          </w:tcPr>
          <w:p>
            <w:pPr>
              <w:pStyle w:val="TableContents"/>
              <w:bidi w:val="0"/>
              <w:spacing w:before="0" w:after="1"/>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Lender/Banks</w:t>
            </w:r>
          </w:p>
        </w:tc>
        <w:tc>
          <w:tcPr>
            <w:tcW w:w="326" w:type="dxa"/>
            <w:tcBorders/>
            <w:vAlign w:val="center"/>
          </w:tcPr>
          <w:p>
            <w:pPr>
              <w:pStyle w:val="TableContents"/>
              <w:bidi w:val="0"/>
              <w:spacing w:before="0" w:after="1"/>
              <w:ind w:left="0" w:right="0" w:hanging="0"/>
              <w:jc w:val="center"/>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Repayment date</w:t>
            </w:r>
          </w:p>
        </w:tc>
        <w:tc>
          <w:tcPr>
            <w:tcW w:w="326" w:type="dxa"/>
            <w:tcBorders/>
            <w:vAlign w:val="center"/>
          </w:tcPr>
          <w:p>
            <w:pPr>
              <w:pStyle w:val="TableContents"/>
              <w:bidi w:val="0"/>
              <w:spacing w:before="0" w:after="1"/>
              <w:ind w:left="0" w:right="0" w:hanging="0"/>
              <w:jc w:val="center"/>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loan</w:t>
            </w:r>
          </w:p>
        </w:tc>
        <w:tc>
          <w:tcPr>
            <w:tcW w:w="326" w:type="dxa"/>
            <w:tcBorders/>
            <w:vAlign w:val="center"/>
          </w:tcPr>
          <w:p>
            <w:pPr>
              <w:pStyle w:val="TableContents"/>
              <w:bidi w:val="0"/>
              <w:spacing w:before="0" w:after="1"/>
              <w:ind w:left="0" w:right="0" w:hanging="0"/>
              <w:jc w:val="center"/>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repayment schedule</w:t>
            </w:r>
          </w:p>
        </w:tc>
        <w:tc>
          <w:tcPr>
            <w:tcW w:w="326" w:type="dxa"/>
            <w:tcBorders/>
            <w:vAlign w:val="center"/>
          </w:tcPr>
          <w:p>
            <w:pPr>
              <w:pStyle w:val="TableContents"/>
              <w:bidi w:val="0"/>
              <w:spacing w:before="0" w:after="1"/>
              <w:ind w:left="0" w:right="0" w:hanging="0"/>
              <w:jc w:val="center"/>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repayment schedule</w:t>
            </w:r>
          </w:p>
        </w:tc>
        <w:tc>
          <w:tcPr>
            <w:tcW w:w="326" w:type="dxa"/>
            <w:tcBorders/>
            <w:vAlign w:val="center"/>
          </w:tcPr>
          <w:p>
            <w:pPr>
              <w:pStyle w:val="TableContents"/>
              <w:bidi w:val="0"/>
              <w:spacing w:before="0" w:after="1"/>
              <w:ind w:left="0" w:right="0" w:hanging="0"/>
              <w:jc w:val="center"/>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loan</w:t>
            </w:r>
          </w:p>
        </w:tc>
        <w:tc>
          <w:tcPr>
            <w:tcW w:w="326" w:type="dxa"/>
            <w:tcBorders/>
            <w:vAlign w:val="center"/>
          </w:tcPr>
          <w:p>
            <w:pPr>
              <w:pStyle w:val="TableContents"/>
              <w:bidi w:val="0"/>
              <w:spacing w:before="0" w:after="1"/>
              <w:ind w:left="0" w:right="0" w:hanging="0"/>
              <w:jc w:val="center"/>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repayment schedule</w:t>
            </w:r>
          </w:p>
        </w:tc>
        <w:tc>
          <w:tcPr>
            <w:tcW w:w="326" w:type="dxa"/>
            <w:tcBorders/>
            <w:vAlign w:val="center"/>
          </w:tcPr>
          <w:p>
            <w:pPr>
              <w:pStyle w:val="TableContents"/>
              <w:bidi w:val="0"/>
              <w:spacing w:before="0" w:after="1"/>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repayment schedule</w:t>
            </w:r>
          </w:p>
        </w:tc>
      </w:tr>
      <w:tr>
        <w:trPr/>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March 7, 2022</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Bank of Beijing</w:t>
            </w:r>
          </w:p>
        </w:tc>
        <w:tc>
          <w:tcPr>
            <w:tcW w:w="32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March 6,2024</w:t>
            </w:r>
          </w:p>
        </w:tc>
        <w:tc>
          <w:tcPr>
            <w:tcW w:w="32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147,000</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147,000</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June 15, 2022</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Bank of Shanghai</w:t>
            </w:r>
          </w:p>
        </w:tc>
        <w:tc>
          <w:tcPr>
            <w:tcW w:w="3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June 15, 2025</w:t>
            </w:r>
          </w:p>
        </w:tc>
        <w:tc>
          <w:tcPr>
            <w:tcW w:w="32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126,660</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46,320</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80,340</w:t>
            </w:r>
          </w:p>
        </w:tc>
        <w:tc>
          <w:tcPr>
            <w:tcW w:w="32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80,340</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80,340</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r>
      <w:tr>
        <w:trPr/>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June 22, 2022</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Hang Seng Bank</w:t>
            </w:r>
          </w:p>
        </w:tc>
        <w:tc>
          <w:tcPr>
            <w:tcW w:w="32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June 22, 2024</w:t>
            </w:r>
          </w:p>
        </w:tc>
        <w:tc>
          <w:tcPr>
            <w:tcW w:w="32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120,000</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120,000</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July 25, 2022</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 Construction Bank</w:t>
            </w:r>
          </w:p>
        </w:tc>
        <w:tc>
          <w:tcPr>
            <w:tcW w:w="3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July 25, 2029</w:t>
            </w:r>
          </w:p>
        </w:tc>
        <w:tc>
          <w:tcPr>
            <w:tcW w:w="32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6,800</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340</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6,460</w:t>
            </w:r>
          </w:p>
        </w:tc>
        <w:tc>
          <w:tcPr>
            <w:tcW w:w="32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6,460</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1,360</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5,100</w:t>
            </w:r>
          </w:p>
        </w:tc>
      </w:tr>
      <w:tr>
        <w:trPr/>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July 26, 2022</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Industrial and Commercial Bank of China</w:t>
            </w:r>
          </w:p>
        </w:tc>
        <w:tc>
          <w:tcPr>
            <w:tcW w:w="32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July 25, 2029</w:t>
            </w:r>
          </w:p>
        </w:tc>
        <w:tc>
          <w:tcPr>
            <w:tcW w:w="32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10,200</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510</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9,690</w:t>
            </w:r>
          </w:p>
        </w:tc>
        <w:tc>
          <w:tcPr>
            <w:tcW w:w="32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9,690</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2,040</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7,650</w:t>
            </w:r>
          </w:p>
        </w:tc>
      </w:tr>
      <w:tr>
        <w:trPr/>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6</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August 24, 2022</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 Construction Bank</w:t>
            </w:r>
          </w:p>
        </w:tc>
        <w:tc>
          <w:tcPr>
            <w:tcW w:w="3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July 25, 2029</w:t>
            </w:r>
          </w:p>
        </w:tc>
        <w:tc>
          <w:tcPr>
            <w:tcW w:w="32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19,800</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990</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18,810</w:t>
            </w:r>
          </w:p>
        </w:tc>
        <w:tc>
          <w:tcPr>
            <w:tcW w:w="32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18,810</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3,960</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14,850</w:t>
            </w:r>
          </w:p>
        </w:tc>
      </w:tr>
      <w:tr>
        <w:trPr/>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January 19, 2023</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 Construction Bank</w:t>
            </w:r>
          </w:p>
        </w:tc>
        <w:tc>
          <w:tcPr>
            <w:tcW w:w="32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July 25, 2029</w:t>
            </w:r>
          </w:p>
        </w:tc>
        <w:tc>
          <w:tcPr>
            <w:tcW w:w="32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313,400</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15,670</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297,730</w:t>
            </w:r>
          </w:p>
        </w:tc>
        <w:tc>
          <w:tcPr>
            <w:tcW w:w="32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297,730</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62,680</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235,050</w:t>
            </w:r>
          </w:p>
        </w:tc>
      </w:tr>
      <w:tr>
        <w:trPr/>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8</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January 20, 2023</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Industrial and Commercial Bank of China</w:t>
            </w:r>
          </w:p>
        </w:tc>
        <w:tc>
          <w:tcPr>
            <w:tcW w:w="3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July 25, 2029</w:t>
            </w:r>
          </w:p>
        </w:tc>
        <w:tc>
          <w:tcPr>
            <w:tcW w:w="32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499,800</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24,990</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474,810</w:t>
            </w:r>
          </w:p>
        </w:tc>
        <w:tc>
          <w:tcPr>
            <w:tcW w:w="32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474,810</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99,960</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374,850</w:t>
            </w:r>
          </w:p>
        </w:tc>
      </w:tr>
      <w:tr>
        <w:trPr/>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February 24,2023</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Bank of Beijing</w:t>
            </w:r>
          </w:p>
        </w:tc>
        <w:tc>
          <w:tcPr>
            <w:tcW w:w="32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February 24,2025</w:t>
            </w:r>
          </w:p>
        </w:tc>
        <w:tc>
          <w:tcPr>
            <w:tcW w:w="32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127,500</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30,000</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97,500</w:t>
            </w:r>
          </w:p>
        </w:tc>
        <w:tc>
          <w:tcPr>
            <w:tcW w:w="32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10</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March 31, 2023</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Bank of Shanghai</w:t>
            </w:r>
          </w:p>
        </w:tc>
        <w:tc>
          <w:tcPr>
            <w:tcW w:w="3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April 30, 2024</w:t>
            </w:r>
          </w:p>
        </w:tc>
        <w:tc>
          <w:tcPr>
            <w:tcW w:w="32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650,000</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650,000</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r>
      <w:tr>
        <w:trPr/>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September 18, 2023</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Bank of Shanghai</w:t>
            </w:r>
          </w:p>
        </w:tc>
        <w:tc>
          <w:tcPr>
            <w:tcW w:w="32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September 18,2026</w:t>
            </w:r>
          </w:p>
        </w:tc>
        <w:tc>
          <w:tcPr>
            <w:tcW w:w="32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321,640</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108,600</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213,040</w:t>
            </w:r>
          </w:p>
        </w:tc>
        <w:tc>
          <w:tcPr>
            <w:tcW w:w="32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213,040</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108,600</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104,440</w:t>
            </w:r>
          </w:p>
        </w:tc>
      </w:tr>
      <w:tr>
        <w:trPr/>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12</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March 18, 2024</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 Construction Bank</w:t>
            </w:r>
          </w:p>
        </w:tc>
        <w:tc>
          <w:tcPr>
            <w:tcW w:w="3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January 15,2031</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637,010</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29,900</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607,110</w:t>
            </w:r>
          </w:p>
        </w:tc>
      </w:tr>
      <w:tr>
        <w:trPr/>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March 18, 2024</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Industrial and Commercial Bank of China</w:t>
            </w:r>
          </w:p>
        </w:tc>
        <w:tc>
          <w:tcPr>
            <w:tcW w:w="32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January 15,2031</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497,660</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23,360</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474,300</w:t>
            </w:r>
          </w:p>
        </w:tc>
      </w:tr>
      <w:tr>
        <w:trPr/>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14</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March 18, 2024</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China Minsheng Bank</w:t>
            </w:r>
          </w:p>
        </w:tc>
        <w:tc>
          <w:tcPr>
            <w:tcW w:w="3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January 15,2031</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497,670</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23,380</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474,290</w:t>
            </w:r>
          </w:p>
        </w:tc>
      </w:tr>
      <w:tr>
        <w:trPr/>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15</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March 18, 2024</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Agricultural Bank of China</w:t>
            </w:r>
          </w:p>
        </w:tc>
        <w:tc>
          <w:tcPr>
            <w:tcW w:w="32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January 15,2031</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497,660</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23,360</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474,300</w:t>
            </w:r>
          </w:p>
        </w:tc>
      </w:tr>
      <w:tr>
        <w:trPr/>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16</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April 12, 2024</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Bank of Shanghai</w:t>
            </w:r>
          </w:p>
        </w:tc>
        <w:tc>
          <w:tcPr>
            <w:tcW w:w="3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January 11, 2027</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145,550</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72,600</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72,950</w:t>
            </w:r>
          </w:p>
        </w:tc>
      </w:tr>
      <w:tr>
        <w:trPr/>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May 15, 2024</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Bank of Shanghai</w:t>
            </w:r>
          </w:p>
        </w:tc>
        <w:tc>
          <w:tcPr>
            <w:tcW w:w="32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February15,2027</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228,240</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107,640</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120,600</w:t>
            </w:r>
          </w:p>
        </w:tc>
      </w:tr>
      <w:tr>
        <w:trPr/>
        <w:tc>
          <w:tcPr>
            <w:tcW w:w="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2,342,800</w:t>
            </w:r>
          </w:p>
        </w:tc>
        <w:tc>
          <w:tcPr>
            <w:tcW w:w="326" w:type="dxa"/>
            <w:tcBorders/>
            <w:vAlign w:val="center"/>
          </w:tcPr>
          <w:p>
            <w:pPr>
              <w:pStyle w:val="TableContents"/>
              <w:bidi w:val="0"/>
              <w:spacing w:before="0" w:after="1"/>
              <w:ind w:left="0" w:right="0" w:hanging="0"/>
              <w:jc w:val="left"/>
              <w:rPr/>
            </w:pPr>
            <w:r>
              <w:rPr/>
              <w:t> </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1,144,420</w:t>
            </w:r>
          </w:p>
        </w:tc>
        <w:tc>
          <w:tcPr>
            <w:tcW w:w="326" w:type="dxa"/>
            <w:tcBorders/>
            <w:vAlign w:val="center"/>
          </w:tcPr>
          <w:p>
            <w:pPr>
              <w:pStyle w:val="TableContents"/>
              <w:bidi w:val="0"/>
              <w:spacing w:before="0" w:after="1"/>
              <w:ind w:left="0" w:right="0" w:hanging="0"/>
              <w:jc w:val="left"/>
              <w:rPr/>
            </w:pPr>
            <w:r>
              <w:rPr/>
              <w:t> </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1,198,380</w:t>
            </w:r>
          </w:p>
        </w:tc>
        <w:tc>
          <w:tcPr>
            <w:tcW w:w="326" w:type="dxa"/>
            <w:tcBorders/>
            <w:vAlign w:val="center"/>
          </w:tcPr>
          <w:p>
            <w:pPr>
              <w:pStyle w:val="TableContents"/>
              <w:bidi w:val="0"/>
              <w:spacing w:before="0" w:after="1"/>
              <w:ind w:left="0" w:right="0" w:hanging="0"/>
              <w:jc w:val="left"/>
              <w:rPr/>
            </w:pPr>
            <w:r>
              <w:rPr/>
              <w:t> </w:t>
            </w:r>
          </w:p>
        </w:tc>
        <w:tc>
          <w:tcPr>
            <w:tcW w:w="8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3,604,670</w:t>
            </w:r>
          </w:p>
        </w:tc>
        <w:tc>
          <w:tcPr>
            <w:tcW w:w="326" w:type="dxa"/>
            <w:tcBorders/>
            <w:vAlign w:val="center"/>
          </w:tcPr>
          <w:p>
            <w:pPr>
              <w:pStyle w:val="TableContents"/>
              <w:bidi w:val="0"/>
              <w:spacing w:before="0" w:after="1"/>
              <w:ind w:left="0" w:right="0" w:hanging="0"/>
              <w:jc w:val="left"/>
              <w:rPr/>
            </w:pPr>
            <w:r>
              <w:rPr/>
              <w:t> </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639,180</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2,965,490</w:t>
            </w:r>
          </w:p>
        </w:tc>
      </w:tr>
    </w:tbl>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long-term borrowings contain covenants including, among others, limitation on liens, consolidation, merger and sale of the Group’s assets and certain financial measures which includes liabilities to assets ratio. The Group was in compliance with all of the loan covenants as of December 31, 2023 and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2023, the Group had bank credit quotas with aggregated amount of RMB64,464,118 which consists of non-collateral based bank credit quotas of RMB16,348,270 and collateral-based bank credit quotas of RMB48,115,848. Out of the total non-collateral bank credit quotas, RMB5,492,800, RMB1,201,226 and RMB250,000 were used for bank borrowing, issuance of letters of guarantee and bank’s acceptance notes, respectively. Out of the total collateral-based bank credit quotas, RMB2,588,913, RMB14,713,855 and nil were used for issuance of letters of guarantee, bank’s acceptance notes and letter of credit,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2024, the Group had bank credit quotas with aggregated amount of RMB73,772,832 which consists of non-collateral based bank credit quotas of RMB15,441,290 and collateral-based bank credit quotas of RMB58,331,542. Out of the total non-collateral bank credit quotas, RMB7,104,500, RMB2,537,005 and RMB330,000 were used for bank borrowing, issuance of letters of guarantee and bank’s acceptance notes, respectively. Out of the total collateral-based bank credit quotas, RMB2,058,607 and RMB16,658,660 were used for issuance of letters of guarantee and bank’s acceptance notes, respectively.</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(v) Asset-backed securities and notes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Group entered into several asset-backed securitization arrangements with third-party financial institutions and set up securitization vehicles to issue the senior debt securities and notes to third party investors, which are collateralized by the auto financing receivables (the “transferred financial assets”). The Group also acts as servicer to provide management, administration and collection services on the transferred financial assets. The Group consolidated the securitization vehicles when significant economic interests are retained in the form of subordinated interests. The proceeds from the issuance of debt securities and notes are reported as securitization debt. The securities and notes are due for repayment when collections on the underlying collateralized assets occur and the amounts are included in “Current portion of long-term borrowings” or “Long-term borrowings” according to the contractual maturities date of the debt securities and notes. As of December 31, 2023 and 2024, the balance of current portion of asset-backed securities and notes were RMB278,823 and nil, respectively, and there was no non-current portion of asset-backed securities and notes for December 31, 2023 and December 31, 2024.</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677" w:name="Tc__kH_EYTunk-bTXO1ZAkumQ_9_0"/>
      <w:bookmarkStart w:id="1678" w:name="Tc_nKdBxkdKiEuNylqASq09ew_8_0"/>
      <w:bookmarkStart w:id="1679" w:name="Tc_7NlK20IcHkywdfw2sKXC7Q_7_0"/>
      <w:bookmarkStart w:id="1680" w:name="Tc_HLHqs0_5d0W-SXN4upoqYg_6_0"/>
      <w:bookmarkStart w:id="1681" w:name="Tc_3sQ3ylaw_kGAzX7qGcc8nA_5_2"/>
      <w:bookmarkStart w:id="1682" w:name="Tc_-rD4re7O3E-wTce9gFa3Ew_5_0"/>
      <w:bookmarkStart w:id="1683" w:name="Tc_-E8Hp3qWZEuOhNTZNorWdA_4_0"/>
      <w:bookmarkStart w:id="1684" w:name="Tc_QiEcZwLpD0W81EcnbKC4ZA_3_0"/>
      <w:bookmarkStart w:id="1685" w:name="Tc_0f0tX3RGZEuUq-iyxM10dA_2_4"/>
      <w:bookmarkStart w:id="1686" w:name="Tc_Zj2bPTed1Ei-hnFAlzD--Q_2_2"/>
      <w:bookmarkStart w:id="1687" w:name="Tc_1ImVr-weQ06YKsQUPFsiWw_1_4"/>
      <w:bookmarkStart w:id="1688" w:name="Tc_OCxtw2PNZkyhFsOScVMKXA_1_2"/>
      <w:bookmarkEnd w:id="1677"/>
      <w:bookmarkEnd w:id="1678"/>
      <w:bookmarkEnd w:id="1679"/>
      <w:bookmarkEnd w:id="1680"/>
      <w:bookmarkEnd w:id="1681"/>
      <w:bookmarkEnd w:id="1682"/>
      <w:bookmarkEnd w:id="1683"/>
      <w:bookmarkEnd w:id="1684"/>
      <w:bookmarkEnd w:id="1685"/>
      <w:bookmarkEnd w:id="1686"/>
      <w:bookmarkEnd w:id="1687"/>
      <w:bookmarkEnd w:id="1688"/>
      <w:r>
        <w:rPr>
          <w:rFonts w:ascii="Times New Roman;Times;serif" w:hAnsi="Times New Roman;Times;serif"/>
          <w:b/>
          <w:sz w:val="20"/>
        </w:rPr>
        <w:t>13.  Other Non-Current Liabilities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non-current liabilities consist of the following:</w:t>
      </w:r>
    </w:p>
    <w:p>
      <w:pPr>
        <w:pStyle w:val="TextBody"/>
        <w:bidi w:val="0"/>
        <w:spacing w:before="0" w:after="240"/>
        <w:ind w:left="0" w:right="0" w:firstLine="360"/>
        <w:jc w:val="both"/>
        <w:rPr/>
      </w:pPr>
      <w:r>
        <w:rPr/>
        <w:t>​</w:t>
      </w:r>
    </w:p>
    <w:tbl>
      <w:tblPr>
        <w:tblW w:w="5995" w:type="dxa"/>
        <w:jc w:val="left"/>
        <w:tblInd w:w="0" w:type="dxa"/>
        <w:tblLayout w:type="fixed"/>
        <w:tblCellMar>
          <w:top w:w="0" w:type="dxa"/>
          <w:left w:w="0" w:type="dxa"/>
          <w:bottom w:w="0" w:type="dxa"/>
          <w:right w:w="0" w:type="dxa"/>
        </w:tblCellMar>
      </w:tblPr>
      <w:tblGrid>
        <w:gridCol w:w="3016"/>
        <w:gridCol w:w="326"/>
        <w:gridCol w:w="1141"/>
        <w:gridCol w:w="326"/>
        <w:gridCol w:w="118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915160" cy="175260"/>
                      <wp:effectExtent l="0" t="0" r="0" b="0"/>
                      <wp:wrapNone/>
                      <wp:docPr id="356" name="Frame353"/>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57" name="Frame3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724535" cy="175260"/>
                      <wp:effectExtent l="0" t="0" r="0" b="0"/>
                      <wp:wrapNone/>
                      <wp:docPr id="358" name="Frame35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7010" cy="175260"/>
                      <wp:effectExtent l="0" t="0" r="0" b="0"/>
                      <wp:wrapNone/>
                      <wp:docPr id="359" name="Frame3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753110" cy="175260"/>
                      <wp:effectExtent l="0" t="0" r="0" b="0"/>
                      <wp:wrapNone/>
                      <wp:docPr id="360" name="Frame35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3,202,936</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4,068,079</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3,051,022</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3,045,846</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 to BaaS users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779,695</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government grants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323,980</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391,116</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finance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22,173</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35,145</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63,694</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308,715</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6,663,805</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8,628,596</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Deferred government grants mainly consist of specific government subsidies for purchase of land use right and buildings, charging and battery swap equipment, which is amortized using the straight-line method as a deduction of the amortization or depreciation expense of the relevant assets over their remaining estimated useful life.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14.  Leases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Group has entered into various non-cancellable operating and finance lease agreements for certain offices, warehouses, retail and service locations, equipment and vehicles worldwide. The Group determines if an arrangement is a lease, or contains a lease, at inception and record the leases in the financial statements upon lease commencement, which is the date when the underlying asset is made available for use by the lessor.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0"/>
        <w:ind w:left="0" w:right="0" w:firstLine="360"/>
        <w:jc w:val="both"/>
        <w:rPr>
          <w:rFonts w:ascii="Times New Roman;Times;serif" w:hAnsi="Times New Roman;Times;serif"/>
          <w:sz w:val="20"/>
        </w:rPr>
      </w:pPr>
      <w:bookmarkStart w:id="1689" w:name="Tc_ef4P3lFUWkOrFGWkjwBsiA_6_0"/>
      <w:bookmarkStart w:id="1690" w:name="Tc_dGvu-mRMH0iipag3Q0ktnQ_5_0"/>
      <w:bookmarkStart w:id="1691" w:name="Tc_wfnMZlHWSEaTkm0VeARuuw_4_0"/>
      <w:bookmarkStart w:id="1692" w:name="Tc_OHSVdjAZDkezoSn1ozLqRg_3_0"/>
      <w:bookmarkStart w:id="1693" w:name="Tc_C3TM9s0H0ka5KrAkxF1C1w_2_4"/>
      <w:bookmarkStart w:id="1694" w:name="Tc_VI28Dd3LPEmlYiQmKohSBQ_2_2"/>
      <w:bookmarkStart w:id="1695" w:name="Tc_I4mIojTkSESYU16k8GC6Pw_1_2"/>
      <w:bookmarkStart w:id="1696" w:name="Tc_gMfjc8qrGk-Q3AKRlMOslg_9_5"/>
      <w:bookmarkStart w:id="1697" w:name="Tc_JQlyeqmDN023ed57gHxfWA_9_3"/>
      <w:bookmarkStart w:id="1698" w:name="Tc_X8xSM9-R10SYuzFREWPivA_9_0"/>
      <w:bookmarkStart w:id="1699" w:name="Tc_vWsg96Z_h06yfE_Tk-tW9Q_8_5"/>
      <w:bookmarkStart w:id="1700" w:name="Tc_MzVfV5vm5U-zN-yHhBXMMw_8_3"/>
      <w:bookmarkStart w:id="1701" w:name="Tc_lVH8CKMI8USR_JK6U3eB2w_8_0"/>
      <w:bookmarkStart w:id="1702" w:name="Tc_d25yWPZtT0KGm1Gq7zw7TA_7_0"/>
      <w:bookmarkStart w:id="1703" w:name="Tc_zTaMvRLug0q6Hkv9QQsjnA_5_5"/>
      <w:bookmarkStart w:id="1704" w:name="Tc_zhTb5IHFIEmVu4yNXP9tAw_5_3"/>
      <w:bookmarkStart w:id="1705" w:name="Tc_-xu4OWkGmkWhJ3A4MbsNNw_5_0"/>
      <w:bookmarkStart w:id="1706" w:name="Tc_Iuhe--3XjEGM-VHR2wF17w_4_5"/>
      <w:bookmarkStart w:id="1707" w:name="Tc_R6gpNl0JeUu0A3wcH6xtdA_4_3"/>
      <w:bookmarkStart w:id="1708" w:name="Tc_Ev3y3l2oik26XsWf0NIaeQ_4_0"/>
      <w:bookmarkStart w:id="1709" w:name="Tc_6fuP8WWtiEmXGFc86wzsKQ_3_0"/>
      <w:bookmarkStart w:id="1710" w:name="Tc_2ji09ho5J0iDgCgx8EGSFA_2_4"/>
      <w:bookmarkStart w:id="1711" w:name="Tc_g0wyK0tkrEG2wGmhwnkHkA_2_2"/>
      <w:bookmarkStart w:id="1712" w:name="Tc_gG8OEgXAk0iYz5GO18ZPuQ_1_4"/>
      <w:bookmarkStart w:id="1713" w:name="Tc_Xa0WCELXWEmMJDC0g3gLLA_1_2"/>
      <w:bookmarkStart w:id="1714" w:name="Tc_6FS7-oa7LUG6iFil4YEWXQ_6_0"/>
      <w:bookmarkStart w:id="1715" w:name="Tc_XCTK2U8u80OHed3YFtH2Nw_5_0"/>
      <w:bookmarkStart w:id="1716" w:name="Tc_qiw_T76shE2GJ2wax6XuVQ_4_0"/>
      <w:bookmarkStart w:id="1717" w:name="Tc_NkSOQbcv_EOJdBmlg68vUQ_3_0"/>
      <w:bookmarkStart w:id="1718" w:name="Tc_Gu0gSstllECVyYzYazdW8g_2_4"/>
      <w:bookmarkStart w:id="1719" w:name="Tc_wXX3ZXqWmU-tbvKHPln-lw_2_2"/>
      <w:bookmarkStart w:id="1720" w:name="Tc_idaZCBavJUiQpGkkBIzc_w_2_0"/>
      <w:bookmarkStart w:id="1721" w:name="Tc_XUoHCm3kR067Tsy421CpwQ_1_2"/>
      <w:bookmarkStart w:id="1722" w:name="Tc_o5WJpE8dpESkE0FNTEuT3w_12_0"/>
      <w:bookmarkStart w:id="1723" w:name="Tc_sxH_FYzQmUGPnK0PvrtcHQ_8_0"/>
      <w:bookmarkStart w:id="1724" w:name="Tc_VPqIr84bR0Kxxu3PiAXszA_7_0"/>
      <w:bookmarkStart w:id="1725" w:name="Tc_nr-Mt9Ewj0OSc_uaKB1-AQ_6_0"/>
      <w:bookmarkStart w:id="1726" w:name="Tc_wEw_Ui7H-0aiL3Ms2XVIiQ_5_0"/>
      <w:bookmarkStart w:id="1727" w:name="Tc_WsIecxUVYEKrNc56Ee2l4g_4_0"/>
      <w:bookmarkStart w:id="1728" w:name="Tc_-uOUB_h51UO02knUDDz5YA_3_0"/>
      <w:bookmarkStart w:id="1729" w:name="Tc_dnixvKA9Kk67eh1LJMe7Aw_2_4"/>
      <w:bookmarkStart w:id="1730" w:name="Tc_8CYD4ldTJESD3itmfmtwQA_2_2"/>
      <w:bookmarkStart w:id="1731" w:name="Tc_SSRCTrvIGEuBTsnxhasLCw_1_4"/>
      <w:bookmarkStart w:id="1732" w:name="Tc_uwFxIa7RAkuLwC-LmV19qQ_1_2"/>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r>
        <w:rPr>
          <w:rFonts w:ascii="Times New Roman;Times;serif" w:hAnsi="Times New Roman;Times;serif"/>
          <w:sz w:val="20"/>
        </w:rPr>
        <w:t>The balances for the operating and finance leases where the Group is the lessee are presented as follows within the consolidated balance sheet:</w:t>
      </w:r>
    </w:p>
    <w:p>
      <w:pPr>
        <w:pStyle w:val="TextBody"/>
        <w:bidi w:val="0"/>
        <w:spacing w:before="0" w:after="240"/>
        <w:ind w:left="0" w:right="0" w:firstLine="360"/>
        <w:jc w:val="both"/>
        <w:rPr/>
      </w:pPr>
      <w:r>
        <w:rPr/>
        <w:t>​</w:t>
      </w:r>
    </w:p>
    <w:tbl>
      <w:tblPr>
        <w:tblW w:w="6730" w:type="dxa"/>
        <w:jc w:val="left"/>
        <w:tblInd w:w="0" w:type="dxa"/>
        <w:tblLayout w:type="fixed"/>
        <w:tblCellMar>
          <w:top w:w="0" w:type="dxa"/>
          <w:left w:w="0" w:type="dxa"/>
          <w:bottom w:w="0" w:type="dxa"/>
          <w:right w:w="0" w:type="dxa"/>
        </w:tblCellMar>
      </w:tblPr>
      <w:tblGrid>
        <w:gridCol w:w="3691"/>
        <w:gridCol w:w="326"/>
        <w:gridCol w:w="1141"/>
        <w:gridCol w:w="386"/>
        <w:gridCol w:w="1186"/>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343785" cy="175260"/>
                      <wp:effectExtent l="0" t="0" r="0" b="0"/>
                      <wp:wrapNone/>
                      <wp:docPr id="361" name="Frame358"/>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2" name="Frame3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724535" cy="175260"/>
                      <wp:effectExtent l="0" t="0" r="0" b="0"/>
                      <wp:wrapNone/>
                      <wp:docPr id="363" name="Frame36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45110" cy="175260"/>
                      <wp:effectExtent l="0" t="0" r="0" b="0"/>
                      <wp:wrapNone/>
                      <wp:docPr id="364" name="Frame361"/>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753110" cy="175260"/>
                      <wp:effectExtent l="0" t="0" r="0" b="0"/>
                      <wp:wrapNone/>
                      <wp:docPr id="365" name="Frame36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1"/>
              <w:ind w:left="0" w:right="0" w:hanging="0"/>
              <w:jc w:val="left"/>
              <w:rPr>
                <w:color w:val="212529"/>
              </w:rPr>
            </w:pPr>
            <w:r>
              <w:rPr>
                <w:color w:val="212529"/>
              </w:rPr>
              <w:t>​</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8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691" w:type="dxa"/>
            <w:tcBorders/>
            <w:vAlign w:val="center"/>
          </w:tcPr>
          <w:p>
            <w:pPr>
              <w:pStyle w:val="TableContents"/>
              <w:bidi w:val="0"/>
              <w:spacing w:before="0" w:after="1"/>
              <w:ind w:left="0" w:right="0" w:hanging="0"/>
              <w:jc w:val="left"/>
              <w:rPr>
                <w:color w:val="212529"/>
              </w:rPr>
            </w:pPr>
            <w:r>
              <w:rPr>
                <w:color w:val="212529"/>
              </w:rPr>
              <w:t>​</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6" w:type="dxa"/>
            <w:tcBorders/>
            <w:vAlign w:val="center"/>
          </w:tcPr>
          <w:p>
            <w:pPr>
              <w:pStyle w:val="TableContents"/>
              <w:bidi w:val="0"/>
              <w:spacing w:before="0" w:after="1"/>
              <w:ind w:left="0" w:right="0" w:hanging="0"/>
              <w:jc w:val="center"/>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6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8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pPr>
            <w:r>
              <w:rPr/>
              <w:t>​</w:t>
            </w:r>
          </w:p>
        </w:tc>
      </w:tr>
      <w:tr>
        <w:trPr/>
        <w:tc>
          <w:tcPr>
            <w:tcW w:w="36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assets - operating lease</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11,404,116</w:t>
            </w:r>
          </w:p>
        </w:tc>
        <w:tc>
          <w:tcPr>
            <w:tcW w:w="386" w:type="dxa"/>
            <w:tcBorders/>
            <w:vAlign w:val="center"/>
          </w:tcPr>
          <w:p>
            <w:pPr>
              <w:pStyle w:val="TableContents"/>
              <w:bidi w:val="0"/>
              <w:spacing w:before="0" w:after="1"/>
              <w:ind w:left="0" w:right="0" w:hanging="0"/>
              <w:jc w:val="left"/>
              <w:rPr/>
            </w:pPr>
            <w:r>
              <w:rPr/>
              <w:t>​</w:t>
            </w:r>
          </w:p>
        </w:tc>
        <w:tc>
          <w:tcPr>
            <w:tcW w:w="11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12,797,158</w:t>
            </w:r>
          </w:p>
        </w:tc>
      </w:tr>
      <w:tr>
        <w:trPr/>
        <w:tc>
          <w:tcPr>
            <w:tcW w:w="36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1,743,156</w:t>
            </w:r>
          </w:p>
        </w:tc>
        <w:tc>
          <w:tcPr>
            <w:tcW w:w="38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1,945,987</w:t>
            </w:r>
          </w:p>
        </w:tc>
      </w:tr>
      <w:tr>
        <w:trPr/>
        <w:tc>
          <w:tcPr>
            <w:tcW w:w="36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operating lease liabilities</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10,070,057</w:t>
            </w:r>
          </w:p>
        </w:tc>
        <w:tc>
          <w:tcPr>
            <w:tcW w:w="386" w:type="dxa"/>
            <w:tcBorders/>
            <w:vAlign w:val="center"/>
          </w:tcPr>
          <w:p>
            <w:pPr>
              <w:pStyle w:val="TableContents"/>
              <w:bidi w:val="0"/>
              <w:spacing w:before="0" w:after="1"/>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11,260,735</w:t>
            </w:r>
          </w:p>
        </w:tc>
      </w:tr>
      <w:tr>
        <w:trPr/>
        <w:tc>
          <w:tcPr>
            <w:tcW w:w="36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11,813,213</w:t>
            </w:r>
          </w:p>
        </w:tc>
        <w:tc>
          <w:tcPr>
            <w:tcW w:w="386" w:type="dxa"/>
            <w:tcBorders/>
            <w:shd w:fill="CCEEFF" w:val="clear"/>
            <w:vAlign w:val="center"/>
          </w:tcPr>
          <w:p>
            <w:pPr>
              <w:pStyle w:val="TableContents"/>
              <w:bidi w:val="0"/>
              <w:spacing w:before="0" w:after="1"/>
              <w:ind w:left="0" w:right="0" w:hanging="0"/>
              <w:jc w:val="left"/>
              <w:rPr/>
            </w:pPr>
            <w:r>
              <w:rPr/>
              <w:t>​</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13,206,722</w:t>
            </w:r>
          </w:p>
        </w:tc>
      </w:tr>
      <w:tr>
        <w:trPr/>
        <w:tc>
          <w:tcPr>
            <w:tcW w:w="36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pPr>
            <w:r>
              <w:rPr/>
              <w:t>​</w:t>
            </w:r>
          </w:p>
        </w:tc>
      </w:tr>
      <w:tr>
        <w:trPr/>
        <w:tc>
          <w:tcPr>
            <w:tcW w:w="369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 finance lease</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55,985</w:t>
            </w:r>
          </w:p>
        </w:tc>
        <w:tc>
          <w:tcPr>
            <w:tcW w:w="386" w:type="dxa"/>
            <w:tcBorders/>
            <w:shd w:fill="CCEEFF" w:val="clear"/>
            <w:vAlign w:val="center"/>
          </w:tcPr>
          <w:p>
            <w:pPr>
              <w:pStyle w:val="TableContents"/>
              <w:bidi w:val="0"/>
              <w:spacing w:before="0" w:after="1"/>
              <w:ind w:left="0" w:right="0" w:hanging="0"/>
              <w:jc w:val="left"/>
              <w:rPr/>
            </w:pPr>
            <w:r>
              <w:rPr/>
              <w:t>​</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63,635</w:t>
            </w:r>
          </w:p>
        </w:tc>
      </w:tr>
      <w:tr>
        <w:trPr/>
        <w:tc>
          <w:tcPr>
            <w:tcW w:w="369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finance lease liabilities</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25,311</w:t>
            </w:r>
          </w:p>
        </w:tc>
        <w:tc>
          <w:tcPr>
            <w:tcW w:w="38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13,498</w:t>
            </w:r>
          </w:p>
        </w:tc>
      </w:tr>
      <w:tr>
        <w:trPr/>
        <w:tc>
          <w:tcPr>
            <w:tcW w:w="369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finance lease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22,173</w:t>
            </w:r>
          </w:p>
        </w:tc>
        <w:tc>
          <w:tcPr>
            <w:tcW w:w="386" w:type="dxa"/>
            <w:tcBorders/>
            <w:shd w:fill="CCEEFF" w:val="clear"/>
            <w:vAlign w:val="center"/>
          </w:tcPr>
          <w:p>
            <w:pPr>
              <w:pStyle w:val="TableContents"/>
              <w:bidi w:val="0"/>
              <w:spacing w:before="0" w:after="1"/>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35,145</w:t>
            </w:r>
          </w:p>
        </w:tc>
      </w:tr>
      <w:tr>
        <w:trPr/>
        <w:tc>
          <w:tcPr>
            <w:tcW w:w="36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finance lease liabilities</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47,484</w:t>
            </w:r>
          </w:p>
        </w:tc>
        <w:tc>
          <w:tcPr>
            <w:tcW w:w="386" w:type="dxa"/>
            <w:tcBorders/>
            <w:vAlign w:val="center"/>
          </w:tcPr>
          <w:p>
            <w:pPr>
              <w:pStyle w:val="TableContents"/>
              <w:bidi w:val="0"/>
              <w:spacing w:before="0" w:after="1"/>
              <w:ind w:left="0" w:right="0" w:hanging="0"/>
              <w:jc w:val="left"/>
              <w:rPr/>
            </w:pPr>
            <w:r>
              <w:rPr/>
              <w:t>​</w:t>
            </w:r>
          </w:p>
        </w:tc>
        <w:tc>
          <w:tcPr>
            <w:tcW w:w="11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48,643</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components of lease expenses were as follows:</w:t>
      </w:r>
    </w:p>
    <w:p>
      <w:pPr>
        <w:pStyle w:val="TextBody"/>
        <w:bidi w:val="0"/>
        <w:spacing w:before="0" w:after="240"/>
        <w:ind w:left="0" w:right="0" w:firstLine="360"/>
        <w:jc w:val="both"/>
        <w:rPr/>
      </w:pPr>
      <w:r>
        <w:rPr/>
        <w:t>​</w:t>
      </w:r>
    </w:p>
    <w:tbl>
      <w:tblPr>
        <w:tblW w:w="9235" w:type="dxa"/>
        <w:jc w:val="left"/>
        <w:tblInd w:w="0" w:type="dxa"/>
        <w:tblLayout w:type="fixed"/>
        <w:tblCellMar>
          <w:top w:w="0" w:type="dxa"/>
          <w:left w:w="0" w:type="dxa"/>
          <w:bottom w:w="0" w:type="dxa"/>
          <w:right w:w="0" w:type="dxa"/>
        </w:tblCellMar>
      </w:tblPr>
      <w:tblGrid>
        <w:gridCol w:w="6616"/>
        <w:gridCol w:w="326"/>
        <w:gridCol w:w="931"/>
        <w:gridCol w:w="326"/>
        <w:gridCol w:w="1036"/>
      </w:tblGrid>
      <w:tr>
        <w:trPr/>
        <w:tc>
          <w:tcPr>
            <w:tcW w:w="6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201160" cy="175260"/>
                      <wp:effectExtent l="0" t="0" r="0" b="0"/>
                      <wp:wrapNone/>
                      <wp:docPr id="366" name="Frame363"/>
                      <a:graphic xmlns:a="http://schemas.openxmlformats.org/drawingml/2006/main">
                        <a:graphicData uri="http://schemas.microsoft.com/office/word/2010/wordprocessingShape">
                          <wps:wsp>
                            <wps:cNvSpPr txBox="1"/>
                            <wps:spPr>
                              <a:xfrm>
                                <a:off x="0" y="0"/>
                                <a:ext cx="420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67" name="Frame3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591185" cy="175260"/>
                      <wp:effectExtent l="0" t="0" r="0" b="0"/>
                      <wp:wrapNone/>
                      <wp:docPr id="368" name="Frame36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7010" cy="175260"/>
                      <wp:effectExtent l="0" t="0" r="0" b="0"/>
                      <wp:wrapNone/>
                      <wp:docPr id="369" name="Frame3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57860" cy="175260"/>
                      <wp:effectExtent l="0" t="0" r="0" b="0"/>
                      <wp:wrapNone/>
                      <wp:docPr id="370" name="Frame36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616" w:type="dxa"/>
            <w:tcBorders/>
            <w:vAlign w:val="center"/>
          </w:tcPr>
          <w:p>
            <w:pPr>
              <w:pStyle w:val="TableContents"/>
              <w:bidi w:val="0"/>
              <w:spacing w:before="0" w:after="1"/>
              <w:ind w:left="0" w:right="0" w:hanging="0"/>
              <w:jc w:val="left"/>
              <w:rPr>
                <w:color w:val="212529"/>
              </w:rPr>
            </w:pPr>
            <w:r>
              <w:rPr>
                <w:color w:val="212529"/>
              </w:rPr>
              <w:t>​</w:t>
            </w:r>
          </w:p>
        </w:tc>
        <w:tc>
          <w:tcPr>
            <w:tcW w:w="326" w:type="dxa"/>
            <w:tcBorders/>
            <w:vAlign w:val="center"/>
          </w:tcPr>
          <w:p>
            <w:pPr>
              <w:pStyle w:val="TableContents"/>
              <w:bidi w:val="0"/>
              <w:spacing w:before="0" w:after="1"/>
              <w:ind w:left="0" w:right="0" w:hanging="0"/>
              <w:jc w:val="center"/>
              <w:rPr/>
            </w:pPr>
            <w:r>
              <w:rPr/>
              <w:t>​</w:t>
            </w:r>
          </w:p>
        </w:tc>
        <w:tc>
          <w:tcPr>
            <w:tcW w:w="22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66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cost:</w:t>
            </w:r>
          </w:p>
        </w:tc>
        <w:tc>
          <w:tcPr>
            <w:tcW w:w="326" w:type="dxa"/>
            <w:tcBorders/>
            <w:vAlign w:val="center"/>
          </w:tcPr>
          <w:p>
            <w:pPr>
              <w:pStyle w:val="TableContents"/>
              <w:bidi w:val="0"/>
              <w:spacing w:before="0" w:after="1"/>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right-of-use assets</w:t>
            </w:r>
          </w:p>
        </w:tc>
        <w:tc>
          <w:tcPr>
            <w:tcW w:w="326" w:type="dxa"/>
            <w:tcBorders/>
            <w:shd w:fill="CCEEFF" w:val="clear"/>
            <w:vAlign w:val="center"/>
          </w:tcPr>
          <w:p>
            <w:pPr>
              <w:pStyle w:val="TableContents"/>
              <w:bidi w:val="0"/>
              <w:spacing w:before="0" w:after="1"/>
              <w:ind w:left="0" w:right="0" w:hanging="0"/>
              <w:jc w:val="center"/>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1,529,464</w:t>
            </w:r>
          </w:p>
        </w:tc>
        <w:tc>
          <w:tcPr>
            <w:tcW w:w="326"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1,825,182</w:t>
            </w:r>
          </w:p>
        </w:tc>
      </w:tr>
      <w:tr>
        <w:trPr/>
        <w:tc>
          <w:tcPr>
            <w:tcW w:w="66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of operating lease liabilities</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566,703</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573,031</w:t>
            </w:r>
          </w:p>
        </w:tc>
      </w:tr>
      <w:tr>
        <w:trPr/>
        <w:tc>
          <w:tcPr>
            <w:tcW w:w="6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Expenses for short-term leases within 12 months and other non-lease component</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544,640</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227,990</w:t>
            </w:r>
          </w:p>
        </w:tc>
      </w:tr>
      <w:tr>
        <w:trPr/>
        <w:tc>
          <w:tcPr>
            <w:tcW w:w="66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2,640,807</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2,626,203</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information related to leases where the Group is the lessee is as follows:</w:t>
      </w:r>
    </w:p>
    <w:p>
      <w:pPr>
        <w:pStyle w:val="TextBody"/>
        <w:bidi w:val="0"/>
        <w:spacing w:before="0" w:after="240"/>
        <w:ind w:left="0" w:right="0" w:firstLine="360"/>
        <w:jc w:val="both"/>
        <w:rPr/>
      </w:pPr>
      <w:r>
        <w:rPr/>
        <w:t>​</w:t>
      </w:r>
    </w:p>
    <w:tbl>
      <w:tblPr>
        <w:tblW w:w="8131" w:type="dxa"/>
        <w:jc w:val="left"/>
        <w:tblInd w:w="0" w:type="dxa"/>
        <w:tblLayout w:type="fixed"/>
        <w:tblCellMar>
          <w:top w:w="0" w:type="dxa"/>
          <w:left w:w="0" w:type="dxa"/>
          <w:bottom w:w="0" w:type="dxa"/>
          <w:right w:w="0" w:type="dxa"/>
        </w:tblCellMar>
      </w:tblPr>
      <w:tblGrid>
        <w:gridCol w:w="3586"/>
        <w:gridCol w:w="326"/>
        <w:gridCol w:w="1561"/>
        <w:gridCol w:w="526"/>
        <w:gridCol w:w="1561"/>
        <w:gridCol w:w="571"/>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277110" cy="175260"/>
                      <wp:effectExtent l="0" t="0" r="0" b="0"/>
                      <wp:wrapNone/>
                      <wp:docPr id="371" name="Frame368"/>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2" name="Frame3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991235" cy="175260"/>
                      <wp:effectExtent l="0" t="0" r="0" b="0"/>
                      <wp:wrapNone/>
                      <wp:docPr id="373" name="Frame370"/>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334010" cy="175260"/>
                      <wp:effectExtent l="0" t="0" r="0" b="0"/>
                      <wp:wrapNone/>
                      <wp:docPr id="374" name="Frame371"/>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991235" cy="175260"/>
                      <wp:effectExtent l="0" t="0" r="0" b="0"/>
                      <wp:wrapNone/>
                      <wp:docPr id="375" name="Frame372"/>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362585" cy="175260"/>
                      <wp:effectExtent l="0" t="0" r="0" b="0"/>
                      <wp:wrapNone/>
                      <wp:docPr id="376" name="Frame37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1"/>
              <w:ind w:left="0" w:right="0" w:hanging="0"/>
              <w:jc w:val="left"/>
              <w:rPr>
                <w:color w:val="212529"/>
              </w:rPr>
            </w:pPr>
            <w:r>
              <w:rPr>
                <w:color w:val="212529"/>
              </w:rPr>
              <w:t>​</w:t>
            </w:r>
          </w:p>
        </w:tc>
        <w:tc>
          <w:tcPr>
            <w:tcW w:w="326" w:type="dxa"/>
            <w:tcBorders/>
            <w:vAlign w:val="center"/>
          </w:tcPr>
          <w:p>
            <w:pPr>
              <w:pStyle w:val="TableContents"/>
              <w:bidi w:val="0"/>
              <w:spacing w:before="0" w:after="1"/>
              <w:ind w:left="0" w:right="0" w:hanging="0"/>
              <w:jc w:val="center"/>
              <w:rPr/>
            </w:pPr>
            <w:r>
              <w:rPr/>
              <w:t>​</w:t>
            </w:r>
          </w:p>
        </w:tc>
        <w:tc>
          <w:tcPr>
            <w:tcW w:w="15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526" w:type="dxa"/>
            <w:tcBorders/>
            <w:vAlign w:val="center"/>
          </w:tcPr>
          <w:p>
            <w:pPr>
              <w:pStyle w:val="TableContents"/>
              <w:bidi w:val="0"/>
              <w:spacing w:before="0" w:after="1"/>
              <w:ind w:left="0" w:right="0" w:hanging="0"/>
              <w:jc w:val="center"/>
              <w:rPr/>
            </w:pPr>
            <w:r>
              <w:rPr/>
              <w:t>​</w:t>
            </w:r>
          </w:p>
        </w:tc>
        <w:tc>
          <w:tcPr>
            <w:tcW w:w="15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571" w:type="dxa"/>
            <w:tcBorders/>
            <w:vAlign w:val="center"/>
          </w:tcPr>
          <w:p>
            <w:pPr>
              <w:pStyle w:val="TableContents"/>
              <w:bidi w:val="0"/>
              <w:spacing w:before="0" w:after="1"/>
              <w:ind w:left="0" w:right="0" w:hanging="0"/>
              <w:jc w:val="left"/>
              <w:rPr/>
            </w:pPr>
            <w:r>
              <w:rPr/>
              <w:t>​</w:t>
            </w:r>
          </w:p>
        </w:tc>
      </w:tr>
      <w:tr>
        <w:trPr/>
        <w:tc>
          <w:tcPr>
            <w:tcW w:w="3586" w:type="dxa"/>
            <w:tcBorders/>
            <w:vAlign w:val="center"/>
          </w:tcPr>
          <w:p>
            <w:pPr>
              <w:pStyle w:val="TableContents"/>
              <w:bidi w:val="0"/>
              <w:spacing w:before="0" w:after="1"/>
              <w:ind w:left="0" w:right="0" w:hanging="0"/>
              <w:jc w:val="left"/>
              <w:rPr>
                <w:color w:val="212529"/>
              </w:rPr>
            </w:pPr>
            <w:r>
              <w:rPr>
                <w:color w:val="212529"/>
              </w:rPr>
              <w:t>​</w:t>
            </w:r>
          </w:p>
        </w:tc>
        <w:tc>
          <w:tcPr>
            <w:tcW w:w="326" w:type="dxa"/>
            <w:tcBorders/>
            <w:vAlign w:val="center"/>
          </w:tcPr>
          <w:p>
            <w:pPr>
              <w:pStyle w:val="TableContents"/>
              <w:bidi w:val="0"/>
              <w:spacing w:before="0" w:after="1"/>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26" w:type="dxa"/>
            <w:tcBorders/>
            <w:vAlign w:val="center"/>
          </w:tcPr>
          <w:p>
            <w:pPr>
              <w:pStyle w:val="TableContents"/>
              <w:bidi w:val="0"/>
              <w:spacing w:before="0" w:after="1"/>
              <w:ind w:left="0" w:right="0" w:hanging="0"/>
              <w:jc w:val="center"/>
              <w:rPr/>
            </w:pPr>
            <w:r>
              <w:rPr/>
              <w:t>     </w:t>
            </w:r>
          </w:p>
        </w:tc>
        <w:tc>
          <w:tcPr>
            <w:tcW w:w="15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571" w:type="dxa"/>
            <w:tcBorders/>
            <w:vAlign w:val="center"/>
          </w:tcPr>
          <w:p>
            <w:pPr>
              <w:pStyle w:val="TableContents"/>
              <w:bidi w:val="0"/>
              <w:spacing w:before="0" w:after="1"/>
              <w:ind w:left="0" w:right="0" w:hanging="0"/>
              <w:jc w:val="left"/>
              <w:rPr/>
            </w:pPr>
            <w:r>
              <w:rPr/>
              <w:t>​</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Weighted-average remaining lease term:</w:t>
            </w:r>
          </w:p>
        </w:tc>
        <w:tc>
          <w:tcPr>
            <w:tcW w:w="32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pPr>
            <w:r>
              <w:rPr/>
              <w:t>  </w:t>
            </w:r>
          </w:p>
        </w:tc>
        <w:tc>
          <w:tcPr>
            <w:tcW w:w="526" w:type="dxa"/>
            <w:tcBorders/>
            <w:shd w:fill="CCEEFF" w:val="clear"/>
            <w:vAlign w:val="center"/>
          </w:tcPr>
          <w:p>
            <w:pPr>
              <w:pStyle w:val="TableContents"/>
              <w:bidi w:val="0"/>
              <w:spacing w:before="0" w:after="1"/>
              <w:ind w:left="0" w:right="0" w:hanging="0"/>
              <w:jc w:val="left"/>
              <w:rPr/>
            </w:pPr>
            <w:r>
              <w:rPr/>
              <w:t>​</w:t>
            </w:r>
          </w:p>
        </w:tc>
        <w:tc>
          <w:tcPr>
            <w:tcW w:w="156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years</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years</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3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6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w:t>
            </w:r>
          </w:p>
        </w:tc>
        <w:tc>
          <w:tcPr>
            <w:tcW w:w="156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Weighted-average discount rate:</w:t>
            </w:r>
          </w:p>
        </w:tc>
        <w:tc>
          <w:tcPr>
            <w:tcW w:w="32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left"/>
              <w:rPr/>
            </w:pPr>
            <w:r>
              <w:rPr/>
              <w:t>​</w:t>
            </w:r>
          </w:p>
        </w:tc>
        <w:tc>
          <w:tcPr>
            <w:tcW w:w="156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w:t>
            </w:r>
          </w:p>
        </w:tc>
        <w:tc>
          <w:tcPr>
            <w:tcW w:w="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w:t>
            </w:r>
          </w:p>
        </w:tc>
        <w:tc>
          <w:tcPr>
            <w:tcW w:w="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Supplemental cash flow information related to leases where we are the lessee is as follows:</w:t>
      </w:r>
    </w:p>
    <w:p>
      <w:pPr>
        <w:pStyle w:val="TextBody"/>
        <w:bidi w:val="0"/>
        <w:spacing w:before="0" w:after="240"/>
        <w:ind w:left="0" w:right="0" w:firstLine="360"/>
        <w:jc w:val="both"/>
        <w:rPr/>
      </w:pPr>
      <w:r>
        <w:rPr/>
        <w:t>​</w:t>
      </w:r>
    </w:p>
    <w:tbl>
      <w:tblPr>
        <w:tblW w:w="8217" w:type="dxa"/>
        <w:jc w:val="left"/>
        <w:tblInd w:w="0" w:type="dxa"/>
        <w:tblLayout w:type="fixed"/>
        <w:tblCellMar>
          <w:top w:w="0" w:type="dxa"/>
          <w:left w:w="0" w:type="dxa"/>
          <w:bottom w:w="0" w:type="dxa"/>
          <w:right w:w="0" w:type="dxa"/>
        </w:tblCellMar>
      </w:tblPr>
      <w:tblGrid>
        <w:gridCol w:w="5266"/>
        <w:gridCol w:w="326"/>
        <w:gridCol w:w="1066"/>
        <w:gridCol w:w="373"/>
        <w:gridCol w:w="1186"/>
      </w:tblGrid>
      <w:tr>
        <w:trPr/>
        <w:tc>
          <w:tcPr>
            <w:tcW w:w="5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3343910" cy="175260"/>
                      <wp:effectExtent l="0" t="0" r="0" b="0"/>
                      <wp:wrapNone/>
                      <wp:docPr id="377" name="Frame374"/>
                      <a:graphic xmlns:a="http://schemas.openxmlformats.org/drawingml/2006/main">
                        <a:graphicData uri="http://schemas.microsoft.com/office/word/2010/wordprocessingShape">
                          <wps:wsp>
                            <wps:cNvSpPr txBox="1"/>
                            <wps:spPr>
                              <a:xfrm>
                                <a:off x="0" y="0"/>
                                <a:ext cx="3343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78" name="Frame3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76910" cy="175260"/>
                      <wp:effectExtent l="0" t="0" r="0" b="0"/>
                      <wp:wrapNone/>
                      <wp:docPr id="379" name="Frame376"/>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36855" cy="175260"/>
                      <wp:effectExtent l="0" t="0" r="0" b="0"/>
                      <wp:wrapNone/>
                      <wp:docPr id="380" name="Frame377"/>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753110" cy="175260"/>
                      <wp:effectExtent l="0" t="0" r="0" b="0"/>
                      <wp:wrapNone/>
                      <wp:docPr id="381" name="Frame378"/>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66" w:type="dxa"/>
            <w:tcBorders/>
            <w:vAlign w:val="center"/>
          </w:tcPr>
          <w:p>
            <w:pPr>
              <w:pStyle w:val="TableContents"/>
              <w:bidi w:val="0"/>
              <w:spacing w:before="0" w:after="1"/>
              <w:ind w:left="0" w:right="0" w:hanging="0"/>
              <w:jc w:val="left"/>
              <w:rPr>
                <w:color w:val="212529"/>
              </w:rPr>
            </w:pPr>
            <w:r>
              <w:rPr>
                <w:color w:val="212529"/>
              </w:rPr>
              <w:t>​</w:t>
            </w:r>
          </w:p>
        </w:tc>
        <w:tc>
          <w:tcPr>
            <w:tcW w:w="326" w:type="dxa"/>
            <w:tcBorders/>
            <w:vAlign w:val="center"/>
          </w:tcPr>
          <w:p>
            <w:pPr>
              <w:pStyle w:val="TableContents"/>
              <w:bidi w:val="0"/>
              <w:spacing w:before="0" w:after="1"/>
              <w:ind w:left="0" w:right="0" w:hanging="0"/>
              <w:jc w:val="center"/>
              <w:rPr/>
            </w:pPr>
            <w:r>
              <w:rPr/>
              <w:t>​</w:t>
            </w:r>
          </w:p>
        </w:tc>
        <w:tc>
          <w:tcPr>
            <w:tcW w:w="262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5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3" w:type="dxa"/>
            <w:tcBorders/>
            <w:vAlign w:val="center"/>
          </w:tcPr>
          <w:p>
            <w:pPr>
              <w:pStyle w:val="TableContents"/>
              <w:bidi w:val="0"/>
              <w:spacing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outflows from operating leases</w:t>
            </w:r>
          </w:p>
        </w:tc>
        <w:tc>
          <w:tcPr>
            <w:tcW w:w="32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2,220,978</w:t>
            </w:r>
          </w:p>
        </w:tc>
        <w:tc>
          <w:tcPr>
            <w:tcW w:w="373"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2,385,552</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outflows from finance leases (interest payments)</w:t>
            </w:r>
          </w:p>
        </w:tc>
        <w:tc>
          <w:tcPr>
            <w:tcW w:w="32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2,122</w:t>
            </w:r>
          </w:p>
        </w:tc>
        <w:tc>
          <w:tcPr>
            <w:tcW w:w="373"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2,208</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cash outflows from finance leases</w:t>
            </w:r>
          </w:p>
        </w:tc>
        <w:tc>
          <w:tcPr>
            <w:tcW w:w="32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37,511</w:t>
            </w:r>
          </w:p>
        </w:tc>
        <w:tc>
          <w:tcPr>
            <w:tcW w:w="373"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37,854</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lease liabilities</w:t>
            </w:r>
          </w:p>
        </w:tc>
        <w:tc>
          <w:tcPr>
            <w:tcW w:w="32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6,339,111</w:t>
            </w:r>
          </w:p>
        </w:tc>
        <w:tc>
          <w:tcPr>
            <w:tcW w:w="373"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3,698,231</w:t>
            </w:r>
          </w:p>
        </w:tc>
      </w:tr>
    </w:tbl>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0"/>
        <w:ind w:left="0" w:right="0" w:firstLine="360"/>
        <w:jc w:val="both"/>
        <w:rPr>
          <w:rFonts w:ascii="Times New Roman;Times;serif" w:hAnsi="Times New Roman;Times;serif"/>
          <w:sz w:val="20"/>
        </w:rPr>
      </w:pPr>
      <w:bookmarkStart w:id="1733" w:name="Tc_PvFNa1ZvxkGmcRIcD-btHw_16_0"/>
      <w:bookmarkStart w:id="1734" w:name="Tc_nz3U94eaeEC6x6Q7LPRG7Q_15_0"/>
      <w:bookmarkStart w:id="1735" w:name="Tc_C6D5BKE85UCP-tSaA7wjsg_14_0"/>
      <w:bookmarkStart w:id="1736" w:name="Tc_XbKIQF_OCkSg08Orxem0Lg_13_0"/>
      <w:bookmarkStart w:id="1737" w:name="Tc_ZeIryi2Rj0iUfAYSA4z_JQ_12_0"/>
      <w:bookmarkStart w:id="1738" w:name="Tc_vluX9mzDNE2J_8KDC7XSeg_11_0"/>
      <w:bookmarkStart w:id="1739" w:name="Tc_JvsGDmMrSUOwMP4Gkhg7IQ_10_4"/>
      <w:bookmarkStart w:id="1740" w:name="Tc_3SxOjOkMmEiq31o0rX7ucg_10_2"/>
      <w:bookmarkStart w:id="1741" w:name="Tc_7j_TAp8UD0yi6MPuqyvNhA_10_0"/>
      <w:bookmarkStart w:id="1742" w:name="Tc_s5Go0L_L3k6afTTQ1lan_w_9_0"/>
      <w:bookmarkStart w:id="1743" w:name="Tc_Majzh9zcbkmhqvP8ULhzGg_8_0"/>
      <w:bookmarkStart w:id="1744" w:name="Tc_d0UXGURO0ke6yvi9dS_AKw_7_0"/>
      <w:bookmarkStart w:id="1745" w:name="Tc_-2xaDcSLAUKq6MFjtlPu2Q_6_0"/>
      <w:bookmarkStart w:id="1746" w:name="Tc_TKnW101xSU6S_eK9sTHb4Q_5_8"/>
      <w:bookmarkStart w:id="1747" w:name="Tc_KXoOVNNnAkm0qe0ndyIjuw_5_6"/>
      <w:bookmarkStart w:id="1748" w:name="Tc_Qr_z95UtoUi8-e1ZWyQsZw_5_0"/>
      <w:bookmarkStart w:id="1749" w:name="Tc_oSeQ0nBLYk6HinoJkped4w_4_8"/>
      <w:bookmarkStart w:id="1750" w:name="Tc_Z5AsEXumGkqegg4uthiLbQ_4_6"/>
      <w:bookmarkStart w:id="1751" w:name="Tc_FolUCfEd-0SArf6oSoaZIA_4_4"/>
      <w:bookmarkStart w:id="1752" w:name="Tc_yVrh0sU0Jk-cjt4nrHea3g_4_2"/>
      <w:bookmarkStart w:id="1753" w:name="Tc_JdWEMnXUkk6zfpCKwSDnNA_3_8"/>
      <w:bookmarkStart w:id="1754" w:name="Tc_Jrnozf0CVEC9FT33Y8eUNg_3_6"/>
      <w:bookmarkStart w:id="1755" w:name="Tc_Wli7hUzf_k-97S51i1VL1g_3_4"/>
      <w:bookmarkStart w:id="1756" w:name="Tc_ZRERlGbjSkeN5N4-Lle62A_3_2"/>
      <w:bookmarkStart w:id="1757" w:name="Tc_bFGTmgDY60e6o1KixNhX9w_2_6"/>
      <w:bookmarkStart w:id="1758" w:name="Tc_GCuHx18lWEaoXwIniBuF-g_2_2"/>
      <w:bookmarkStart w:id="1759" w:name="Tc_d0kMkGFuG0WU59At3VQcOw_1_6"/>
      <w:bookmarkStart w:id="1760" w:name="Tc_Mlx_7va_PkmrTe1ZL5y5SA_1_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r>
        <w:rPr>
          <w:rFonts w:ascii="Times New Roman;Times;serif" w:hAnsi="Times New Roman;Times;serif"/>
          <w:sz w:val="20"/>
        </w:rPr>
        <w:t>As of December 31, 2023 and 2024, the maturities of our operating and finance lease liabilities (excluding short-term leases) are as follows:</w:t>
      </w:r>
    </w:p>
    <w:p>
      <w:pPr>
        <w:pStyle w:val="TextBody"/>
        <w:bidi w:val="0"/>
        <w:spacing w:before="0" w:after="240"/>
        <w:ind w:left="0" w:right="0" w:firstLine="360"/>
        <w:jc w:val="both"/>
        <w:rPr/>
      </w:pPr>
      <w:r>
        <w:rPr/>
        <w:t>​</w:t>
      </w:r>
    </w:p>
    <w:tbl>
      <w:tblPr>
        <w:tblW w:w="8299" w:type="dxa"/>
        <w:jc w:val="left"/>
        <w:tblInd w:w="0" w:type="dxa"/>
        <w:tblLayout w:type="fixed"/>
        <w:tblCellMar>
          <w:top w:w="0" w:type="dxa"/>
          <w:left w:w="0" w:type="dxa"/>
          <w:bottom w:w="0" w:type="dxa"/>
          <w:right w:w="0" w:type="dxa"/>
        </w:tblCellMar>
      </w:tblPr>
      <w:tblGrid>
        <w:gridCol w:w="3256"/>
        <w:gridCol w:w="326"/>
        <w:gridCol w:w="1051"/>
        <w:gridCol w:w="326"/>
        <w:gridCol w:w="796"/>
        <w:gridCol w:w="326"/>
        <w:gridCol w:w="1051"/>
        <w:gridCol w:w="326"/>
        <w:gridCol w:w="841"/>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67560" cy="175260"/>
                      <wp:effectExtent l="0" t="0" r="0" b="0"/>
                      <wp:wrapNone/>
                      <wp:docPr id="382" name="Frame379"/>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83" name="Frame3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67385" cy="175260"/>
                      <wp:effectExtent l="0" t="0" r="0" b="0"/>
                      <wp:wrapNone/>
                      <wp:docPr id="384" name="Frame38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85" name="Frame3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505460" cy="175260"/>
                      <wp:effectExtent l="0" t="0" r="0" b="0"/>
                      <wp:wrapNone/>
                      <wp:docPr id="386" name="Frame38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07010" cy="175260"/>
                      <wp:effectExtent l="0" t="0" r="0" b="0"/>
                      <wp:wrapNone/>
                      <wp:docPr id="387" name="Frame3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67385" cy="175260"/>
                      <wp:effectExtent l="0" t="0" r="0" b="0"/>
                      <wp:wrapNone/>
                      <wp:docPr id="388" name="Frame38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89"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534035" cy="175260"/>
                      <wp:effectExtent l="0" t="0" r="0" b="0"/>
                      <wp:wrapNone/>
                      <wp:docPr id="390" name="Frame38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26" w:type="dxa"/>
            <w:tcBorders/>
            <w:vAlign w:val="center"/>
          </w:tcPr>
          <w:p>
            <w:pPr>
              <w:pStyle w:val="TableContents"/>
              <w:bidi w:val="0"/>
              <w:spacing w:before="0" w:after="1"/>
              <w:ind w:left="0" w:right="0" w:hanging="0"/>
              <w:jc w:val="left"/>
              <w:rPr/>
            </w:pPr>
            <w:r>
              <w:rPr/>
              <w:t>​</w:t>
            </w:r>
          </w:p>
        </w:tc>
        <w:tc>
          <w:tcPr>
            <w:tcW w:w="221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w:t>
            </w:r>
          </w:p>
        </w:tc>
        <w:tc>
          <w:tcPr>
            <w:tcW w:w="221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256" w:type="dxa"/>
            <w:tcBorders/>
            <w:vAlign w:val="center"/>
          </w:tcPr>
          <w:p>
            <w:pPr>
              <w:pStyle w:val="TableContents"/>
              <w:bidi w:val="0"/>
              <w:spacing w:before="0" w:after="1"/>
              <w:ind w:left="0" w:right="0" w:hanging="0"/>
              <w:jc w:val="left"/>
              <w:rPr>
                <w:color w:val="212529"/>
              </w:rPr>
            </w:pPr>
            <w:r>
              <w:rPr>
                <w:color w:val="212529"/>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Finance</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Finance</w:t>
            </w:r>
          </w:p>
        </w:tc>
      </w:tr>
      <w:tr>
        <w:trPr/>
        <w:tc>
          <w:tcPr>
            <w:tcW w:w="3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1"/>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1"/>
              <w:ind w:left="0" w:right="0" w:hanging="0"/>
              <w:jc w:val="center"/>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1"/>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2,658,392</w:t>
            </w:r>
          </w:p>
        </w:tc>
        <w:tc>
          <w:tcPr>
            <w:tcW w:w="326"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28,395</w:t>
            </w:r>
          </w:p>
        </w:tc>
        <w:tc>
          <w:tcPr>
            <w:tcW w:w="326" w:type="dxa"/>
            <w:tcBorders/>
            <w:shd w:fill="CCEEFF" w:val="clear"/>
            <w:vAlign w:val="center"/>
          </w:tcPr>
          <w:p>
            <w:pPr>
              <w:pStyle w:val="TableContents"/>
              <w:bidi w:val="0"/>
              <w:spacing w:before="0" w:after="1"/>
              <w:ind w:left="0" w:right="0" w:hanging="0"/>
              <w:jc w:val="right"/>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1,949,316</w:t>
            </w:r>
          </w:p>
        </w:tc>
        <w:tc>
          <w:tcPr>
            <w:tcW w:w="326"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11,342</w:t>
            </w:r>
          </w:p>
        </w:tc>
        <w:tc>
          <w:tcPr>
            <w:tcW w:w="32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2,531,918</w:t>
            </w:r>
          </w:p>
        </w:tc>
        <w:tc>
          <w:tcPr>
            <w:tcW w:w="326" w:type="dxa"/>
            <w:tcBorders/>
            <w:vAlign w:val="center"/>
          </w:tcPr>
          <w:p>
            <w:pPr>
              <w:pStyle w:val="TableContents"/>
              <w:bidi w:val="0"/>
              <w:spacing w:before="0" w:after="1"/>
              <w:ind w:left="0" w:right="0" w:hanging="0"/>
              <w:jc w:val="righ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16,993</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1,724,905</w:t>
            </w:r>
          </w:p>
        </w:tc>
        <w:tc>
          <w:tcPr>
            <w:tcW w:w="326"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10,588</w:t>
            </w:r>
          </w:p>
        </w:tc>
        <w:tc>
          <w:tcPr>
            <w:tcW w:w="326" w:type="dxa"/>
            <w:tcBorders/>
            <w:shd w:fill="CCEEFF" w:val="clear"/>
            <w:vAlign w:val="center"/>
          </w:tcPr>
          <w:p>
            <w:pPr>
              <w:pStyle w:val="TableContents"/>
              <w:bidi w:val="0"/>
              <w:spacing w:before="0" w:after="1"/>
              <w:ind w:left="0" w:right="0" w:hanging="0"/>
              <w:jc w:val="righ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2,306,078</w:t>
            </w:r>
          </w:p>
        </w:tc>
        <w:tc>
          <w:tcPr>
            <w:tcW w:w="326" w:type="dxa"/>
            <w:tcBorders/>
            <w:shd w:fill="CCEEFF" w:val="clear"/>
            <w:vAlign w:val="center"/>
          </w:tcPr>
          <w:p>
            <w:pPr>
              <w:pStyle w:val="TableContents"/>
              <w:bidi w:val="0"/>
              <w:spacing w:before="0" w:after="1"/>
              <w:ind w:left="0" w:right="0" w:hanging="0"/>
              <w:jc w:val="righ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15,497</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1,449,608</w:t>
            </w:r>
          </w:p>
        </w:tc>
        <w:tc>
          <w:tcPr>
            <w:tcW w:w="326"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8,899</w:t>
            </w:r>
          </w:p>
        </w:tc>
        <w:tc>
          <w:tcPr>
            <w:tcW w:w="326" w:type="dxa"/>
            <w:tcBorders/>
            <w:vAlign w:val="center"/>
          </w:tcPr>
          <w:p>
            <w:pPr>
              <w:pStyle w:val="TableContents"/>
              <w:bidi w:val="0"/>
              <w:spacing w:before="0" w:after="1"/>
              <w:ind w:left="0" w:right="0" w:hanging="0"/>
              <w:jc w:val="righ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1,899,976</w:t>
            </w:r>
          </w:p>
        </w:tc>
        <w:tc>
          <w:tcPr>
            <w:tcW w:w="326" w:type="dxa"/>
            <w:tcBorders/>
            <w:vAlign w:val="center"/>
          </w:tcPr>
          <w:p>
            <w:pPr>
              <w:pStyle w:val="TableContents"/>
              <w:bidi w:val="0"/>
              <w:spacing w:before="0" w:after="1"/>
              <w:ind w:left="0" w:right="0" w:hanging="0"/>
              <w:jc w:val="righ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13,352</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1,173,595</w:t>
            </w:r>
          </w:p>
        </w:tc>
        <w:tc>
          <w:tcPr>
            <w:tcW w:w="326"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4,880</w:t>
            </w:r>
          </w:p>
        </w:tc>
        <w:tc>
          <w:tcPr>
            <w:tcW w:w="32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1,504,174</w:t>
            </w:r>
          </w:p>
        </w:tc>
        <w:tc>
          <w:tcPr>
            <w:tcW w:w="326" w:type="dxa"/>
            <w:tcBorders/>
            <w:shd w:fill="CCEEFF" w:val="clear"/>
            <w:vAlign w:val="center"/>
          </w:tcPr>
          <w:p>
            <w:pPr>
              <w:pStyle w:val="TableContents"/>
              <w:bidi w:val="0"/>
              <w:spacing w:before="0" w:after="1"/>
              <w:ind w:left="0" w:right="0" w:hanging="0"/>
              <w:jc w:val="righ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8,788</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1,228,528</w:t>
            </w:r>
          </w:p>
        </w:tc>
        <w:tc>
          <w:tcPr>
            <w:tcW w:w="326" w:type="dxa"/>
            <w:tcBorders/>
            <w:vAlign w:val="center"/>
          </w:tcPr>
          <w:p>
            <w:pPr>
              <w:pStyle w:val="TableContents"/>
              <w:bidi w:val="0"/>
              <w:spacing w:before="0" w:after="1"/>
              <w:ind w:left="0" w:right="0" w:hanging="0"/>
              <w:jc w:val="righ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4,237</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8,241,769</w:t>
            </w:r>
          </w:p>
        </w:tc>
        <w:tc>
          <w:tcPr>
            <w:tcW w:w="326" w:type="dxa"/>
            <w:tcBorders/>
            <w:shd w:fill="CCEEFF" w:val="clear"/>
            <w:vAlign w:val="center"/>
          </w:tcPr>
          <w:p>
            <w:pPr>
              <w:pStyle w:val="TableContents"/>
              <w:bidi w:val="0"/>
              <w:spacing w:before="0" w:after="1"/>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2,319</w:t>
            </w:r>
          </w:p>
        </w:tc>
        <w:tc>
          <w:tcPr>
            <w:tcW w:w="326" w:type="dxa"/>
            <w:tcBorders/>
            <w:shd w:fill="CCEEFF" w:val="clear"/>
            <w:vAlign w:val="center"/>
          </w:tcPr>
          <w:p>
            <w:pPr>
              <w:pStyle w:val="TableContents"/>
              <w:bidi w:val="0"/>
              <w:spacing w:before="0" w:after="1"/>
              <w:ind w:left="0" w:right="0" w:hanging="0"/>
              <w:jc w:val="righ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7,388,703</w:t>
            </w:r>
          </w:p>
        </w:tc>
        <w:tc>
          <w:tcPr>
            <w:tcW w:w="326" w:type="dxa"/>
            <w:tcBorders/>
            <w:shd w:fill="CCEEFF" w:val="clear"/>
            <w:vAlign w:val="center"/>
          </w:tcPr>
          <w:p>
            <w:pPr>
              <w:pStyle w:val="TableContents"/>
              <w:bidi w:val="0"/>
              <w:spacing w:before="0" w:after="1"/>
              <w:ind w:left="0" w:right="0" w:hanging="0"/>
              <w:jc w:val="righ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8,485</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minimum lease payments</w:t>
            </w:r>
          </w:p>
        </w:tc>
        <w:tc>
          <w:tcPr>
            <w:tcW w:w="32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17,197,585</w:t>
            </w:r>
          </w:p>
        </w:tc>
        <w:tc>
          <w:tcPr>
            <w:tcW w:w="326"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66,423</w:t>
            </w:r>
          </w:p>
        </w:tc>
        <w:tc>
          <w:tcPr>
            <w:tcW w:w="326" w:type="dxa"/>
            <w:tcBorders/>
            <w:vAlign w:val="center"/>
          </w:tcPr>
          <w:p>
            <w:pPr>
              <w:pStyle w:val="TableContents"/>
              <w:bidi w:val="0"/>
              <w:spacing w:before="0" w:after="1"/>
              <w:ind w:left="0" w:right="0" w:hanging="0"/>
              <w:jc w:val="righ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16,859,377</w:t>
            </w:r>
          </w:p>
        </w:tc>
        <w:tc>
          <w:tcPr>
            <w:tcW w:w="326" w:type="dxa"/>
            <w:tcBorders/>
            <w:vAlign w:val="center"/>
          </w:tcPr>
          <w:p>
            <w:pPr>
              <w:pStyle w:val="TableContents"/>
              <w:bidi w:val="0"/>
              <w:spacing w:before="0" w:after="1"/>
              <w:ind w:left="0" w:right="0" w:hanging="0"/>
              <w:jc w:val="righ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67,352</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(5,384,372)</w:t>
            </w:r>
          </w:p>
        </w:tc>
        <w:tc>
          <w:tcPr>
            <w:tcW w:w="326" w:type="dxa"/>
            <w:tcBorders/>
            <w:shd w:fill="CCEEFF" w:val="clear"/>
            <w:vAlign w:val="center"/>
          </w:tcPr>
          <w:p>
            <w:pPr>
              <w:pStyle w:val="TableContents"/>
              <w:bidi w:val="0"/>
              <w:spacing w:before="0" w:after="1"/>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(18,939)</w:t>
            </w:r>
          </w:p>
        </w:tc>
        <w:tc>
          <w:tcPr>
            <w:tcW w:w="326" w:type="dxa"/>
            <w:tcBorders/>
            <w:shd w:fill="CCEEFF" w:val="clear"/>
            <w:vAlign w:val="center"/>
          </w:tcPr>
          <w:p>
            <w:pPr>
              <w:pStyle w:val="TableContents"/>
              <w:bidi w:val="0"/>
              <w:spacing w:before="0" w:after="1"/>
              <w:ind w:left="0" w:right="0" w:hanging="0"/>
              <w:jc w:val="righ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(3,652,655)</w:t>
            </w:r>
          </w:p>
        </w:tc>
        <w:tc>
          <w:tcPr>
            <w:tcW w:w="326" w:type="dxa"/>
            <w:tcBorders/>
            <w:shd w:fill="CCEEFF" w:val="clear"/>
            <w:vAlign w:val="center"/>
          </w:tcPr>
          <w:p>
            <w:pPr>
              <w:pStyle w:val="TableContents"/>
              <w:bidi w:val="0"/>
              <w:spacing w:before="0" w:after="1"/>
              <w:ind w:left="0" w:right="0" w:hanging="0"/>
              <w:jc w:val="righ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(18,709)</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obligations</w:t>
            </w:r>
          </w:p>
        </w:tc>
        <w:tc>
          <w:tcPr>
            <w:tcW w:w="32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11,813,213</w:t>
            </w:r>
          </w:p>
        </w:tc>
        <w:tc>
          <w:tcPr>
            <w:tcW w:w="326"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47,484</w:t>
            </w:r>
          </w:p>
        </w:tc>
        <w:tc>
          <w:tcPr>
            <w:tcW w:w="326" w:type="dxa"/>
            <w:tcBorders/>
            <w:vAlign w:val="center"/>
          </w:tcPr>
          <w:p>
            <w:pPr>
              <w:pStyle w:val="TableContents"/>
              <w:bidi w:val="0"/>
              <w:spacing w:before="0" w:after="1"/>
              <w:ind w:left="0" w:right="0" w:hanging="0"/>
              <w:jc w:val="righ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13,206,722</w:t>
            </w:r>
          </w:p>
        </w:tc>
        <w:tc>
          <w:tcPr>
            <w:tcW w:w="326" w:type="dxa"/>
            <w:tcBorders/>
            <w:vAlign w:val="center"/>
          </w:tcPr>
          <w:p>
            <w:pPr>
              <w:pStyle w:val="TableContents"/>
              <w:bidi w:val="0"/>
              <w:spacing w:before="0" w:after="1"/>
              <w:ind w:left="0" w:right="0" w:hanging="0"/>
              <w:jc w:val="righ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48,643</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(1,743,156)</w:t>
            </w:r>
          </w:p>
        </w:tc>
        <w:tc>
          <w:tcPr>
            <w:tcW w:w="326" w:type="dxa"/>
            <w:tcBorders/>
            <w:shd w:fill="CCEEFF" w:val="clear"/>
            <w:vAlign w:val="center"/>
          </w:tcPr>
          <w:p>
            <w:pPr>
              <w:pStyle w:val="TableContents"/>
              <w:bidi w:val="0"/>
              <w:spacing w:before="0" w:after="1"/>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(25,311)</w:t>
            </w:r>
          </w:p>
        </w:tc>
        <w:tc>
          <w:tcPr>
            <w:tcW w:w="326" w:type="dxa"/>
            <w:tcBorders/>
            <w:shd w:fill="CCEEFF" w:val="clear"/>
            <w:vAlign w:val="center"/>
          </w:tcPr>
          <w:p>
            <w:pPr>
              <w:pStyle w:val="TableContents"/>
              <w:bidi w:val="0"/>
              <w:spacing w:before="0" w:after="1"/>
              <w:ind w:left="0" w:right="0" w:hanging="0"/>
              <w:jc w:val="righ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(1,945,987)</w:t>
            </w:r>
          </w:p>
        </w:tc>
        <w:tc>
          <w:tcPr>
            <w:tcW w:w="326" w:type="dxa"/>
            <w:tcBorders/>
            <w:shd w:fill="CCEEFF" w:val="clear"/>
            <w:vAlign w:val="center"/>
          </w:tcPr>
          <w:p>
            <w:pPr>
              <w:pStyle w:val="TableContents"/>
              <w:bidi w:val="0"/>
              <w:spacing w:before="0" w:after="1"/>
              <w:ind w:left="0" w:right="0" w:hanging="0"/>
              <w:jc w:val="righ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(13,498)</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portion of lease obligations</w:t>
            </w:r>
          </w:p>
        </w:tc>
        <w:tc>
          <w:tcPr>
            <w:tcW w:w="326" w:type="dxa"/>
            <w:tcBorders/>
            <w:vAlign w:val="center"/>
          </w:tcPr>
          <w:p>
            <w:pPr>
              <w:pStyle w:val="TableContents"/>
              <w:bidi w:val="0"/>
              <w:spacing w:before="0" w:after="1"/>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10,070,057</w:t>
            </w:r>
          </w:p>
        </w:tc>
        <w:tc>
          <w:tcPr>
            <w:tcW w:w="326" w:type="dxa"/>
            <w:tcBorders/>
            <w:vAlign w:val="center"/>
          </w:tcPr>
          <w:p>
            <w:pPr>
              <w:pStyle w:val="TableContents"/>
              <w:bidi w:val="0"/>
              <w:spacing w:before="0" w:after="1"/>
              <w:ind w:left="0" w:right="0" w:hanging="0"/>
              <w:jc w:val="right"/>
              <w:rPr/>
            </w:pPr>
            <w:r>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22,173</w:t>
            </w:r>
          </w:p>
        </w:tc>
        <w:tc>
          <w:tcPr>
            <w:tcW w:w="326" w:type="dxa"/>
            <w:tcBorders/>
            <w:vAlign w:val="center"/>
          </w:tcPr>
          <w:p>
            <w:pPr>
              <w:pStyle w:val="TableContents"/>
              <w:bidi w:val="0"/>
              <w:spacing w:before="0" w:after="1"/>
              <w:ind w:left="0" w:right="0" w:hanging="0"/>
              <w:jc w:val="right"/>
              <w:rPr/>
            </w:pPr>
            <w:r>
              <w:rPr/>
              <w:t> </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11,260,735</w:t>
            </w:r>
          </w:p>
        </w:tc>
        <w:tc>
          <w:tcPr>
            <w:tcW w:w="326" w:type="dxa"/>
            <w:tcBorders/>
            <w:vAlign w:val="center"/>
          </w:tcPr>
          <w:p>
            <w:pPr>
              <w:pStyle w:val="TableContents"/>
              <w:bidi w:val="0"/>
              <w:spacing w:before="0" w:after="1"/>
              <w:ind w:left="0" w:right="0" w:hanging="0"/>
              <w:jc w:val="right"/>
              <w:rPr/>
            </w:pPr>
            <w:r>
              <w:rPr/>
              <w:t>​</w:t>
            </w:r>
          </w:p>
        </w:tc>
        <w:tc>
          <w:tcPr>
            <w:tcW w:w="8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35,145</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2023 and 2024, the Group had future minimum lease payments for non-cancelable short-term operating leases of RMB537,432 and RMB497,773, respectively.</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761" w:name="Tc_LDGRIditMUOiTdACn8vJ9Q_7_0"/>
      <w:bookmarkStart w:id="1762" w:name="Tc_khQG0UKgNkWKP_3ArJV24A_6_0"/>
      <w:bookmarkStart w:id="1763" w:name="Tc_NLNjnAx16kSnabobBdaPfg_5_0"/>
      <w:bookmarkStart w:id="1764" w:name="Tc_s8OdDkhGFUa3FjwmddJONg_4_0"/>
      <w:bookmarkStart w:id="1765" w:name="Tc_j8Hmzimuw064J-BtVSqR3Q_3_0"/>
      <w:bookmarkStart w:id="1766" w:name="Tc_FTx-j7V2h02m7IaWQb0VOQ_2_6"/>
      <w:bookmarkStart w:id="1767" w:name="Tc_G0ng3AM-5EeDGbUY4-yCNg_2_4"/>
      <w:bookmarkStart w:id="1768" w:name="Tc_glYSYavo-0-14_uIM9FVew_2_2"/>
      <w:bookmarkStart w:id="1769" w:name="Tc_D9cqiCK0Cka293RvpK8zaQ_1_2"/>
      <w:bookmarkEnd w:id="1761"/>
      <w:bookmarkEnd w:id="1762"/>
      <w:bookmarkEnd w:id="1763"/>
      <w:bookmarkEnd w:id="1764"/>
      <w:bookmarkEnd w:id="1765"/>
      <w:bookmarkEnd w:id="1766"/>
      <w:bookmarkEnd w:id="1767"/>
      <w:bookmarkEnd w:id="1768"/>
      <w:bookmarkEnd w:id="1769"/>
      <w:r>
        <w:rPr>
          <w:rFonts w:ascii="Times New Roman;Times;serif" w:hAnsi="Times New Roman;Times;serif"/>
          <w:b/>
          <w:sz w:val="20"/>
        </w:rPr>
        <w:t>15.  Revenue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Revenue by source consists of the following:</w:t>
      </w:r>
    </w:p>
    <w:p>
      <w:pPr>
        <w:pStyle w:val="TextBody"/>
        <w:bidi w:val="0"/>
        <w:spacing w:before="0" w:after="240"/>
        <w:ind w:left="0" w:right="0" w:firstLine="360"/>
        <w:jc w:val="both"/>
        <w:rPr/>
      </w:pPr>
      <w:r>
        <w:rPr/>
        <w:t>​</w:t>
      </w:r>
    </w:p>
    <w:tbl>
      <w:tblPr>
        <w:tblW w:w="8227" w:type="dxa"/>
        <w:jc w:val="left"/>
        <w:tblInd w:w="0" w:type="dxa"/>
        <w:tblLayout w:type="fixed"/>
        <w:tblCellMar>
          <w:top w:w="0" w:type="dxa"/>
          <w:left w:w="0" w:type="dxa"/>
          <w:bottom w:w="0" w:type="dxa"/>
          <w:right w:w="0" w:type="dxa"/>
        </w:tblCellMar>
      </w:tblPr>
      <w:tblGrid>
        <w:gridCol w:w="4036"/>
        <w:gridCol w:w="326"/>
        <w:gridCol w:w="1036"/>
        <w:gridCol w:w="326"/>
        <w:gridCol w:w="1036"/>
        <w:gridCol w:w="326"/>
        <w:gridCol w:w="1141"/>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562860" cy="175260"/>
                      <wp:effectExtent l="0" t="0" r="0" b="0"/>
                      <wp:wrapNone/>
                      <wp:docPr id="391" name="Frame388"/>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7010" cy="175260"/>
                      <wp:effectExtent l="0" t="0" r="0" b="0"/>
                      <wp:wrapNone/>
                      <wp:docPr id="392" name="Frame3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57860" cy="175260"/>
                      <wp:effectExtent l="0" t="0" r="0" b="0"/>
                      <wp:wrapNone/>
                      <wp:docPr id="393" name="Frame39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394" name="Frame3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57860" cy="175260"/>
                      <wp:effectExtent l="0" t="0" r="0" b="0"/>
                      <wp:wrapNone/>
                      <wp:docPr id="395" name="Frame39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07010" cy="175260"/>
                      <wp:effectExtent l="0" t="0" r="0" b="0"/>
                      <wp:wrapNone/>
                      <wp:docPr id="396" name="Frame3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724535" cy="175260"/>
                      <wp:effectExtent l="0" t="0" r="0" b="0"/>
                      <wp:wrapNone/>
                      <wp:docPr id="397" name="Frame39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8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4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 sales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45,506,581</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49,257,270</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58,234,086</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Parts, accessories and after-sales vehicle services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1,228,385</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2,337,490</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3,324,321</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of power solution</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1,016,094</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1,666,346</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2,100,553</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1,517,501</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2,356,827</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2,072,599</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49,268,561</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55,617,933</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65,731,559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years ended December 31, 2022, 2023 and 2024, revenue recognised at a point in time was RMB47,465,713, RMB52,943,443 and RMB62,271,688, respectively, and revenue recognised over time was RMB1,802,848, RMB2,674,490 and RMB3,459,871, respectively.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70" w:name="Tc_jcSuUVyOzUyI4tRU3Fm0WA_7_0"/>
      <w:bookmarkStart w:id="1771" w:name="Tc_DP17ysWXzUyIn6hqM2p5bQ_6_0"/>
      <w:bookmarkStart w:id="1772" w:name="Tc_v4GdNDa4x0OGrOjsX_DEgg_5_0"/>
      <w:bookmarkStart w:id="1773" w:name="Tc_NPr5sH_FI0i5x3EIJfRMxw_4_0"/>
      <w:bookmarkStart w:id="1774" w:name="Tc_OMy-gvnf906WLXIouWM9vQ_3_0"/>
      <w:bookmarkStart w:id="1775" w:name="Tc_Qo3XJqrnAEKQt1PN8askxA_2_6"/>
      <w:bookmarkStart w:id="1776" w:name="Tc_NBGImHvEe0i6WGRQed7pxg_2_4"/>
      <w:bookmarkStart w:id="1777" w:name="Tc_4Nvc-Jyw-EG7n2ADxdOGng_2_2"/>
      <w:bookmarkStart w:id="1778" w:name="Tc_xkWym-oWlU6BZq-Hu8ZQqw_1_2"/>
      <w:bookmarkEnd w:id="1770"/>
      <w:bookmarkEnd w:id="1771"/>
      <w:bookmarkEnd w:id="1772"/>
      <w:bookmarkEnd w:id="1773"/>
      <w:bookmarkEnd w:id="1774"/>
      <w:bookmarkEnd w:id="1775"/>
      <w:bookmarkEnd w:id="1776"/>
      <w:bookmarkEnd w:id="1777"/>
      <w:bookmarkEnd w:id="1778"/>
      <w:r>
        <w:rPr>
          <w:rFonts w:ascii="Times New Roman;Times;serif" w:hAnsi="Times New Roman;Times;serif"/>
          <w:b/>
          <w:sz w:val="20"/>
        </w:rPr>
        <w:t>16.  Deferred Revenue/Income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shows a reconciliation in the current reporting period related to carried-forward deferred revenue/income.</w:t>
      </w:r>
    </w:p>
    <w:p>
      <w:pPr>
        <w:pStyle w:val="TextBody"/>
        <w:bidi w:val="0"/>
        <w:spacing w:before="0" w:after="240"/>
        <w:ind w:left="0" w:right="0" w:firstLine="360"/>
        <w:jc w:val="both"/>
        <w:rPr/>
      </w:pPr>
      <w:r>
        <w:rPr/>
        <w:t>​</w:t>
      </w:r>
    </w:p>
    <w:tbl>
      <w:tblPr>
        <w:tblW w:w="7882" w:type="dxa"/>
        <w:jc w:val="left"/>
        <w:tblInd w:w="0" w:type="dxa"/>
        <w:tblLayout w:type="fixed"/>
        <w:tblCellMar>
          <w:top w:w="0" w:type="dxa"/>
          <w:left w:w="0" w:type="dxa"/>
          <w:bottom w:w="0" w:type="dxa"/>
          <w:right w:w="0" w:type="dxa"/>
        </w:tblCellMar>
      </w:tblPr>
      <w:tblGrid>
        <w:gridCol w:w="3706"/>
        <w:gridCol w:w="326"/>
        <w:gridCol w:w="1051"/>
        <w:gridCol w:w="326"/>
        <w:gridCol w:w="1051"/>
        <w:gridCol w:w="326"/>
        <w:gridCol w:w="1096"/>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353310" cy="175260"/>
                      <wp:effectExtent l="0" t="0" r="0" b="0"/>
                      <wp:wrapNone/>
                      <wp:docPr id="398" name="Frame395"/>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7010" cy="175260"/>
                      <wp:effectExtent l="0" t="0" r="0" b="0"/>
                      <wp:wrapNone/>
                      <wp:docPr id="399" name="Frame3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67385" cy="175260"/>
                      <wp:effectExtent l="0" t="0" r="0" b="0"/>
                      <wp:wrapNone/>
                      <wp:docPr id="400" name="Frame39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401" name="Frame3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67385" cy="175260"/>
                      <wp:effectExtent l="0" t="0" r="0" b="0"/>
                      <wp:wrapNone/>
                      <wp:docPr id="402" name="Frame39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07010" cy="175260"/>
                      <wp:effectExtent l="0" t="0" r="0" b="0"/>
                      <wp:wrapNone/>
                      <wp:docPr id="403" name="Frame4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95960" cy="175260"/>
                      <wp:effectExtent l="0" t="0" r="0" b="0"/>
                      <wp:wrapNone/>
                      <wp:docPr id="404" name="Frame40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8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revenue/income–beginning of year</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2,197,766</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3,561,890</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4,996,043</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2,483,462</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3,138,343</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3,263,495</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(1,124,186)</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(1,705,134)</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(2,055,119)</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Effects on foreign exchange adjustment</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4,848</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w:t>
            </w:r>
          </w:p>
        </w:tc>
        <w:tc>
          <w:tcPr>
            <w:tcW w:w="32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revenue/income–end of year</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3,561,890</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4,996,043</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6,202,276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Deferred revenue mainly includes the transaction price allocated to the performance obligations that are unsatisfied, or partially satisfied, which mainly arises from the vehicle connectivity services, the extended warranty services, battery swapping services as well as the points offered to customers, with unrecognized deferred revenue balance of RMB4,996,043 and RMB6,202,276 as of December 31, 2023 and 2024, respectively.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Group expects that approximately 51% of the transaction price allocated to unsatisfied performance obligation as at December 31, 2024 will be recognized as revenue during the period from January 1, 2025 to </w:t>
      </w:r>
      <w:r>
        <w:rPr>
          <w:rFonts w:ascii="Times New Roman;Times;serif" w:hAnsi="Times New Roman;Times;serif"/>
          <w:b w:val="false"/>
          <w:i w:val="false"/>
          <w:caps w:val="false"/>
          <w:smallCaps w:val="false"/>
          <w:sz w:val="20"/>
        </w:rPr>
        <w:t>December 31, 2025</w:t>
      </w:r>
      <w:r>
        <w:rPr>
          <w:rFonts w:ascii="Times New Roman;Times;serif" w:hAnsi="Times New Roman;Times;serif"/>
          <w:sz w:val="20"/>
        </w:rPr>
        <w:t xml:space="preserve">. The remaining 49% will be recognized during the period from </w:t>
      </w:r>
      <w:r>
        <w:rPr>
          <w:rFonts w:ascii="Times New Roman;Times;serif" w:hAnsi="Times New Roman;Times;serif"/>
          <w:b w:val="false"/>
          <w:i w:val="false"/>
          <w:caps w:val="false"/>
          <w:smallCaps w:val="false"/>
          <w:sz w:val="20"/>
        </w:rPr>
        <w:t>January 1, 2026</w:t>
      </w:r>
      <w:r>
        <w:rPr>
          <w:rFonts w:ascii="Times New Roman;Times;serif" w:hAnsi="Times New Roman;Times;serif"/>
          <w:sz w:val="20"/>
        </w:rPr>
        <w:t xml:space="preserve"> to December 31, 2039.</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17.  Manufacturing in collaboration with JAC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Since 2016, the Group have been partnering with Jianghuai Automobile Group Ltd., or JAC, a major state-owned automobile manufacturer in China, for the joint manufacturing of the Group’s vehicles. JAC built the JAC-NIO manufacturing plant in Hefei, Anhui province, the first advanced manufacturing base, or the F1 Plant, for the production of the ES8, the ES6, the EC6, the ET7 and potentially the Group’s other vehicle models. Further, in September 2022, the Group entered into a manufacturing cooperation agreement with JAC, under which JAC will jointly manufacture the ET5 and potentially the Group’s other vehicle models in the second advanced manufacturing base, or the F2 Plant, in NeoPark, a smart electric vehicle industry park at Xinqiao, Hefei. The fees payable to JAC under the above agreements consist of the following: (i) asset depreciation and amortization with regard to the assets JAC invested and to invest for the manufacture of NIO models as actually incurred, payable monthly and subject to adjustment annually; (ii) vehicle production and processing fees recorded on per-vehicle basis, payable monthly and subject to adjustment annually; (iii) purchase amount of certain production materials; and (iv) relevant tax. In addition, the Group also agreed to pay certain compensation up to a capped amount for JAC’s investment in F1 Plant, including for the land, factory and equipment.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conjunction with the aforementioned manufacturing cooperation agreement, in December 2022, the Group and JAC entered into an Asset Transfer Agreement where the Group agreed to sell and JAC agreed to acquire certain production facilities (the “Transferred Assets”) with a total consideration of RMB1.7 billion inclusive of tax. As of December 31, 2022, JAC had accepted the Transferred Assets and assumed the legal title of the Transferred Assets. Considering that (1) the Transferred Assets are designated to be used for the manufacturing of the Group’s vehicle models only and do not have substantive alternative use; (2) all costs incurred in relation to the Transferred Assets, including depreciation and maintenance costs and relevant tax and surcharges, are undertaken by and charged to the Group; (3) the Group also has the right to obtain the economic benefits from all outputs of the Transferred Assets, management concluded that the Group still retained the control of the Transferred Assets and this transaction was a failed sale and leaseback transaction with no sales of the Transferred Assets recognized by the Group. The Transferred Assets continue to be accounted for as the Group’s property, plant and equipment subject to depreciation. The sales consideration from JAC will be recorded as a financing payable when the Group receives the cash. As of December 31, 2023, JAC had fully paid the consideration. In December 2023, pursuant to an asset transfer agreement with JAC, the Group agreed to purchase the Transferred Assets back at the consideration of RMB1.7 billion, inclusive of tax, and the consideration was paid in full by end of December 2023. In December 2023, the Group also agreed to purchase the production facilities in F1 Plant from JAC at the consideration of RMB1.9 billion, inclusive of tax. As of December 31, 2023, both purchases of the Transferred Assets and F1 Plant have been consummated.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Following above transaction, the Group ceased aforementioned manufacturing cooperation with JAC since early 2024 and the Group commenced independent manufacturing of all current vehicles models in the F1 Plant and the F2 Plant.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years ended December 31, 2022, 2023 and 2024, the aggregate fees to JAC under the above collaboration arrangement were RMB1,126,523, RMB1,318,524 and RMB179,375, respectively, and were included in cost of sales.</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left"/>
        <w:rPr>
          <w:rFonts w:ascii="Times New Roman;Times;serif" w:hAnsi="Times New Roman;Times;serif"/>
          <w:b/>
          <w:sz w:val="20"/>
        </w:rPr>
      </w:pPr>
      <w:bookmarkStart w:id="1779" w:name="Tc_zhCGHdOz-0mfAC-ecCP2EA_9_0"/>
      <w:bookmarkStart w:id="1780" w:name="Tc_43tzl11OKU2_aZLCRHgIfw_8_0"/>
      <w:bookmarkStart w:id="1781" w:name="Tc_Uaq8kEqC2EWIksOZG6nH9w_7_0"/>
      <w:bookmarkStart w:id="1782" w:name="Tc_hVF_2TSjqk-iD9KrhSX4JQ_6_0"/>
      <w:bookmarkStart w:id="1783" w:name="Tc_-WhV1a-cuUa7luUIxA9C5g_5_0"/>
      <w:bookmarkStart w:id="1784" w:name="Tc_31OXbVGCyUe6grHCg1v8Fw_4_0"/>
      <w:bookmarkStart w:id="1785" w:name="Tc_kc0J3BRDdEq4m5jvyCZ0gg_3_0"/>
      <w:bookmarkStart w:id="1786" w:name="Tc_SaMhoc0rbkG0sRVrcEP16Q_2_6"/>
      <w:bookmarkStart w:id="1787" w:name="Tc_brJiS0Aym0SmN8AfE36tPg_2_4"/>
      <w:bookmarkStart w:id="1788" w:name="Tc_dqJI4a4QNEe_h1CVRe5BDQ_2_2"/>
      <w:bookmarkStart w:id="1789" w:name="Tc_A912V9-GaUy40amIEUfR2Q_1_2"/>
      <w:bookmarkEnd w:id="1779"/>
      <w:bookmarkEnd w:id="1780"/>
      <w:bookmarkEnd w:id="1781"/>
      <w:bookmarkEnd w:id="1782"/>
      <w:bookmarkEnd w:id="1783"/>
      <w:bookmarkEnd w:id="1784"/>
      <w:bookmarkEnd w:id="1785"/>
      <w:bookmarkEnd w:id="1786"/>
      <w:bookmarkEnd w:id="1787"/>
      <w:bookmarkEnd w:id="1788"/>
      <w:bookmarkEnd w:id="1789"/>
      <w:r>
        <w:rPr>
          <w:rFonts w:ascii="Times New Roman;Times;serif" w:hAnsi="Times New Roman;Times;serif"/>
          <w:b/>
          <w:sz w:val="20"/>
        </w:rPr>
        <w:t>18.  Research and Development Expenses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Research and development expenses consist of the following:</w:t>
      </w:r>
    </w:p>
    <w:p>
      <w:pPr>
        <w:pStyle w:val="TextBody"/>
        <w:bidi w:val="0"/>
        <w:spacing w:before="0" w:after="0"/>
        <w:ind w:left="0" w:right="0" w:hanging="0"/>
        <w:jc w:val="left"/>
        <w:rPr/>
      </w:pPr>
      <w:r>
        <w:rPr/>
        <w:t>​</w:t>
      </w:r>
    </w:p>
    <w:tbl>
      <w:tblPr>
        <w:tblW w:w="7567" w:type="dxa"/>
        <w:jc w:val="left"/>
        <w:tblInd w:w="0" w:type="dxa"/>
        <w:tblLayout w:type="fixed"/>
        <w:tblCellMar>
          <w:top w:w="0" w:type="dxa"/>
          <w:left w:w="0" w:type="dxa"/>
          <w:bottom w:w="0" w:type="dxa"/>
          <w:right w:w="0" w:type="dxa"/>
        </w:tblCellMar>
      </w:tblPr>
      <w:tblGrid>
        <w:gridCol w:w="3376"/>
        <w:gridCol w:w="326"/>
        <w:gridCol w:w="1036"/>
        <w:gridCol w:w="326"/>
        <w:gridCol w:w="1036"/>
        <w:gridCol w:w="326"/>
        <w:gridCol w:w="1141"/>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143760" cy="175260"/>
                      <wp:effectExtent l="0" t="0" r="0" b="0"/>
                      <wp:wrapNone/>
                      <wp:docPr id="405" name="Frame402"/>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7010" cy="175260"/>
                      <wp:effectExtent l="0" t="0" r="0" b="0"/>
                      <wp:wrapNone/>
                      <wp:docPr id="406" name="Frame4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57860" cy="175260"/>
                      <wp:effectExtent l="0" t="0" r="0" b="0"/>
                      <wp:wrapNone/>
                      <wp:docPr id="407" name="Frame40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08" name="Frame4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57860" cy="175260"/>
                      <wp:effectExtent l="0" t="0" r="0" b="0"/>
                      <wp:wrapNone/>
                      <wp:docPr id="409" name="Frame40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07010" cy="175260"/>
                      <wp:effectExtent l="0" t="0" r="0" b="0"/>
                      <wp:wrapNone/>
                      <wp:docPr id="410" name="Frame4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724535" cy="175260"/>
                      <wp:effectExtent l="0" t="0" r="0" b="0"/>
                      <wp:wrapNone/>
                      <wp:docPr id="411" name="Frame40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8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3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6,684,971</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8,998,415</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8,829,163</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 and development expenses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3,276,915</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3,019,403</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2,561,769</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333,097</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720,737</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991,074</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Rental and related expenses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193,132</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273,493</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250,597</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Travel and entertainment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111,531</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135,891</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82,955</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236,615</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283,460</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321,746</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10,836,261</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13,431,399</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13,037,304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left"/>
        <w:rPr>
          <w:rFonts w:ascii="Times New Roman;Times;serif" w:hAnsi="Times New Roman;Times;serif"/>
          <w:b/>
          <w:sz w:val="20"/>
        </w:rPr>
      </w:pPr>
      <w:bookmarkStart w:id="1790" w:name="Tc_yV9QiYgPgkGUGU_x8c8oVQ_13_0"/>
      <w:bookmarkStart w:id="1791" w:name="Tc_dNSnB7T0Rk6Xq8TO7ubXEQ_12_0"/>
      <w:bookmarkStart w:id="1792" w:name="Tc_36UJr_Ls30i0Z3YMwO7vbA_11_0"/>
      <w:bookmarkStart w:id="1793" w:name="Tc_g6BIbjcTR068HtRfcSj_lQ_10_0"/>
      <w:bookmarkStart w:id="1794" w:name="Tc_GFYoUmZHS0OT6BA4fq_FIg_9_0"/>
      <w:bookmarkStart w:id="1795" w:name="Tc_qhx7MJ0l6kiAdh2DqFSsUg_8_0"/>
      <w:bookmarkStart w:id="1796" w:name="Tc_QiVzaCDWgUqcNY7m_0w0ig_7_0"/>
      <w:bookmarkStart w:id="1797" w:name="Tc_mG4zJNVK4EyzpnXJtGaJfA_6_0"/>
      <w:bookmarkStart w:id="1798" w:name="Tc_t032lxBA9EaRzXQ0ts0v9A_5_0"/>
      <w:bookmarkStart w:id="1799" w:name="Tc_EPVVSzxj-k2gI3H6g1smnQ_4_0"/>
      <w:bookmarkStart w:id="1800" w:name="Tc_rG1T8JchsEeND2YHHLwgDw_3_0"/>
      <w:bookmarkStart w:id="1801" w:name="Tc_V9QnEbhn4keCjlEsiII_mw_2_6"/>
      <w:bookmarkStart w:id="1802" w:name="Tc_nXdxM-v4lUOTIdEnHUj05w_2_4"/>
      <w:bookmarkStart w:id="1803" w:name="Tc_CHbRbn1gCkC5eo7_0eyypw_2_2"/>
      <w:bookmarkStart w:id="1804" w:name="Tc_SLYa9CYomUyAgPERm906Rw_1_2"/>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r>
        <w:rPr>
          <w:rFonts w:ascii="Times New Roman;Times;serif" w:hAnsi="Times New Roman;Times;serif"/>
          <w:b/>
          <w:sz w:val="20"/>
        </w:rPr>
        <w:t>19.  Selling, General and Administrative Expenses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Selling, general and administrative expenses consist of the following:</w:t>
      </w:r>
    </w:p>
    <w:p>
      <w:pPr>
        <w:pStyle w:val="TextBody"/>
        <w:bidi w:val="0"/>
        <w:spacing w:before="0" w:after="240"/>
        <w:ind w:left="0" w:right="0" w:firstLine="360"/>
        <w:jc w:val="both"/>
        <w:rPr/>
      </w:pPr>
      <w:r>
        <w:rPr/>
        <w:t>​</w:t>
      </w:r>
    </w:p>
    <w:tbl>
      <w:tblPr>
        <w:tblW w:w="9337" w:type="dxa"/>
        <w:jc w:val="left"/>
        <w:tblInd w:w="0" w:type="dxa"/>
        <w:tblLayout w:type="fixed"/>
        <w:tblCellMar>
          <w:top w:w="0" w:type="dxa"/>
          <w:left w:w="0" w:type="dxa"/>
          <w:bottom w:w="0" w:type="dxa"/>
          <w:right w:w="0" w:type="dxa"/>
        </w:tblCellMar>
      </w:tblPr>
      <w:tblGrid>
        <w:gridCol w:w="5146"/>
        <w:gridCol w:w="326"/>
        <w:gridCol w:w="1036"/>
        <w:gridCol w:w="326"/>
        <w:gridCol w:w="1036"/>
        <w:gridCol w:w="326"/>
        <w:gridCol w:w="1141"/>
      </w:tblGrid>
      <w:tr>
        <w:trPr/>
        <w:tc>
          <w:tcPr>
            <w:tcW w:w="5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3267710" cy="175260"/>
                      <wp:effectExtent l="0" t="0" r="0" b="0"/>
                      <wp:wrapNone/>
                      <wp:docPr id="412" name="Frame409"/>
                      <a:graphic xmlns:a="http://schemas.openxmlformats.org/drawingml/2006/main">
                        <a:graphicData uri="http://schemas.microsoft.com/office/word/2010/wordprocessingShape">
                          <wps:wsp>
                            <wps:cNvSpPr txBox="1"/>
                            <wps:spPr>
                              <a:xfrm>
                                <a:off x="0" y="0"/>
                                <a:ext cx="3267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13" name="Frame4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57860" cy="175260"/>
                      <wp:effectExtent l="0" t="0" r="0" b="0"/>
                      <wp:wrapNone/>
                      <wp:docPr id="414" name="Frame41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7010" cy="175260"/>
                      <wp:effectExtent l="0" t="0" r="0" b="0"/>
                      <wp:wrapNone/>
                      <wp:docPr id="415" name="Frame4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57860" cy="175260"/>
                      <wp:effectExtent l="0" t="0" r="0" b="0"/>
                      <wp:wrapNone/>
                      <wp:docPr id="416" name="Frame41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17" name="Frame4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724535" cy="175260"/>
                      <wp:effectExtent l="0" t="0" r="0" b="0"/>
                      <wp:wrapNone/>
                      <wp:docPr id="418" name="Frame41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5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4,532,553</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5,929,888</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7,405,828</w:t>
            </w:r>
          </w:p>
        </w:tc>
      </w:tr>
      <w:tr>
        <w:trPr/>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and promotional expenses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1,775,539</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2,642,531</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3,408,931</w:t>
            </w:r>
          </w:p>
        </w:tc>
      </w:tr>
      <w:tr>
        <w:trPr/>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Rental and related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1,336,575</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1,683,929</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1,930,423</w:t>
            </w:r>
          </w:p>
        </w:tc>
      </w:tr>
      <w:tr>
        <w:trPr/>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944,160</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550,011</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561,284</w:t>
            </w:r>
          </w:p>
        </w:tc>
      </w:tr>
      <w:tr>
        <w:trPr/>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 consumable, office supply and other low value consumable</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545,498</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581,193</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541,782</w:t>
            </w:r>
          </w:p>
        </w:tc>
      </w:tr>
      <w:tr>
        <w:trPr/>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expenses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484,363</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672,669</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882,860</w:t>
            </w:r>
          </w:p>
        </w:tc>
      </w:tr>
      <w:tr>
        <w:trPr/>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Taxes and Surcharges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285,076</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290,456</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409,690</w:t>
            </w:r>
          </w:p>
        </w:tc>
      </w:tr>
      <w:tr>
        <w:trPr/>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Travel and entertainment expenses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162,924</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218,396</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147,180</w:t>
            </w:r>
          </w:p>
        </w:tc>
      </w:tr>
      <w:tr>
        <w:trPr/>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credit losses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48,707</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(26,315)</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(3,761)</w:t>
            </w:r>
          </w:p>
        </w:tc>
      </w:tr>
      <w:tr>
        <w:trPr/>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421,724</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341,798</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456,840</w:t>
            </w:r>
          </w:p>
        </w:tc>
      </w:tr>
      <w:tr>
        <w:trPr/>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10,537,119</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12,884,556</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15,741,057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  Redeemable non-controlling interests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Investment in NIO China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29, 2020, the Company and certain of its subsidiaries entered into definitive agreements, as amended and supplemented in May and June 2020, for investments in NIO China, with a group of investors (collectively, the “Existing Strategic Investors”), pursuant to which, the Existing Strategic Investors agreed to invest an aggregate of RMB7.0 billion in cash into NIO China for its non-controlling interest. In June and July 2020, the Group received RMB5.0 billion. On September 16, 2020, pursuant to a share transfer agreement, the Group repurchased 8.612% equity interests owned by one of the Existing Strategic Investors with the total consideration of RMB511,458, consisting of the actual capital investment plus accrued interest, and the Group assumed the remaining cash consideration obligation of RMB2.0 billion of the Existing Strategic Investors. In February 2021, the Group, purchased from two of the Existing Strategic Investors an aggregate of 3.305% equity interests in NIO China for a total consideration of RMB5.5 billion and subscribed for newly increased registered capital of NIO China at a subscription price of RMB10.0 billion. In September 2021, the Company repurchased 1.418% equity interests from the Existing strategic investors for a total consideration of RMB2.5 billion and recorded an amount of RMB2,023,534 in accretion on redeemable non-controlling interests to redemption value. As of December 31, 2023, the Company held 92.114% controlling equity interests in NIO China.</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Each of the Existing Strategic Investors has the right to request the Group to redeem their equity interests in NIO China at an agreed price in case of NIO China’s failure to submit the application for a qualified initial public offering in 48 months commencing from June 29, 2020, failure to complete a qualified initial public offering in 60 months commencing from June 29, 2020, or other events as set forth in the share purchase agreement. The agreed price is calculated based on each non-controlling shareholder’s cash investment to NIO China plus an annual interest rate of 8.5%. On March 30, 2024, the Company and certain of its subsidiaries entered into a shareholders agreement with the Existing Strategic Investors, which amended certain shareholders’ rights in NIO China, including the redemption rights. In particular, if NIO China fails to complete the listing application or to issue the material assets restructuring plan related to the qualified initial public offering before December 31, 2027, or fails to complete the qualified initial public offering before December 31, 2028, the Existing Strategic Investors may request the Company to redeem the equity interest in NIO China then held by them.</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As the redemption is at the holders’ option and is upon the occurrence of the events that are not solely within the control of the Company, these Existing Strategic Investors’ contributions in NIO China were classified as mezzanine equity and is subsequently accreted to the redemption price using the effective interest method with accretion recorded as a reduction of additional paid in capital.</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September 29, 2024, pursuant to definitive investment agreements, a group of new investors (the “New Strategic Investors”) agreed to invest an aggregate of RMB3.3 billion in cash to subscribe for newly issued shares of NIO China. Concurrently, the Group agreed to invest an aggregate of RMB10 billion in cash to subscribe for newly issued shares of NIO China. Upon completion of this transaction, the Group will hold 88.25% of controlling equity interest in NIO China, while the New Strategic Investors together with the Existing Strategic Investors will collectively hold the remaining 11.75% of equity interest in NIO China. As of December 31, 2024, the Group has completed its investment of RMB10 billion and the Company has received RMB2.8 billion from certain New Strategic Investors.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Each of the New Strategic Investors has the right to request the Group to redeem their equity interests in NIO China at an agreed price in case of NIO China’s failure to complete the listing application or to issue the material assets restructuring plan related to the qualified initial public offering before December 31, 2027, failure to complete a qualified initial public offering before December 31, 2028, or other events as set forth in the share purchase agreement. The agreed price is calculated based on each non-controlling shareholder’s cash investment to NIO China plus an annual interest rate of 7.5%, or the market value in the latest financing activities, if 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years ended December 31, 2022, 2023 and 2024, the Company recorded RMB279,355, RMB303,163 and RMB329,939 of accretion on redeemable non-controlling interests to redemption value. As of December 31, 2023 and 2024, the balance of redeemable non-controlling interests was RMB3,860,384 and RMB6,985,787,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Investment in PE CNHC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31, 2024, the Company and certain of its subsidiaries entered into definitive agreements for the investment in PE CNHC with an investor (the “PE Strategic Investor”), pursuant to which, the PE Strategic Investor agreed to invest an aggregate of RMB1.0 billion in cash into PE CNHC for its non-controlling interest, representing 10% equity interests in PE CNHC. In connection with this transaction, PE CNHC also issued warrants to PE Strategic Investor which entitle PE Strategic Investor the right, at its sole discretion, to purchase additional RMB0.5 billion equity interests of PE CNHC at the same price, before PE CNHC’s next round of financing (the “Warrants”). In June 2024, the Group received RMB0.5 billion. As of December 31, 2024, the Company held 90.91% controlling equity interests in PE CNHC.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PE Strategic Investor has the right to request the Group to redeem their equity interests in PE CNHC at an agreed price after 60 months commencing from June 19, 2024, or other events as set forth in the share purchase agreement. The agreed price is calculated based on each non-controlling shareholder’s cash investment to PE CNHC plus an annual interest rate of 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the redemption is at the holders’ option and is upon the occurrence of the events that are not solely within the control of the Company, the PE Strategic Investor’s contributions in PE CNHC were classified as mezzanine equity and is subsequently accreted to the redemption price using the effective interest method with accretion recorded as a reduction of additional paid in capital.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Warrants, the Group classified the Warrants as financial liabilities under ASC 480, as the Warrants conditionally obligated the Group to ultimately transfer assets. The proceeds received by PE CNHC from PE Strategic Investor’s investment were allocated first to the warrant liabilities based on their fair value and the residual was allocated to the mezzanine equity.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year ended December 31, 2024, the Group recorded an accretion of RMB17,577 on redeemable non-controlling interests to redemption value. As of December 31, 2024, the balance of redeemable non-controlling interests and the warrant liabilities was RMB456,210 and RMB53,416 respectively. There was no significant change to the fair value of warrant liabilities compared with initial recognition based on the Group’s fair value assessment.</w:t>
      </w:r>
    </w:p>
    <w:p>
      <w:pPr>
        <w:pStyle w:val="TextBody"/>
        <w:bidi w:val="0"/>
        <w:spacing w:before="0" w:after="240"/>
        <w:ind w:left="0" w:right="0" w:firstLine="36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21.  Ordinary Shares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Upon inception, each ordinary share was issued at a par value of US$0.00025 per share. Various numbers of ordinary shares have been issued to share-based compensation award recipients since inception. Each Class A ordinary share shall entitle the holder thereof to one (1) vote on all matters subject to vote at general meetings of the Company, each Class B ordinary share shall entitle the holder thereof to four (4) votes on all matters subject to vote at general meetings of the Company, and each Class C ordinary share shall entitle the holder thereof to eight (8) votes on all matters subject to vote at general meetings of the Company.</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Each Class C ordinary share is convertible into one Class A ordinary share, whereas Class A ordinary shares are not convertible into Class C ordinary shares under any circumstances. Upon any transfer of Class C ordinary shares by a holder thereof to any person or entity which is not an affiliate of such holder, such Class C ordinary shares are automatically and immediately converted into the equal number of Class A ordinary shares.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As of December 31, 2023 and 2024, the authorized share capital of the Company is US$1,000 divided into 4,000,000,000 shares, comprising of: 2,632,030,222 Class A Ordinary Shares, nil Class B Ordinary Shares and 148,500,000 Class C Ordinary Shares, each at a par value of US$0.00025 per share, and 1,219,469,778 shares of a par value of US$0.00025 each of such class or classes as the board of directors may determine.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2020, the Company consummated the follow-on offerings of a total of 82,800,000, 101,775,000 and 78,200,000 American depositary shares (the “ADSs”) at a price of US$ 5.95, US$17.00 and US$ 39.00 per ADS, respectively.</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2021, the Company completed the issuance of 53,292,401 ADSs with net proceeds of RMB12,677,554 (US$1,974,000) through an at-the-market offering.</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2023, the Company completed a US$2,943.5 million strategic equity investment from CYVN Investments RSC Ltd, an affiliate of CYVN Holdings L.L.C., an investment vehicle majority owned by the Abu Dhabi Government (collectively referred to as “CYVN Entities”) which subscribed 378,695,543 newly issued Class A ordinary shares from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Upon the Company’s listing of Class A ordinary shares on the Hong Kong Stock Exchange, all of the Company’s Class B ordinary shares were converted to Class A ordinary shares pursuant to the conversion notice delivered by the relevant shareholders. The shareholding structure of Class B ordinary shares and provisions related to Class B ordinary shares have been removed in the Company’s amended and restated memorandum and articles of association, as approved by the Company’s shareholders at the annual general meeting held at August 25, 2022.</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May 2024, the Company participated as a lender in the borrowing and lending program (the “Share Lending Arrangement”) initiated by the Singapore Exchange Securities Trading Limited (the “SGX”), by agreeing to lend up to 2,000,000 of the Company’s Class A ordinary shares to The Central Depositary (Pte) Limited (“CDP”).</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There was no fixed lending period. Both the Company and CDP can terminate the share lending by issuing termination notification. The Company did not receive any proceeds from entering into this Share Lending Arrangement and was entitled to receive lending fee during the lending period. Upon the termination of share lending, CDP is required to re-deliver loaned shares to the Company within the re-delivery period, with no option for paying cash as the settlement.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In accordance with ASC 815-40, the Company has accounted for the Share Lending Arrangement as equity instrument. Shares lent under the arrangement were issued out of treasury stock, and concurrently the Company recognized a right to receive returned shares from CDP as a debit to additional paid-in-capital, measured based on the fair value of shares issued. No subsequent remeasurement is required for this equity classified right to receive shares, which would be transferred to treasury stock when shares are returned. The lending fee received from the Share Lending Arrangement is recognized as capital contribution upon receipt.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As of December 31, 2024, the total amount released from treasury shares to additional paid-in paid was RMB105.7 million and the lending fee received during the lending period was immaterial.</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November and December 2024, the Company issued 27,690,071 ADSs to exchange the convertible notes as disclosed in Note 12 (iii) through treasury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2023 and 2024, 4,000,000,000 ordinary shares were authorized, 2,073,522,118 shares and 2,094,978,828 shares were issued, and 2,055,461,094 shares and 2,091,505,895 shares were outstanding, respectively. The share number excludes 32,822,395 Class A Ordinary Shares issued to the depositary bank for bulk issuance of ADSs reserved for future issuance upon the exercise or vesting of awards granted under the Company’s share incentive plans.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22.  Non-controlling interest</w:t>
      </w:r>
    </w:p>
    <w:p>
      <w:pPr>
        <w:pStyle w:val="TextBody"/>
        <w:bidi w:val="0"/>
        <w:spacing w:before="0" w:after="240"/>
        <w:ind w:left="0" w:right="0" w:firstLine="360"/>
        <w:jc w:val="left"/>
        <w:rPr>
          <w:rFonts w:ascii="Times New Roman;Times;serif" w:hAnsi="Times New Roman;Times;serif"/>
          <w:b w:val="false"/>
          <w:sz w:val="20"/>
        </w:rPr>
      </w:pPr>
      <w:r>
        <w:rPr>
          <w:rFonts w:ascii="Times New Roman;Times;serif" w:hAnsi="Times New Roman;Times;serif"/>
          <w:b w:val="false"/>
          <w:sz w:val="20"/>
        </w:rPr>
        <w:t>Investment in NIO AI Technology</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val="false"/>
          <w:sz w:val="20"/>
        </w:rPr>
        <w:t>In March 2021, the Group established a subsidiary named NIO AI Technology by subscribing its ordinary shares with equity interests of 51%</w:t>
      </w:r>
      <w:r>
        <w:rPr>
          <w:rFonts w:ascii="Times New Roman;Times;serif" w:hAnsi="Times New Roman;Times;serif"/>
          <w:b/>
          <w:sz w:val="20"/>
        </w:rPr>
        <w:t xml:space="preserve"> </w:t>
      </w:r>
      <w:r>
        <w:rPr>
          <w:rFonts w:ascii="Times New Roman;Times;serif" w:hAnsi="Times New Roman;Times;serif"/>
          <w:b w:val="false"/>
          <w:sz w:val="20"/>
        </w:rPr>
        <w:t>and the remaining interests held by an employee of the Group. In August 2022, the Group subscribed a certain number of Series Seed Preferred Shares issued by NIO AI Technology. Upon the completion of this transaction, the Group held 96.97%</w:t>
      </w:r>
      <w:r>
        <w:rPr>
          <w:rFonts w:ascii="Times New Roman;Times;serif" w:hAnsi="Times New Roman;Times;serif"/>
          <w:b/>
          <w:sz w:val="20"/>
        </w:rPr>
        <w:t xml:space="preserve"> </w:t>
      </w:r>
      <w:r>
        <w:rPr>
          <w:rFonts w:ascii="Times New Roman;Times;serif" w:hAnsi="Times New Roman;Times;serif"/>
          <w:b w:val="false"/>
          <w:sz w:val="20"/>
        </w:rPr>
        <w:t>equity interests in NIO AI Technology and continued to control NIO AI Technology. The Group accounted for the change of equity interests in NIO AI as an equity transaction by adjusting the carrying value of the non-controlling interests and the Group’s additional paid-in capital with an amount of RMB184,085.</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Also refer to Note 9 (ii) for the investment in the equity securities using fair value option.</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both"/>
        <w:rPr>
          <w:rFonts w:ascii="Times New Roman;Times;serif" w:hAnsi="Times New Roman;Times;serif"/>
          <w:b/>
          <w:sz w:val="20"/>
        </w:rPr>
      </w:pPr>
      <w:bookmarkStart w:id="1805" w:name="Tc_Qa5-l0AqrEORB_XIrEdp5Q_13_0"/>
      <w:bookmarkStart w:id="1806" w:name="Tc_4I_qmXpC8UGIg0xly1NkrQ_12_0"/>
      <w:bookmarkStart w:id="1807" w:name="Tc_JbhyMSU4w0WLvzlYW64OEw_11_0"/>
      <w:bookmarkStart w:id="1808" w:name="Tc_oynjZLMfFE6r-0K9Hb7nRA_10_8"/>
      <w:bookmarkStart w:id="1809" w:name="Tc_MDnd0PobDkWNr1KXT4RuZQ_10_6"/>
      <w:bookmarkStart w:id="1810" w:name="Tc_9onCuYZ12kq5XBvI1Guttg_10_0"/>
      <w:bookmarkStart w:id="1811" w:name="Tc_obS8bgHCNUyWFHy8dPpJ4Q_9_8"/>
      <w:bookmarkStart w:id="1812" w:name="Tc_LYShQp5yjEOItveqhQJTJw_9_6"/>
      <w:bookmarkStart w:id="1813" w:name="Tc_AF5d9Xj1dku-hBT3OgHQ4w_9_0"/>
      <w:bookmarkStart w:id="1814" w:name="Tc_3__k-A6LX0ORs_j9Dx3hUg_8_8"/>
      <w:bookmarkStart w:id="1815" w:name="Tc__AFl0XtBDUC3al4aBkFR9A_8_6"/>
      <w:bookmarkStart w:id="1816" w:name="Tc_j4rwAX0BE0G-8dV4dl-jPg_8_0"/>
      <w:bookmarkStart w:id="1817" w:name="Tc_jE0EkRNMRkW5Us-hYoVjHw_7_8"/>
      <w:bookmarkStart w:id="1818" w:name="Tc_ICZ6auc9vU6xT3KFF1sgzg_7_6"/>
      <w:bookmarkStart w:id="1819" w:name="Tc_GtgwhdvTM0i02687YST0Kw_7_0"/>
      <w:bookmarkStart w:id="1820" w:name="Tc_BQgiZF0mVEmE3AaukOZcSg_6_0"/>
      <w:bookmarkStart w:id="1821" w:name="Tc_Rvzqri-EiUK5789YzLMWMg_5_8"/>
      <w:bookmarkStart w:id="1822" w:name="Tc_sEQGyAkYx0y90oxeo34cNg_5_6"/>
      <w:bookmarkStart w:id="1823" w:name="Tc_rqChU6WCCEGCI3JJ8mXT9w_5_4"/>
      <w:bookmarkStart w:id="1824" w:name="Tc_4LpM1pBc-kq4ceWl1cKK-w_4_8"/>
      <w:bookmarkStart w:id="1825" w:name="Tc_1uuocMXNCkGJBEKsa6Snuw_4_6"/>
      <w:bookmarkStart w:id="1826" w:name="Tc_rH3BX1YWdUuI3MJglkUmzA_4_4"/>
      <w:bookmarkStart w:id="1827" w:name="Tc_Kgj9F16_-kGYPWDKnfO7oA_4_2"/>
      <w:bookmarkStart w:id="1828" w:name="Tc_cCKpoAc99keGCkI2hpxAug_3_8"/>
      <w:bookmarkStart w:id="1829" w:name="Tc_hAuu9zttrES0bMGLXPbWnA_3_6"/>
      <w:bookmarkStart w:id="1830" w:name="Tc_R6mRDo44yUCWv0OLT_Uqaw_3_4"/>
      <w:bookmarkStart w:id="1831" w:name="Tc_JgViAKypbEqAPsHuUW8NOQ_3_2"/>
      <w:bookmarkStart w:id="1832" w:name="Tc_4dbBe4NO60KoWF430aG--A_2_8"/>
      <w:bookmarkStart w:id="1833" w:name="Tc_SyTh_0C5nESyFGcM3TS7zg_2_6"/>
      <w:bookmarkStart w:id="1834" w:name="Tc_6xkHlVrUkkyx-lCVCukfJg_2_4"/>
      <w:bookmarkStart w:id="1835" w:name="Tc_dO6CdtCGDku1RcrLPrXxAQ_2_2"/>
      <w:bookmarkStart w:id="1836" w:name="Tc_ff3w47FZVk-hxufcoFlDaw_1_6"/>
      <w:bookmarkStart w:id="1837" w:name="Tc_-rQkJ_fXY0ymTQfW97EgFw_1_4"/>
      <w:bookmarkStart w:id="1838" w:name="Tc_j15RmN6eCkidTICuclqUVg_6_0"/>
      <w:bookmarkStart w:id="1839" w:name="Tc__PaqnOeEZEuAlVDOyaqSCg_5_0"/>
      <w:bookmarkStart w:id="1840" w:name="Tc_V8pBPKQVxE2ZAfIr6OdJfw_4_0"/>
      <w:bookmarkStart w:id="1841" w:name="Tc_rC7VEebeTU-mz-F5sFn5iw_3_0"/>
      <w:bookmarkStart w:id="1842" w:name="Tc_6nOp2i2olESOT6Ezorhx9Q_2_6"/>
      <w:bookmarkStart w:id="1843" w:name="Tc_SQ4zizd0IUCmoHRGV-MJMQ_2_4"/>
      <w:bookmarkStart w:id="1844" w:name="Tc_ZA2uY71aaU-GHYBvtJlDIw_2_2"/>
      <w:bookmarkStart w:id="1845" w:name="Tc_Nz8zFXtJvEyJNERPiO4dvg_1_2"/>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r>
        <w:rPr>
          <w:rFonts w:ascii="Times New Roman;Times;serif" w:hAnsi="Times New Roman;Times;serif"/>
          <w:b/>
          <w:sz w:val="20"/>
        </w:rPr>
        <w:t>23.  Share-based Compensation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Compensation expenses recognized for share-based awards granted by the Company were as follows:</w:t>
      </w:r>
    </w:p>
    <w:p>
      <w:pPr>
        <w:pStyle w:val="TextBody"/>
        <w:bidi w:val="0"/>
        <w:spacing w:before="0" w:after="240"/>
        <w:ind w:left="0" w:right="0" w:firstLine="360"/>
        <w:jc w:val="both"/>
        <w:rPr/>
      </w:pPr>
      <w:r>
        <w:rPr/>
        <w:t>​</w:t>
      </w:r>
    </w:p>
    <w:tbl>
      <w:tblPr>
        <w:tblW w:w="7612" w:type="dxa"/>
        <w:jc w:val="left"/>
        <w:tblInd w:w="0" w:type="dxa"/>
        <w:tblLayout w:type="fixed"/>
        <w:tblCellMar>
          <w:top w:w="0" w:type="dxa"/>
          <w:left w:w="0" w:type="dxa"/>
          <w:bottom w:w="0" w:type="dxa"/>
          <w:right w:w="0" w:type="dxa"/>
        </w:tblCellMar>
      </w:tblPr>
      <w:tblGrid>
        <w:gridCol w:w="3736"/>
        <w:gridCol w:w="326"/>
        <w:gridCol w:w="931"/>
        <w:gridCol w:w="326"/>
        <w:gridCol w:w="931"/>
        <w:gridCol w:w="326"/>
        <w:gridCol w:w="103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372360" cy="175260"/>
                      <wp:effectExtent l="0" t="0" r="0" b="0"/>
                      <wp:wrapNone/>
                      <wp:docPr id="419" name="Frame416"/>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20" name="Frame4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591185" cy="175260"/>
                      <wp:effectExtent l="0" t="0" r="0" b="0"/>
                      <wp:wrapNone/>
                      <wp:docPr id="421" name="Frame41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7010" cy="175260"/>
                      <wp:effectExtent l="0" t="0" r="0" b="0"/>
                      <wp:wrapNone/>
                      <wp:docPr id="422" name="Frame4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591185" cy="175260"/>
                      <wp:effectExtent l="0" t="0" r="0" b="0"/>
                      <wp:wrapNone/>
                      <wp:docPr id="423" name="Frame42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24" name="Frame4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57860" cy="175260"/>
                      <wp:effectExtent l="0" t="0" r="0" b="0"/>
                      <wp:wrapNone/>
                      <wp:docPr id="425" name="Frame42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66,914</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83,972</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71,779</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1,323,370</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1,517,206</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1,296,136</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905,612</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767,863</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560,597</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2,295,896</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2,369,041</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1,928,512</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was no income tax benefit recognized in the consolidated statements of comprehensive loss for share-based compensation expenses and the Group did not capitalize any of the share-based compensation expenses as part of the cost of any assets in the years ended December 31, 2022, 2023 and 2024.</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(a) NIO Incentive Plans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2015, the Company adopted the 2015 Stock Incentive Plan (the “2015 Plan”), which allows the plan administrator to grant share options and restricted shares of the Company to its employees, directors, and consultants.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granted both share options and restricted shares to the employees. In 2016, 2017, 2018 and 2024, the Board of Directors further approved the 2016 Stock Incentive Plan (the “2016 Plan”), the 2017 Stock Incentive Plan (the “2017 Plan”), the 2018 Stock Incentive Plan (the “2018 Plan”) and the 2024 Stock Incentive Plan (the “2024 Plan”), which provide for share options and restricted shares. The share options and the restricted shares vest immediately or over a period of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five years of continuous service and achieved performance target and the stock options are exercisable over a maximum period of 10 years.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Group recognized the share options and restricted shares of the Company granted to the employees of the Group on a straight-line basis over the vesting term of the awards, net of estimated forfeitures. </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(i) Share Options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activities of the Company’s share options under the 2016, 2017 and 2018 Plans for the year ended December 31, 2024:</w:t>
      </w:r>
    </w:p>
    <w:p>
      <w:pPr>
        <w:pStyle w:val="TextBody"/>
        <w:bidi w:val="0"/>
        <w:spacing w:before="0" w:after="240"/>
        <w:ind w:left="0" w:right="0" w:firstLine="360"/>
        <w:jc w:val="both"/>
        <w:rPr/>
      </w:pPr>
      <w:r>
        <w:rPr/>
        <w:t>​</w:t>
      </w:r>
    </w:p>
    <w:tbl>
      <w:tblPr>
        <w:tblW w:w="9769" w:type="dxa"/>
        <w:jc w:val="left"/>
        <w:tblInd w:w="0" w:type="dxa"/>
        <w:tblLayout w:type="fixed"/>
        <w:tblCellMar>
          <w:top w:w="0" w:type="dxa"/>
          <w:left w:w="0" w:type="dxa"/>
          <w:bottom w:w="0" w:type="dxa"/>
          <w:right w:w="0" w:type="dxa"/>
        </w:tblCellMar>
      </w:tblPr>
      <w:tblGrid>
        <w:gridCol w:w="4381"/>
        <w:gridCol w:w="326"/>
        <w:gridCol w:w="1051"/>
        <w:gridCol w:w="326"/>
        <w:gridCol w:w="796"/>
        <w:gridCol w:w="326"/>
        <w:gridCol w:w="1321"/>
        <w:gridCol w:w="326"/>
        <w:gridCol w:w="916"/>
      </w:tblGrid>
      <w:tr>
        <w:trPr/>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781935" cy="175260"/>
                      <wp:effectExtent l="0" t="0" r="0" b="0"/>
                      <wp:wrapNone/>
                      <wp:docPr id="426" name="Frame423"/>
                      <a:graphic xmlns:a="http://schemas.openxmlformats.org/drawingml/2006/main">
                        <a:graphicData uri="http://schemas.microsoft.com/office/word/2010/wordprocessingShape">
                          <wps:wsp>
                            <wps:cNvSpPr txBox="1"/>
                            <wps:spPr>
                              <a:xfrm>
                                <a:off x="0" y="0"/>
                                <a:ext cx="278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27" name="Frame4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67385" cy="175260"/>
                      <wp:effectExtent l="0" t="0" r="0" b="0"/>
                      <wp:wrapNone/>
                      <wp:docPr id="428" name="Frame42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7010" cy="175260"/>
                      <wp:effectExtent l="0" t="0" r="0" b="0"/>
                      <wp:wrapNone/>
                      <wp:docPr id="429" name="Frame4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505460" cy="175260"/>
                      <wp:effectExtent l="0" t="0" r="0" b="0"/>
                      <wp:wrapNone/>
                      <wp:docPr id="430" name="Frame42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07010" cy="175260"/>
                      <wp:effectExtent l="0" t="0" r="0" b="0"/>
                      <wp:wrapNone/>
                      <wp:docPr id="431" name="Frame4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838835" cy="175260"/>
                      <wp:effectExtent l="0" t="0" r="0" b="0"/>
                      <wp:wrapNone/>
                      <wp:docPr id="432" name="Frame429"/>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07010" cy="175260"/>
                      <wp:effectExtent l="0" t="0" r="0" b="0"/>
                      <wp:wrapNone/>
                      <wp:docPr id="433" name="Frame4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581660" cy="175260"/>
                      <wp:effectExtent l="0" t="0" r="0" b="0"/>
                      <wp:wrapNone/>
                      <wp:docPr id="434" name="Frame43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    </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    </w:t>
            </w:r>
          </w:p>
        </w:tc>
        <w:tc>
          <w:tcPr>
            <w:tcW w:w="916" w:type="dxa"/>
            <w:tcBorders/>
            <w:vAlign w:val="center"/>
          </w:tcPr>
          <w:p>
            <w:pPr>
              <w:pStyle w:val="TableContents"/>
              <w:bidi w:val="0"/>
              <w:spacing w:before="0" w:after="0"/>
              <w:ind w:left="0" w:right="0" w:hanging="0"/>
              <w:jc w:val="center"/>
              <w:rPr/>
            </w:pPr>
            <w:r>
              <w:rPr/>
              <w:t>​</w:t>
            </w:r>
          </w:p>
        </w:tc>
      </w:tr>
      <w:tr>
        <w:trPr/>
        <w:tc>
          <w:tcPr>
            <w:tcW w:w="43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3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center"/>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3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0"/>
              <w:ind w:left="0" w:right="0" w:hanging="0"/>
              <w:jc w:val="center"/>
              <w:rPr/>
            </w:pPr>
            <w:r>
              <w:rPr/>
              <w:t>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 Life</w:t>
            </w:r>
          </w:p>
        </w:tc>
        <w:tc>
          <w:tcPr>
            <w:tcW w:w="326" w:type="dxa"/>
            <w:tcBorders/>
            <w:vAlign w:val="center"/>
          </w:tcPr>
          <w:p>
            <w:pPr>
              <w:pStyle w:val="TableContents"/>
              <w:bidi w:val="0"/>
              <w:spacing w:before="0" w:after="0"/>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3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0"/>
              <w:ind w:left="0" w:right="0" w:hanging="0"/>
              <w:jc w:val="center"/>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62,619,412</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423,637</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1,397,000</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(7,102,713)</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Cancelled</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(4,352,527)</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(500,523)</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2024</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52,060,649</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26" w:type="dxa"/>
            <w:tcBorders/>
            <w:vAlign w:val="center"/>
          </w:tcPr>
          <w:p>
            <w:pPr>
              <w:pStyle w:val="TableContents"/>
              <w:bidi w:val="0"/>
              <w:spacing w:before="0" w:after="0"/>
              <w:ind w:left="0" w:right="0" w:hanging="0"/>
              <w:jc w:val="left"/>
              <w:rPr/>
            </w:pPr>
            <w:r>
              <w:rPr/>
              <w:t>​</w:t>
            </w:r>
          </w:p>
        </w:tc>
        <w:tc>
          <w:tcPr>
            <w:tcW w:w="13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326" w:type="dxa"/>
            <w:tcBorders/>
            <w:vAlign w:val="center"/>
          </w:tcPr>
          <w:p>
            <w:pPr>
              <w:pStyle w:val="TableContents"/>
              <w:bidi w:val="0"/>
              <w:spacing w:before="0" w:after="0"/>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100,420</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as of December 31,2024</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52,014,026</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100,329</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as of December 31, 2024</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50,556,678</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97,491</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aggregate intrinsic value in the table above represents the aggregate difference between the Company’s closing stock price on the last trading day of the period and the exercise price for the underlying awards.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total intrinsic value of options exercised during the years ended December 31, 2022, 2023 and 2024 were RMB507,235, RMB279,327 and RMB145,022,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0"/>
        <w:ind w:left="0" w:right="0" w:firstLine="360"/>
        <w:jc w:val="both"/>
        <w:rPr>
          <w:rFonts w:ascii="Times New Roman;Times;serif" w:hAnsi="Times New Roman;Times;serif"/>
          <w:sz w:val="20"/>
        </w:rPr>
      </w:pPr>
      <w:bookmarkStart w:id="1846" w:name="Tc_oMWn8JHqjUOSZPs4ZR26Pw_8_0"/>
      <w:bookmarkStart w:id="1847" w:name="Tc_XZthuo0eb0C230kYxClC4Q_7_0"/>
      <w:bookmarkStart w:id="1848" w:name="Tc_K4Kwhv87B0yxasiWqZHPIg_6_0"/>
      <w:bookmarkStart w:id="1849" w:name="Tc_YY7OyTfUhUyTrd1Z2T31oQ_5_0"/>
      <w:bookmarkStart w:id="1850" w:name="Tc_vfRn899DQEiPNn9T9NpTQA_4_0"/>
      <w:bookmarkStart w:id="1851" w:name="Tc_OdzhQWfLC0iK5n9oxI3AOA_3_4"/>
      <w:bookmarkStart w:id="1852" w:name="Tc_uK0fg_M8ykmqlhAZr629Lw_2_4"/>
      <w:bookmarkStart w:id="1853" w:name="Tc_q6eU0ZqBgUSXVw46aj64bA_2_2"/>
      <w:bookmarkStart w:id="1854" w:name="Tc_43J0ftIHLUWgvSGa-g5xvA_1_4"/>
      <w:bookmarkStart w:id="1855" w:name="Tc_neSRQEz8skaD5TX1uoLvyA_1_2"/>
      <w:bookmarkStart w:id="1856" w:name="Tc__gQzUmV2nUanijE5B1_d-Q_9_16"/>
      <w:bookmarkStart w:id="1857" w:name="Tc_87amQb4BfE-qX_uW6Q7NDg_9_11"/>
      <w:bookmarkStart w:id="1858" w:name="Tc_GetpufEO3UieJ4u8SA3OSg_9_6"/>
      <w:bookmarkStart w:id="1859" w:name="Tc_3N1PUIWJjUCkwBIbxjBmJg_9_0"/>
      <w:bookmarkStart w:id="1860" w:name="Tc_Z8MTklLS1EKD-Uzt76NNMg_8_16"/>
      <w:bookmarkStart w:id="1861" w:name="Tc_RLczDFDYG0e6lj_6qb1lmQ_8_11"/>
      <w:bookmarkStart w:id="1862" w:name="Tc_lnSrumgdhEeAA_nPScu6sQ_8_6"/>
      <w:bookmarkStart w:id="1863" w:name="Tc_4vZOG08vUkCKQpdQSwEQgQ_8_0"/>
      <w:bookmarkStart w:id="1864" w:name="Tc_Jloh7S-QbEu4yWMzORgl7g_7_16"/>
      <w:bookmarkStart w:id="1865" w:name="Tc_csI_d_KAaU-AhnAWuw6D4Q_7_11"/>
      <w:bookmarkStart w:id="1866" w:name="Tc_N1jjzx0tLUCRuLJeUOfpBg_7_6"/>
      <w:bookmarkStart w:id="1867" w:name="Tc_1J4sDVzXzE6hC5keIX3Zxw_7_0"/>
      <w:bookmarkStart w:id="1868" w:name="Tc_ZgTwa-H6i0OWxW4We4scTA_6_16"/>
      <w:bookmarkStart w:id="1869" w:name="Tc_AWWvuX5iHkqTbaGT24IOOw_6_11"/>
      <w:bookmarkStart w:id="1870" w:name="Tc_qF7m6vhkZk-C7meACQegXw_6_6"/>
      <w:bookmarkStart w:id="1871" w:name="Tc_53jwDAGHl0qJMaBOvxTX5A_6_0"/>
      <w:bookmarkStart w:id="1872" w:name="Tc_B3qWYywu9UiPSUnTokqAHg_5_16"/>
      <w:bookmarkStart w:id="1873" w:name="Tc_RiLJllTEz0S_J8-spub-rA_5_14"/>
      <w:bookmarkStart w:id="1874" w:name="Tc_YSxOoCpybkqBcvYeYo4Q7g_5_13"/>
      <w:bookmarkStart w:id="1875" w:name="Tc_w1BdIx8g2EKAcPpCbQvmcw_5_11"/>
      <w:bookmarkStart w:id="1876" w:name="Tc_VyANDE3yz0KFHRGWFayPQw_5_9"/>
      <w:bookmarkStart w:id="1877" w:name="Tc_zsLkNa-FqUyQ7mCS3wECfQ_5_8"/>
      <w:bookmarkStart w:id="1878" w:name="Tc_7NcwV_skCkeJo6KUAAr4UQ_5_6"/>
      <w:bookmarkStart w:id="1879" w:name="Tc_2JcYqGZn7USXNB2VcvC2UA_5_4"/>
      <w:bookmarkStart w:id="1880" w:name="Tc_pHnZKGvbw0-WBZPwta_IuQ_5_3"/>
      <w:bookmarkStart w:id="1881" w:name="Tc_rFlRsz3UgkmuQEkXRMpayg_5_0"/>
      <w:bookmarkStart w:id="1882" w:name="Tc_ylH3a2XIyU6S8tCZZfuw8A_4_14"/>
      <w:bookmarkStart w:id="1883" w:name="Tc_V-GUtMdC50e3BlTjf_jCAg_4_9"/>
      <w:bookmarkStart w:id="1884" w:name="Tc_HhiwbcxJ5UaW1wKAsNvdVw_4_4"/>
      <w:bookmarkStart w:id="1885" w:name="Tc_8ATAIT2wKUCGHtR2ClOmWg_4_0"/>
      <w:bookmarkStart w:id="1886" w:name="Tc_Jy8bK7qmt02HqWZbcIo8lg_3_14"/>
      <w:bookmarkStart w:id="1887" w:name="Tc_HRmyQ-ETok6I3_ZymsG17Q_3_9"/>
      <w:bookmarkStart w:id="1888" w:name="Tc_ntP3-PQ6AU60AKMG-kcFyA_3_4"/>
      <w:bookmarkStart w:id="1889" w:name="Tc_Ekxp4M0TDku1xcx78iyX5Q_3_0"/>
      <w:bookmarkStart w:id="1890" w:name="Tc_PkAuBTVTFUucl15nDM-czQ_2_12"/>
      <w:bookmarkStart w:id="1891" w:name="Tc_Oshw676aOkW7maqzAhE1jA_2_7"/>
      <w:bookmarkStart w:id="1892" w:name="Tc_pPqMpR3iEE-8OoDxAwkkdA_2_2"/>
      <w:bookmarkStart w:id="1893" w:name="Tc_SHYt-9VJlkKTbgNUcPUuqg_1_2"/>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r>
        <w:rPr>
          <w:rFonts w:ascii="Times New Roman;Times;serif" w:hAnsi="Times New Roman;Times;serif"/>
          <w:sz w:val="20"/>
        </w:rPr>
        <w:t>The weighted-average grant date fair value for options granted under the Company’s 2016, 2017 and 2018 Plans during the years ended December 31, 2022, 2023 and 2024 was US$19.27, US$6.66 and US$3.64, respectively, computed using the binomial option pricing model with the assumptions (or ranges thereof) in the following table:</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4524"/>
        <w:gridCol w:w="326"/>
        <w:gridCol w:w="571"/>
        <w:gridCol w:w="271"/>
        <w:gridCol w:w="166"/>
        <w:gridCol w:w="571"/>
        <w:gridCol w:w="361"/>
        <w:gridCol w:w="466"/>
        <w:gridCol w:w="271"/>
        <w:gridCol w:w="166"/>
        <w:gridCol w:w="466"/>
        <w:gridCol w:w="361"/>
        <w:gridCol w:w="466"/>
        <w:gridCol w:w="271"/>
        <w:gridCol w:w="166"/>
        <w:gridCol w:w="466"/>
        <w:gridCol w:w="316"/>
      </w:tblGrid>
      <w:tr>
        <w:trPr/>
        <w:tc>
          <w:tcPr>
            <w:tcW w:w="4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872740" cy="175260"/>
                      <wp:effectExtent l="0" t="0" r="0" b="0"/>
                      <wp:wrapNone/>
                      <wp:docPr id="435" name="Frame432"/>
                      <a:graphic xmlns:a="http://schemas.openxmlformats.org/drawingml/2006/main">
                        <a:graphicData uri="http://schemas.microsoft.com/office/word/2010/wordprocessingShape">
                          <wps:wsp>
                            <wps:cNvSpPr txBox="1"/>
                            <wps:spPr>
                              <a:xfrm>
                                <a:off x="0" y="0"/>
                                <a:ext cx="2872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36"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362585" cy="175260"/>
                      <wp:effectExtent l="0" t="0" r="0" b="0"/>
                      <wp:wrapNone/>
                      <wp:docPr id="437" name="Frame43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72085" cy="175260"/>
                      <wp:effectExtent l="0" t="0" r="0" b="0"/>
                      <wp:wrapNone/>
                      <wp:docPr id="438" name="Frame43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05410" cy="175260"/>
                      <wp:effectExtent l="0" t="0" r="0" b="0"/>
                      <wp:wrapNone/>
                      <wp:docPr id="439" name="Frame436"/>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362585" cy="175260"/>
                      <wp:effectExtent l="0" t="0" r="0" b="0"/>
                      <wp:wrapNone/>
                      <wp:docPr id="440" name="Frame43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29235" cy="175260"/>
                      <wp:effectExtent l="0" t="0" r="0" b="0"/>
                      <wp:wrapNone/>
                      <wp:docPr id="441" name="Frame43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95910" cy="175260"/>
                      <wp:effectExtent l="0" t="0" r="0" b="0"/>
                      <wp:wrapNone/>
                      <wp:docPr id="442" name="Frame43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72085" cy="175260"/>
                      <wp:effectExtent l="0" t="0" r="0" b="0"/>
                      <wp:wrapNone/>
                      <wp:docPr id="443" name="Frame44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05410" cy="175260"/>
                      <wp:effectExtent l="0" t="0" r="0" b="0"/>
                      <wp:wrapNone/>
                      <wp:docPr id="444" name="Frame441"/>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95910" cy="175260"/>
                      <wp:effectExtent l="0" t="0" r="0" b="0"/>
                      <wp:wrapNone/>
                      <wp:docPr id="445" name="Frame44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29235" cy="175260"/>
                      <wp:effectExtent l="0" t="0" r="0" b="0"/>
                      <wp:wrapNone/>
                      <wp:docPr id="446" name="Frame44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95910" cy="175260"/>
                      <wp:effectExtent l="0" t="0" r="0" b="0"/>
                      <wp:wrapNone/>
                      <wp:docPr id="447" name="Frame44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72085" cy="175260"/>
                      <wp:effectExtent l="0" t="0" r="0" b="0"/>
                      <wp:wrapNone/>
                      <wp:docPr id="448" name="Frame44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05410" cy="175260"/>
                      <wp:effectExtent l="0" t="0" r="0" b="0"/>
                      <wp:wrapNone/>
                      <wp:docPr id="449" name="Frame446"/>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95910" cy="175260"/>
                      <wp:effectExtent l="0" t="0" r="0" b="0"/>
                      <wp:wrapNone/>
                      <wp:docPr id="450" name="Frame44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00660" cy="175260"/>
                      <wp:effectExtent l="0" t="0" r="0" b="0"/>
                      <wp:wrapNone/>
                      <wp:docPr id="451" name="Frame44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3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c>
          <w:tcPr>
            <w:tcW w:w="316" w:type="dxa"/>
            <w:tcBorders/>
            <w:vAlign w:val="center"/>
          </w:tcPr>
          <w:p>
            <w:pPr>
              <w:pStyle w:val="TableContents"/>
              <w:bidi w:val="0"/>
              <w:spacing w:before="0" w:after="0"/>
              <w:ind w:left="0" w:right="0" w:hanging="0"/>
              <w:jc w:val="left"/>
              <w:rPr/>
            </w:pPr>
            <w:r>
              <w:rPr/>
              <w:t>​</w:t>
            </w:r>
          </w:p>
        </w:tc>
      </w:tr>
      <w:tr>
        <w:trPr/>
        <w:tc>
          <w:tcPr>
            <w:tcW w:w="45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vAlign w:val="center"/>
          </w:tcPr>
          <w:p>
            <w:pPr>
              <w:pStyle w:val="TableContents"/>
              <w:bidi w:val="0"/>
              <w:spacing w:before="0" w:after="0"/>
              <w:ind w:left="0" w:right="0" w:hanging="0"/>
              <w:jc w:val="left"/>
              <w:rPr/>
            </w:pPr>
            <w:r>
              <w:rPr/>
              <w:t>    </w:t>
            </w:r>
          </w:p>
        </w:tc>
        <w:tc>
          <w:tcPr>
            <w:tcW w:w="13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w:t>
            </w:r>
          </w:p>
        </w:tc>
        <w:tc>
          <w:tcPr>
            <w:tcW w:w="13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0"/>
              <w:ind w:left="0" w:right="0" w:hanging="0"/>
              <w:jc w:val="left"/>
              <w:rPr/>
            </w:pPr>
            <w:r>
              <w:rPr/>
              <w:t> </w:t>
            </w:r>
          </w:p>
        </w:tc>
      </w:tr>
      <w:tr>
        <w:trPr/>
        <w:tc>
          <w:tcPr>
            <w:tcW w:w="45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 (US$)</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27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19.91</w:t>
            </w:r>
          </w:p>
        </w:tc>
        <w:tc>
          <w:tcPr>
            <w:tcW w:w="361"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27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36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27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5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the ordinary shares on the date of option grant (US$)</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w:t>
            </w:r>
          </w:p>
        </w:tc>
        <w:tc>
          <w:tcPr>
            <w:tcW w:w="271"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19.61</w:t>
            </w:r>
          </w:p>
        </w:tc>
        <w:tc>
          <w:tcPr>
            <w:tcW w:w="361"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w:t>
            </w:r>
          </w:p>
        </w:tc>
        <w:tc>
          <w:tcPr>
            <w:tcW w:w="271"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w:t>
            </w:r>
          </w:p>
        </w:tc>
        <w:tc>
          <w:tcPr>
            <w:tcW w:w="3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271"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16" w:type="dxa"/>
            <w:tcBorders/>
            <w:vAlign w:val="center"/>
          </w:tcPr>
          <w:p>
            <w:pPr>
              <w:pStyle w:val="TableContents"/>
              <w:bidi w:val="0"/>
              <w:spacing w:before="0" w:after="0"/>
              <w:ind w:left="0" w:right="0" w:hanging="0"/>
              <w:jc w:val="left"/>
              <w:rPr/>
            </w:pPr>
            <w:r>
              <w:rPr/>
              <w:t>​</w:t>
            </w:r>
          </w:p>
        </w:tc>
      </w:tr>
      <w:tr>
        <w:trPr/>
        <w:tc>
          <w:tcPr>
            <w:tcW w:w="45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multiple</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w:t>
            </w:r>
          </w:p>
        </w:tc>
        <w:tc>
          <w:tcPr>
            <w:tcW w:w="46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w:t>
            </w:r>
          </w:p>
        </w:tc>
        <w:tc>
          <w:tcPr>
            <w:tcW w:w="46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w:t>
            </w:r>
          </w:p>
        </w:tc>
      </w:tr>
      <w:tr>
        <w:trPr/>
        <w:tc>
          <w:tcPr>
            <w:tcW w:w="45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forfeiture rate (post-vesting)</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Risk-free interest rate is estimated based on the yield curve of US Sovereign Bond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The Company has never declared or paid any cash dividends on its capital stock, and the Group does not anticipate any dividend payments in the foreseeable future. Expected term is the contract life of the options.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2024, there was RMB1,599 of unrecognized compensation expenses related to the stock options granted to the employees, which is expected to be recognized over a weighted-average period of 0.01 years.</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(ii) Restricted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fair value of each restricted share granted with service conditions is estimated based on the fair market value of the underlying ordinary shares of the Company on the date of grant.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activities of the Company’s restricted shares under the 2016, 2017, 2018 and 2024 Plan for the year ended December 31, 2024:</w:t>
      </w:r>
    </w:p>
    <w:p>
      <w:pPr>
        <w:pStyle w:val="TextBody"/>
        <w:bidi w:val="0"/>
        <w:spacing w:before="0" w:after="240"/>
        <w:ind w:left="0" w:right="0" w:firstLine="360"/>
        <w:jc w:val="both"/>
        <w:rPr/>
      </w:pPr>
      <w:r>
        <w:rPr/>
        <w:t>​</w:t>
      </w:r>
    </w:p>
    <w:tbl>
      <w:tblPr>
        <w:tblW w:w="6835" w:type="dxa"/>
        <w:jc w:val="left"/>
        <w:tblInd w:w="0" w:type="dxa"/>
        <w:tblLayout w:type="fixed"/>
        <w:tblCellMar>
          <w:top w:w="0" w:type="dxa"/>
          <w:left w:w="0" w:type="dxa"/>
          <w:bottom w:w="0" w:type="dxa"/>
          <w:right w:w="0" w:type="dxa"/>
        </w:tblCellMar>
      </w:tblPr>
      <w:tblGrid>
        <w:gridCol w:w="2701"/>
        <w:gridCol w:w="326"/>
        <w:gridCol w:w="1666"/>
        <w:gridCol w:w="326"/>
        <w:gridCol w:w="1816"/>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715135" cy="175260"/>
                      <wp:effectExtent l="0" t="0" r="0" b="0"/>
                      <wp:wrapNone/>
                      <wp:docPr id="452" name="Frame449"/>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07010" cy="175260"/>
                      <wp:effectExtent l="0" t="0" r="0" b="0"/>
                      <wp:wrapNone/>
                      <wp:docPr id="453" name="Frame4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057910" cy="175260"/>
                      <wp:effectExtent l="0" t="0" r="0" b="0"/>
                      <wp:wrapNone/>
                      <wp:docPr id="454" name="Frame451"/>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175260"/>
                      <wp:effectExtent l="0" t="0" r="0" b="0"/>
                      <wp:wrapNone/>
                      <wp:docPr id="455" name="Frame4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153160" cy="175260"/>
                      <wp:effectExtent l="0" t="0" r="0" b="0"/>
                      <wp:wrapNone/>
                      <wp:docPr id="456" name="Frame453"/>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Restricted</w:t>
            </w:r>
          </w:p>
        </w:tc>
        <w:tc>
          <w:tcPr>
            <w:tcW w:w="326" w:type="dxa"/>
            <w:tcBorders/>
            <w:vAlign w:val="center"/>
          </w:tcPr>
          <w:p>
            <w:pPr>
              <w:pStyle w:val="TableContents"/>
              <w:bidi w:val="0"/>
              <w:spacing w:before="0" w:after="0"/>
              <w:ind w:left="0" w:right="0" w:hanging="0"/>
              <w:jc w:val="center"/>
              <w:rPr/>
            </w:pPr>
            <w:r>
              <w:rPr/>
              <w:t>​</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Outstanding</w:t>
            </w:r>
          </w:p>
        </w:tc>
        <w:tc>
          <w:tcPr>
            <w:tcW w:w="326" w:type="dxa"/>
            <w:tcBorders/>
            <w:vAlign w:val="center"/>
          </w:tcPr>
          <w:p>
            <w:pPr>
              <w:pStyle w:val="TableContents"/>
              <w:bidi w:val="0"/>
              <w:spacing w:before="0" w:after="0"/>
              <w:ind w:left="0" w:right="0" w:hanging="0"/>
              <w:jc w:val="left"/>
              <w:rPr/>
            </w:pPr>
            <w:r>
              <w:rPr/>
              <w:t>    </w:t>
            </w:r>
          </w:p>
        </w:tc>
        <w:tc>
          <w:tcPr>
            <w:tcW w:w="18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at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56,063,898</w:t>
            </w:r>
          </w:p>
        </w:tc>
        <w:tc>
          <w:tcPr>
            <w:tcW w:w="326" w:type="dxa"/>
            <w:tcBorders/>
            <w:shd w:fill="CCEEFF" w:val="clear"/>
            <w:vAlign w:val="center"/>
          </w:tcPr>
          <w:p>
            <w:pPr>
              <w:pStyle w:val="TableContents"/>
              <w:bidi w:val="0"/>
              <w:spacing w:before="0" w:after="0"/>
              <w:ind w:left="0" w:right="0" w:hanging="0"/>
              <w:jc w:val="left"/>
              <w:rPr/>
            </w:pPr>
            <w:r>
              <w:rPr/>
              <w:t>​</w:t>
            </w:r>
          </w:p>
        </w:tc>
        <w:tc>
          <w:tcPr>
            <w:tcW w:w="1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30,915,465</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1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(14,353,997)</w:t>
            </w:r>
          </w:p>
        </w:tc>
        <w:tc>
          <w:tcPr>
            <w:tcW w:w="326" w:type="dxa"/>
            <w:tcBorders/>
            <w:shd w:fill="CCEEFF" w:val="clear"/>
            <w:vAlign w:val="center"/>
          </w:tcPr>
          <w:p>
            <w:pPr>
              <w:pStyle w:val="TableContents"/>
              <w:bidi w:val="0"/>
              <w:spacing w:before="0" w:after="0"/>
              <w:ind w:left="0" w:right="0" w:hanging="0"/>
              <w:jc w:val="left"/>
              <w:rPr/>
            </w:pPr>
            <w:r>
              <w:rPr/>
              <w:t>​</w:t>
            </w:r>
          </w:p>
        </w:tc>
        <w:tc>
          <w:tcPr>
            <w:tcW w:w="1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6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(10,772,623)</w:t>
            </w:r>
          </w:p>
        </w:tc>
        <w:tc>
          <w:tcPr>
            <w:tcW w:w="326" w:type="dxa"/>
            <w:tcBorders/>
            <w:vAlign w:val="center"/>
          </w:tcPr>
          <w:p>
            <w:pPr>
              <w:pStyle w:val="TableContents"/>
              <w:bidi w:val="0"/>
              <w:spacing w:before="0" w:after="0"/>
              <w:ind w:left="0" w:right="0" w:hanging="0"/>
              <w:jc w:val="left"/>
              <w:rPr/>
            </w:pPr>
            <w:r>
              <w:rPr/>
              <w:t>​</w:t>
            </w:r>
          </w:p>
        </w:tc>
        <w:tc>
          <w:tcPr>
            <w:tcW w:w="18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at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6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61,852,743</w:t>
            </w:r>
          </w:p>
        </w:tc>
        <w:tc>
          <w:tcPr>
            <w:tcW w:w="326" w:type="dxa"/>
            <w:tcBorders/>
            <w:shd w:fill="CCEEFF" w:val="clear"/>
            <w:vAlign w:val="center"/>
          </w:tcPr>
          <w:p>
            <w:pPr>
              <w:pStyle w:val="TableContents"/>
              <w:bidi w:val="0"/>
              <w:spacing w:before="0" w:after="0"/>
              <w:ind w:left="0" w:right="0" w:hanging="0"/>
              <w:jc w:val="left"/>
              <w:rPr/>
            </w:pPr>
            <w:r>
              <w:rPr/>
              <w:t>​</w:t>
            </w:r>
          </w:p>
        </w:tc>
        <w:tc>
          <w:tcPr>
            <w:tcW w:w="181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10.96</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2024, there was RMB3,266,466 of unrecognized compensation expenses related to restricted shares granted to the employees, which is expected to be recognized over a weighted-average period of 2.81 years.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(b) Share-based compensation of subsidiaries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November 2021, a subsidiary of the Company (“Subsidiary A”) adopted the 2021 Share Incentive Plan (the “A Plan”) which allows Subsidiary A to grant share options to its employees.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A plan, the share options have a contractual term of ten years from the grant date, and vest over a period of four years of continuous service, one fourth (</w:t>
      </w:r>
      <w:r>
        <w:rPr>
          <w:rFonts w:ascii="Times New Roman;Times;serif" w:hAnsi="Times New Roman;Times;serif"/>
          <w:b w:val="false"/>
          <w:i w:val="false"/>
          <w:caps w:val="false"/>
          <w:smallCaps w:val="false"/>
          <w:sz w:val="20"/>
        </w:rPr>
        <w:t>1/4</w:t>
      </w:r>
      <w:r>
        <w:rPr>
          <w:rFonts w:ascii="Times New Roman;Times;serif" w:hAnsi="Times New Roman;Times;serif"/>
          <w:sz w:val="20"/>
        </w:rPr>
        <w:t>) of which vest upon the first anniversary of the stated vesting commencement date and the remaining vest ratably over the following 36 months.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bookmarkStart w:id="1894" w:name="Tc_B0yhxTvTSE2F_BlimdP8HA_9_3"/>
      <w:bookmarkStart w:id="1895" w:name="Tc_cF_VD1EViE6dBlHO6ZZlLA_9_0"/>
      <w:bookmarkStart w:id="1896" w:name="Tc_6MFXBohZ8ESh-HEwuGAGog_8_3"/>
      <w:bookmarkStart w:id="1897" w:name="Tc_Y8QHVEZg9UO4W5bw3XmAMg_8_0"/>
      <w:bookmarkStart w:id="1898" w:name="Tc_E_lKkdMxhU-pvBsFVcLGhQ_7_3"/>
      <w:bookmarkStart w:id="1899" w:name="Tc_h6RIKZrwT0eHXP1EeABTyA_7_0"/>
      <w:bookmarkStart w:id="1900" w:name="Tc_3iZqEwvRREeBDO3M552Csg_6_0"/>
      <w:bookmarkStart w:id="1901" w:name="Tc_WZnsDR281UeZs90r3GeizQ_5_3"/>
      <w:bookmarkStart w:id="1902" w:name="Tc_oq-4r_0UXUybGVrmOy0pqQ_5_0"/>
      <w:bookmarkStart w:id="1903" w:name="Tc_Dag4fmE9CE-GTKTh36ThQg_4_2"/>
      <w:bookmarkStart w:id="1904" w:name="Tc_JbvXNIAkRkO8T_0wCiHtFQ_4_0"/>
      <w:bookmarkStart w:id="1905" w:name="Tc_G4jUceSv-kCWiCnhognIAw_3_2"/>
      <w:bookmarkStart w:id="1906" w:name="Tc_1NscvigDsUeIsKVlzs8ITQ_2_2"/>
      <w:bookmarkStart w:id="1907" w:name="Tc_IVsnXxaQ5EeR80GWboPqyg_1_2"/>
      <w:bookmarkStart w:id="1908" w:name="Tc_PTNdu_vBfUOHOLRVSuW7eQ_10_0"/>
      <w:bookmarkStart w:id="1909" w:name="Tc_G2Vhb9M4dUuEy_92CT639w_9_8"/>
      <w:bookmarkStart w:id="1910" w:name="Tc_fV-0vlEf-0CqhvEX9eZblA_9_6"/>
      <w:bookmarkStart w:id="1911" w:name="Tc_F2arTyrnTUyvfe-cQHXQGQ_9_4"/>
      <w:bookmarkStart w:id="1912" w:name="Tc_z0I0WPg810y4LHUxAAjUTQ_9_0"/>
      <w:bookmarkStart w:id="1913" w:name="Tc_KQ52x8jwK0G0NZnslkseBw_8_8"/>
      <w:bookmarkStart w:id="1914" w:name="Tc_1V4bPYzDt0CfJES5Qyp7rQ_8_6"/>
      <w:bookmarkStart w:id="1915" w:name="Tc_WSGOPqaq0k-pI7LBj45qJw_8_4"/>
      <w:bookmarkStart w:id="1916" w:name="Tc_mNtLtcQ9pESeC6lOhl1Fhg_8_0"/>
      <w:bookmarkStart w:id="1917" w:name="Tc_kCniTZXrhUK2CSaXhMs4Yw_7_8"/>
      <w:bookmarkStart w:id="1918" w:name="Tc_-MYaeCryRUuWH412S0PtjQ_7_6"/>
      <w:bookmarkStart w:id="1919" w:name="Tc_A6YDMcflpkeOmGWUj1u9Mg_7_0"/>
      <w:bookmarkStart w:id="1920" w:name="Tc_mngXgRl7X0uM8VAzBrSbSQ_6_0"/>
      <w:bookmarkStart w:id="1921" w:name="Tc_LYC320EqL0msvTi8G8Gu2A_5_8"/>
      <w:bookmarkStart w:id="1922" w:name="Tc_B-NnRjGG-EiEbHSowZWc1A_5_6"/>
      <w:bookmarkStart w:id="1923" w:name="Tc_W8-_4BFy00OJ_LMGjky5Yw_5_4"/>
      <w:bookmarkStart w:id="1924" w:name="Tc_aLBDn60g9EWxgQoBMIwuHg_4_8"/>
      <w:bookmarkStart w:id="1925" w:name="Tc_xljGgFEgrk2XMK0LyQ1Maw_4_6"/>
      <w:bookmarkStart w:id="1926" w:name="Tc_6trnpD7EqUmfCXgI8ELF2A_4_4"/>
      <w:bookmarkStart w:id="1927" w:name="Tc_qE_DdQpr_EGZZSwn_9v0Zw_4_2"/>
      <w:bookmarkStart w:id="1928" w:name="Tc_5gQSZ_cG_kaDuerQnEp6TQ_3_8"/>
      <w:bookmarkStart w:id="1929" w:name="Tc_VsfU8goe1UexFcztl4m72w_3_6"/>
      <w:bookmarkStart w:id="1930" w:name="Tc_ZKTw6TcoYEa72A1WX72t4Q_3_4"/>
      <w:bookmarkStart w:id="1931" w:name="Tc_3ldggXHOdEyZxDnEEsT63w_3_2"/>
      <w:bookmarkStart w:id="1932" w:name="Tc_Dth9TRvIRk-JHWE_QzbxEA_2_8"/>
      <w:bookmarkStart w:id="1933" w:name="Tc_5CNqAzHpoEaK81WGz_30kA_2_6"/>
      <w:bookmarkStart w:id="1934" w:name="Tc_RyKRNoPfYkigS6sbapJF8A_2_4"/>
      <w:bookmarkStart w:id="1935" w:name="Tc_9IOOGVYWBUq7EdAurX2Bww_2_2"/>
      <w:bookmarkStart w:id="1936" w:name="Tc_78RYFFSAyEuPW2hmXbf84Q_1_6"/>
      <w:bookmarkStart w:id="1937" w:name="Tc_8SQa3DXwNE2Q_tzV8ktbPA_1_4"/>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r>
        <w:rPr>
          <w:rFonts w:ascii="Times New Roman;Times;serif" w:hAnsi="Times New Roman;Times;serif"/>
          <w:sz w:val="20"/>
        </w:rPr>
        <w:t>Before the completion of Subsidiary A’s possible future initial public offering and listing, its employees are entitled to convert the vested share options to the Class A ordinary shares of the Company at a fixed conversion rate. The corresponding share options will be cancelled if the conversion right is exercised.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activities of A Plan for the year ended December 31, 2024:</w:t>
      </w:r>
    </w:p>
    <w:p>
      <w:pPr>
        <w:pStyle w:val="TextBody"/>
        <w:bidi w:val="0"/>
        <w:spacing w:before="0" w:after="0"/>
        <w:ind w:left="0" w:right="0" w:hanging="0"/>
        <w:jc w:val="left"/>
        <w:rPr/>
      </w:pPr>
      <w:r>
        <w:rPr/>
        <w:t>​</w:t>
      </w:r>
    </w:p>
    <w:tbl>
      <w:tblPr>
        <w:tblW w:w="8554" w:type="dxa"/>
        <w:jc w:val="left"/>
        <w:tblInd w:w="0" w:type="dxa"/>
        <w:tblLayout w:type="fixed"/>
        <w:tblCellMar>
          <w:top w:w="0" w:type="dxa"/>
          <w:left w:w="0" w:type="dxa"/>
          <w:bottom w:w="0" w:type="dxa"/>
          <w:right w:w="0" w:type="dxa"/>
        </w:tblCellMar>
      </w:tblPr>
      <w:tblGrid>
        <w:gridCol w:w="3166"/>
        <w:gridCol w:w="326"/>
        <w:gridCol w:w="1051"/>
        <w:gridCol w:w="326"/>
        <w:gridCol w:w="796"/>
        <w:gridCol w:w="326"/>
        <w:gridCol w:w="1321"/>
        <w:gridCol w:w="326"/>
        <w:gridCol w:w="91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10410" cy="175260"/>
                      <wp:effectExtent l="0" t="0" r="0" b="0"/>
                      <wp:wrapNone/>
                      <wp:docPr id="457" name="Frame454"/>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7010" cy="175260"/>
                      <wp:effectExtent l="0" t="0" r="0" b="0"/>
                      <wp:wrapNone/>
                      <wp:docPr id="458" name="Frame4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67385" cy="175260"/>
                      <wp:effectExtent l="0" t="0" r="0" b="0"/>
                      <wp:wrapNone/>
                      <wp:docPr id="459" name="Frame45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07010" cy="175260"/>
                      <wp:effectExtent l="0" t="0" r="0" b="0"/>
                      <wp:wrapNone/>
                      <wp:docPr id="460" name="Frame4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505460" cy="175260"/>
                      <wp:effectExtent l="0" t="0" r="0" b="0"/>
                      <wp:wrapNone/>
                      <wp:docPr id="461" name="Frame45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7010" cy="175260"/>
                      <wp:effectExtent l="0" t="0" r="0" b="0"/>
                      <wp:wrapNone/>
                      <wp:docPr id="462" name="Frame4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838835" cy="175260"/>
                      <wp:effectExtent l="0" t="0" r="0" b="0"/>
                      <wp:wrapNone/>
                      <wp:docPr id="463" name="Frame460"/>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07010" cy="175260"/>
                      <wp:effectExtent l="0" t="0" r="0" b="0"/>
                      <wp:wrapNone/>
                      <wp:docPr id="464" name="Frame4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581660" cy="175260"/>
                      <wp:effectExtent l="0" t="0" r="0" b="0"/>
                      <wp:wrapNone/>
                      <wp:docPr id="465" name="Frame46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center"/>
              <w:rPr/>
            </w:pPr>
            <w:r>
              <w:rPr/>
              <w:t>​</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r>
      <w:tr>
        <w:trPr/>
        <w:tc>
          <w:tcPr>
            <w:tcW w:w="3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center"/>
              <w:rPr/>
            </w:pPr>
            <w:r>
              <w:rPr/>
              <w:t>​</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center"/>
              <w:rPr/>
            </w:pPr>
            <w:r>
              <w:rPr/>
              <w:t>​</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1"/>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1"/>
              <w:ind w:left="0" w:right="0" w:hanging="0"/>
              <w:jc w:val="center"/>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 Life</w:t>
            </w:r>
          </w:p>
        </w:tc>
        <w:tc>
          <w:tcPr>
            <w:tcW w:w="326" w:type="dxa"/>
            <w:tcBorders/>
            <w:vAlign w:val="center"/>
          </w:tcPr>
          <w:p>
            <w:pPr>
              <w:pStyle w:val="TableContents"/>
              <w:bidi w:val="0"/>
              <w:spacing w:before="0" w:after="1"/>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1"/>
              <w:ind w:left="0" w:right="0" w:hanging="0"/>
              <w:jc w:val="center"/>
              <w:rPr/>
            </w:pPr>
            <w:r>
              <w:rPr/>
              <w:t>    </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vAlign w:val="center"/>
          </w:tcPr>
          <w:p>
            <w:pPr>
              <w:pStyle w:val="TableContents"/>
              <w:bidi w:val="0"/>
              <w:spacing w:before="0" w:after="1"/>
              <w:ind w:left="0" w:right="0" w:hanging="0"/>
              <w:jc w:val="center"/>
              <w:rPr/>
            </w:pPr>
            <w:r>
              <w:rPr/>
              <w:t>    </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29,004,500</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0.00001</w:t>
            </w:r>
          </w:p>
        </w:tc>
        <w:tc>
          <w:tcPr>
            <w:tcW w:w="326" w:type="dxa"/>
            <w:tcBorders/>
            <w:shd w:fill="CCEEFF" w:val="clear"/>
            <w:vAlign w:val="center"/>
          </w:tcPr>
          <w:p>
            <w:pPr>
              <w:pStyle w:val="TableContents"/>
              <w:bidi w:val="0"/>
              <w:spacing w:before="0" w:after="1"/>
              <w:ind w:left="0" w:right="0" w:hanging="0"/>
              <w:jc w:val="left"/>
              <w:rPr/>
            </w:pPr>
            <w:r>
              <w:rPr/>
              <w:t> </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7.87</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43,526</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20,715,502</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0.00001</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(4,651,285)</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(1,974,188)</w:t>
            </w:r>
          </w:p>
        </w:tc>
        <w:tc>
          <w:tcPr>
            <w:tcW w:w="32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43,094,529</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0.00001</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47,950</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years ended December 31, 2022, 2023 and 2024, the weighted average grant date fair values of options granted were US$1.12, US$1.10 and US$1.10 per share, respectively. The estimated fair value of each option granted is estimated on the date of grant using the binominal option-pricing model with the assumptions (or ranges thereof) in the following table:</w:t>
      </w:r>
    </w:p>
    <w:p>
      <w:pPr>
        <w:pStyle w:val="TextBody"/>
        <w:bidi w:val="0"/>
        <w:spacing w:before="0" w:after="0"/>
        <w:ind w:left="0" w:right="0" w:hanging="0"/>
        <w:jc w:val="left"/>
        <w:rPr/>
      </w:pPr>
      <w:r>
        <w:rPr/>
        <w:t>​</w:t>
      </w:r>
    </w:p>
    <w:tbl>
      <w:tblPr>
        <w:tblW w:w="7709" w:type="dxa"/>
        <w:jc w:val="left"/>
        <w:tblInd w:w="0" w:type="dxa"/>
        <w:tblLayout w:type="fixed"/>
        <w:tblCellMar>
          <w:top w:w="0" w:type="dxa"/>
          <w:left w:w="0" w:type="dxa"/>
          <w:bottom w:w="0" w:type="dxa"/>
          <w:right w:w="0" w:type="dxa"/>
        </w:tblCellMar>
      </w:tblPr>
      <w:tblGrid>
        <w:gridCol w:w="5431"/>
        <w:gridCol w:w="326"/>
        <w:gridCol w:w="1636"/>
        <w:gridCol w:w="316"/>
      </w:tblGrid>
      <w:tr>
        <w:trPr/>
        <w:tc>
          <w:tcPr>
            <w:tcW w:w="5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3448685" cy="175260"/>
                      <wp:effectExtent l="0" t="0" r="0" b="0"/>
                      <wp:wrapNone/>
                      <wp:docPr id="466" name="Frame463"/>
                      <a:graphic xmlns:a="http://schemas.openxmlformats.org/drawingml/2006/main">
                        <a:graphicData uri="http://schemas.microsoft.com/office/word/2010/wordprocessingShape">
                          <wps:wsp>
                            <wps:cNvSpPr txBox="1"/>
                            <wps:spPr>
                              <a:xfrm>
                                <a:off x="0" y="0"/>
                                <a:ext cx="3448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07010" cy="175260"/>
                      <wp:effectExtent l="0" t="0" r="0" b="0"/>
                      <wp:wrapNone/>
                      <wp:docPr id="467" name="Frame4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038860" cy="175260"/>
                      <wp:effectExtent l="0" t="0" r="0" b="0"/>
                      <wp:wrapNone/>
                      <wp:docPr id="468" name="Frame465"/>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00660" cy="175260"/>
                      <wp:effectExtent l="0" t="0" r="0" b="0"/>
                      <wp:wrapNone/>
                      <wp:docPr id="469" name="Frame46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6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c>
          <w:tcPr>
            <w:tcW w:w="316" w:type="dxa"/>
            <w:tcBorders/>
            <w:vAlign w:val="center"/>
          </w:tcPr>
          <w:p>
            <w:pPr>
              <w:pStyle w:val="TableContents"/>
              <w:bidi w:val="0"/>
              <w:spacing w:before="0" w:after="1"/>
              <w:ind w:left="0" w:right="0" w:hanging="0"/>
              <w:jc w:val="center"/>
              <w:rPr/>
            </w:pPr>
            <w:r>
              <w:rPr/>
              <w:t> </w:t>
            </w:r>
          </w:p>
        </w:tc>
      </w:tr>
      <w:tr>
        <w:trPr/>
        <w:tc>
          <w:tcPr>
            <w:tcW w:w="54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16" w:type="dxa"/>
            <w:tcBorders/>
            <w:vAlign w:val="center"/>
          </w:tcPr>
          <w:p>
            <w:pPr>
              <w:pStyle w:val="TableContents"/>
              <w:bidi w:val="0"/>
              <w:spacing w:before="0" w:after="1"/>
              <w:ind w:left="0" w:right="0" w:hanging="0"/>
              <w:jc w:val="center"/>
              <w:rPr/>
            </w:pPr>
            <w:r>
              <w:rPr/>
              <w:t> </w:t>
            </w:r>
          </w:p>
        </w:tc>
      </w:tr>
      <w:tr>
        <w:trPr/>
        <w:tc>
          <w:tcPr>
            <w:tcW w:w="54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 2023 and 2024</w:t>
            </w:r>
          </w:p>
        </w:tc>
        <w:tc>
          <w:tcPr>
            <w:tcW w:w="316" w:type="dxa"/>
            <w:tcBorders/>
            <w:vAlign w:val="center"/>
          </w:tcPr>
          <w:p>
            <w:pPr>
              <w:pStyle w:val="TableContents"/>
              <w:bidi w:val="0"/>
              <w:spacing w:before="0" w:after="1"/>
              <w:ind w:left="0" w:right="0" w:hanging="0"/>
              <w:jc w:val="center"/>
              <w:rPr/>
            </w:pPr>
            <w:r>
              <w:rPr/>
              <w:t> </w:t>
            </w:r>
          </w:p>
        </w:tc>
      </w:tr>
      <w:tr>
        <w:trPr/>
        <w:tc>
          <w:tcPr>
            <w:tcW w:w="54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of the ordinary shares on the date of option grant (US$)</w:t>
            </w:r>
          </w:p>
        </w:tc>
        <w:tc>
          <w:tcPr>
            <w:tcW w:w="326" w:type="dxa"/>
            <w:tcBorders/>
            <w:shd w:fill="CCEEFF" w:val="clear"/>
            <w:vAlign w:val="center"/>
          </w:tcPr>
          <w:p>
            <w:pPr>
              <w:pStyle w:val="TableContents"/>
              <w:bidi w:val="0"/>
              <w:spacing w:before="0" w:after="1"/>
              <w:ind w:left="0" w:right="0" w:hanging="0"/>
              <w:jc w:val="left"/>
              <w:rPr/>
            </w:pPr>
            <w:r>
              <w:rPr/>
              <w:t> </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1.00-1.01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4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vAlign w:val="center"/>
          </w:tcPr>
          <w:p>
            <w:pPr>
              <w:pStyle w:val="TableContents"/>
              <w:bidi w:val="0"/>
              <w:spacing w:before="0" w:after="1"/>
              <w:ind w:left="0" w:right="0" w:hanging="0"/>
              <w:jc w:val="left"/>
              <w:rPr/>
            </w:pPr>
            <w:r>
              <w:rPr/>
              <w:t> </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4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326" w:type="dxa"/>
            <w:tcBorders/>
            <w:shd w:fill="CCEEFF" w:val="clear"/>
            <w:vAlign w:val="center"/>
          </w:tcPr>
          <w:p>
            <w:pPr>
              <w:pStyle w:val="TableContents"/>
              <w:bidi w:val="0"/>
              <w:spacing w:before="0" w:after="1"/>
              <w:ind w:left="0" w:right="0" w:hanging="0"/>
              <w:jc w:val="left"/>
              <w:rPr/>
            </w:pPr>
            <w:r>
              <w:rPr/>
              <w:t> </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4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vAlign w:val="center"/>
          </w:tcPr>
          <w:p>
            <w:pPr>
              <w:pStyle w:val="TableContents"/>
              <w:bidi w:val="0"/>
              <w:spacing w:before="0" w:after="1"/>
              <w:ind w:left="0" w:right="0" w:hanging="0"/>
              <w:jc w:val="left"/>
              <w:rPr/>
            </w:pPr>
            <w:r>
              <w:rPr/>
              <w:t> </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4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1"/>
              <w:ind w:left="0" w:right="0" w:hanging="0"/>
              <w:jc w:val="left"/>
              <w:rPr/>
            </w:pPr>
            <w:r>
              <w:rPr/>
              <w:t> </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4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forfeiture rate (post-vesting)</w:t>
            </w:r>
          </w:p>
        </w:tc>
        <w:tc>
          <w:tcPr>
            <w:tcW w:w="326" w:type="dxa"/>
            <w:tcBorders/>
            <w:vAlign w:val="center"/>
          </w:tcPr>
          <w:p>
            <w:pPr>
              <w:pStyle w:val="TableContents"/>
              <w:bidi w:val="0"/>
              <w:spacing w:before="0" w:after="1"/>
              <w:ind w:left="0" w:right="0" w:hanging="0"/>
              <w:jc w:val="left"/>
              <w:rPr/>
            </w:pPr>
            <w:r>
              <w:rPr/>
              <w:t> </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2024, there was RMB259,285 of unrecognized share-based compensation expenses related to the share options granted. The expenses were expected to be recognized over a weighted-average period of 2.05 years.</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24.  Taxation</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(a) Income taxes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Cayman Islands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was incorporated in the Cayman Islands and conducts most of its business through its subsidiaries located in Mainland China, Hong Kong, United States, United Kingdom, Germany, Norway and Netherlands. Under the current laws of the Cayman Islands, the Company is not subject to tax on either income or capital gain. Additionally, upon payments of dividends to the shareholders, no Cayman Islands withholding tax will be imposed.</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PRC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Effective January 1, 2008, the Enterprise Income Tax Law (the “EIT Law”) in China unifies the enterprise income tax rate for the entities incorporated in China at 25%, unless they are eligible for preferential tax treatment, which will be granted to companies conducting businesses in certain encouraged sectors. NIO R&amp;D, the Company’s subsidiary engaging in design and technology development activities, was qualified as a “high and new technology enterprise” (“HNTE”) for the fiscal years from 2022 to 2024, which entitled the entity a preferential tax rate of 15%. The qualification as HNTE is subject to self-evaluation, and the relevant documents should be retained for future examination purpose. Upon the expiration of qualification, re-accreditation of certification from the relevant authorities is necessary for the entities to continue enjoying the preferential tax treatment. The remaining Chinese companies are subject to enterprise income tax (“EIT”) at a uniform rate of 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bookmarkStart w:id="1938" w:name="Tc_DsOfYxk2bkiFfByzubUrSA_5_0"/>
      <w:bookmarkStart w:id="1939" w:name="Tc_Xm2SJOaqqEGNQBMPTqtfQg_4_0"/>
      <w:bookmarkStart w:id="1940" w:name="Tc_4rDM3B1pf0GUYvLGMp0C0w_3_0"/>
      <w:bookmarkStart w:id="1941" w:name="Tc_S1RH3jahekykhs6WsBBwiw_2_6"/>
      <w:bookmarkStart w:id="1942" w:name="Tc_eAvyo6H8-0-qyZ54mkdcgA_2_4"/>
      <w:bookmarkStart w:id="1943" w:name="Tc_OZIRMJ_89E2NFMCGU9YOXA_2_2"/>
      <w:bookmarkStart w:id="1944" w:name="Tc_ZgQEnzsJQ0eLzBfTX8NKpA_1_2"/>
      <w:bookmarkStart w:id="1945" w:name="Tc_hATTAMZ5M0ufZkGJhLdtYw_7_7"/>
      <w:bookmarkStart w:id="1946" w:name="Tc_7cVcrS-aW0aOyTydnyCTMg_7_5"/>
      <w:bookmarkStart w:id="1947" w:name="Tc_CRXnmhgX00CrEzym_zHKqA_7_3"/>
      <w:bookmarkStart w:id="1948" w:name="Tc_tc0GIa2un0qMcOfLjxn0HQ_7_0"/>
      <w:bookmarkStart w:id="1949" w:name="Tc_KQVSUi21w0mr4rN8Rgpt5A_6_7"/>
      <w:bookmarkStart w:id="1950" w:name="Tc_4w2g3uuEsU-yWUlcbVsGGA_6_5"/>
      <w:bookmarkStart w:id="1951" w:name="Tc_Sjt8HJFilUWMxcSPiPAkIg_6_3"/>
      <w:bookmarkStart w:id="1952" w:name="Tc_bPZPiZPV8EmGnsfSfQM9eg_6_0"/>
      <w:bookmarkStart w:id="1953" w:name="Tc_OPHHxkAGXEm44jv-RrBd5Q_5_7"/>
      <w:bookmarkStart w:id="1954" w:name="Tc_uFOoe4pInUaqJxE9TNP5NA_5_5"/>
      <w:bookmarkStart w:id="1955" w:name="Tc_1galv9e0sky8_axjIQjDbQ_5_3"/>
      <w:bookmarkStart w:id="1956" w:name="Tc_n8gYy31UyEuN_-cVeIyM7g_5_0"/>
      <w:bookmarkStart w:id="1957" w:name="Tc_CCazeEPtIE6DAMmOQUTyqQ_4_7"/>
      <w:bookmarkStart w:id="1958" w:name="Tc_Qiakq4smSEqJDBTBIe75EA_4_5"/>
      <w:bookmarkStart w:id="1959" w:name="Tc_1AeCCFSP5UyO_sALc0a04A_4_3"/>
      <w:bookmarkStart w:id="1960" w:name="Tc_G6TdQwb1HU-BUkf2PLh1qw_4_0"/>
      <w:bookmarkStart w:id="1961" w:name="Tc_UKONIxkjE0udeovA0D8h3A_3_7"/>
      <w:bookmarkStart w:id="1962" w:name="Tc_Z-NN0BdZSkahU56Y29IYrQ_3_5"/>
      <w:bookmarkStart w:id="1963" w:name="Tc_lmxz6ZsAnU-9T3j6P3jpig_3_3"/>
      <w:bookmarkStart w:id="1964" w:name="Tc_9VvRJBZuxEmwkzAsa-GYww_3_0"/>
      <w:bookmarkStart w:id="1965" w:name="Tc_m-cK05-H-USel1Kx25-VsQ_2_6"/>
      <w:bookmarkStart w:id="1966" w:name="Tc_trQ2TGQAh06i1uZbarXi9w_2_4"/>
      <w:bookmarkStart w:id="1967" w:name="Tc_jBnGN9RuSUq951nEVe5jGw_2_2"/>
      <w:bookmarkStart w:id="1968" w:name="Tc_tr4FZObbzE6K_FxNPTaiEQ_1_2"/>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r>
        <w:rPr>
          <w:rFonts w:ascii="Times New Roman;Times;serif" w:hAnsi="Times New Roman;Times;serif"/>
          <w:sz w:val="20"/>
        </w:rPr>
        <w:t>Under the EIT Law enacted by the National People’s Congress of PRC on March 16, 2007 and its implementation rules which became effective on January 1, 2008, dividends generated after January 1, 2008 and payable by a foreign investment enterprise in the PRC to its foreign investors who are non-resident enterprises are subject to a 10% withholding tax, unless any such foreign investor’s jurisdiction of incorporation has a tax treaty with the PRC that provides for a different withholding arrangement. Under the taxation arrangement between the PRC and Hong Kong, a qualified Hong Kong tax resident which is the “beneficial owner” and directly holds 25% or more of the equity interest in a PRC resident enterprise is entitled to a reduced withholding tax rate of 5%. The Cayman Islands, where the Company was incorporated, does not have a tax treaty with PRC.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 Based on a review of surrounding facts and circumstances, the Group does not believe that it is likely that its operations outside of the PRC will be considered a resident enterprise for PRC tax purposes. However, due to limited guidance and implementation history of the EIT Law, there is uncertainty as to the application of the EIT Law. Should the Company be treated as a resident enterprise for PRC tax purposes, the Company will be subject to PRC income tax on worldwide income at a uniform tax rate of 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relevant laws and regulations promulgated by the State Administration of Tax of the PRC effective from 2023 onwards, enterprises engaging in research and development activities are entitled to claim 200% of their qualified research and development expenses so incurred as tax deductible expenses when determining their assessable profits for the year (‘Super Deduction’). The additional deduction of 100% of qualified research and development expenses can only be claimed directly in the annual EIT filing and subject to the approval from the relevant tax authorities.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Hong Kong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current Hong Kong Inland Revenue Ordinance, the subsidiaries of the Group incorporated in Hong Kong are subject to 8.25% profit tax on the first HKD2,000 taxable income and 16.5% profit tax on the remaining taxable income generated from operations in Hong Kong. Additionally, payments of dividends by the subsidiaries incorporated in Hong Kong to the Company are not subject to any Hong Kong withholding tax.</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Other Countries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statutory income tax rates of other countries where the Company’s subsidiaries having significant operations for the years ended December 31, 2022, 2023 and 2024 are as follows:</w:t>
      </w:r>
    </w:p>
    <w:p>
      <w:pPr>
        <w:pStyle w:val="TextBody"/>
        <w:bidi w:val="0"/>
        <w:spacing w:before="0" w:after="240"/>
        <w:ind w:left="0" w:right="0" w:firstLine="360"/>
        <w:jc w:val="both"/>
        <w:rPr/>
      </w:pPr>
      <w:r>
        <w:rPr/>
        <w:t>​</w:t>
      </w:r>
    </w:p>
    <w:tbl>
      <w:tblPr>
        <w:tblW w:w="4806" w:type="dxa"/>
        <w:jc w:val="left"/>
        <w:tblInd w:w="0" w:type="dxa"/>
        <w:tblLayout w:type="fixed"/>
        <w:tblCellMar>
          <w:top w:w="0" w:type="dxa"/>
          <w:left w:w="0" w:type="dxa"/>
          <w:bottom w:w="0" w:type="dxa"/>
          <w:right w:w="0" w:type="dxa"/>
        </w:tblCellMar>
      </w:tblPr>
      <w:tblGrid>
        <w:gridCol w:w="1486"/>
        <w:gridCol w:w="326"/>
        <w:gridCol w:w="615"/>
        <w:gridCol w:w="389"/>
        <w:gridCol w:w="615"/>
        <w:gridCol w:w="389"/>
        <w:gridCol w:w="615"/>
        <w:gridCol w:w="371"/>
      </w:tblGrid>
      <w:tr>
        <w:trPr/>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943610" cy="175260"/>
                      <wp:effectExtent l="0" t="0" r="0" b="0"/>
                      <wp:wrapNone/>
                      <wp:docPr id="470" name="Frame467"/>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07010" cy="175260"/>
                      <wp:effectExtent l="0" t="0" r="0" b="0"/>
                      <wp:wrapNone/>
                      <wp:docPr id="471" name="Frame4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390525" cy="175260"/>
                      <wp:effectExtent l="0" t="0" r="0" b="0"/>
                      <wp:wrapNone/>
                      <wp:docPr id="472" name="Frame469"/>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47015" cy="175260"/>
                      <wp:effectExtent l="0" t="0" r="0" b="0"/>
                      <wp:wrapNone/>
                      <wp:docPr id="473" name="Frame470"/>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390525" cy="175260"/>
                      <wp:effectExtent l="0" t="0" r="0" b="0"/>
                      <wp:wrapNone/>
                      <wp:docPr id="474" name="Frame471"/>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47015" cy="175260"/>
                      <wp:effectExtent l="0" t="0" r="0" b="0"/>
                      <wp:wrapNone/>
                      <wp:docPr id="475" name="Frame472"/>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390525" cy="175260"/>
                      <wp:effectExtent l="0" t="0" r="0" b="0"/>
                      <wp:wrapNone/>
                      <wp:docPr id="476" name="Frame473"/>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35585" cy="175260"/>
                      <wp:effectExtent l="0" t="0" r="0" b="0"/>
                      <wp:wrapNone/>
                      <wp:docPr id="477" name="Frame474"/>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c>
          <w:tcPr>
            <w:tcW w:w="371" w:type="dxa"/>
            <w:tcBorders/>
            <w:vAlign w:val="center"/>
          </w:tcPr>
          <w:p>
            <w:pPr>
              <w:pStyle w:val="TableContents"/>
              <w:bidi w:val="0"/>
              <w:spacing w:before="0" w:after="0"/>
              <w:ind w:left="0" w:right="0" w:hanging="0"/>
              <w:jc w:val="left"/>
              <w:rPr/>
            </w:pPr>
            <w:r>
              <w:rPr/>
              <w:t>​</w:t>
            </w:r>
          </w:p>
        </w:tc>
      </w:tr>
      <w:tr>
        <w:trPr/>
        <w:tc>
          <w:tcPr>
            <w:tcW w:w="1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89" w:type="dxa"/>
            <w:tcBorders/>
            <w:vAlign w:val="center"/>
          </w:tcPr>
          <w:p>
            <w:pPr>
              <w:pStyle w:val="TableContents"/>
              <w:bidi w:val="0"/>
              <w:spacing w:before="0" w:after="0"/>
              <w:ind w:left="0" w:right="0" w:hanging="0"/>
              <w:jc w:val="left"/>
              <w:rPr/>
            </w:pPr>
            <w:r>
              <w:rPr/>
              <w:t>    </w:t>
            </w:r>
          </w:p>
        </w:tc>
        <w:tc>
          <w:tcPr>
            <w:tcW w:w="6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9" w:type="dxa"/>
            <w:tcBorders/>
            <w:vAlign w:val="center"/>
          </w:tcPr>
          <w:p>
            <w:pPr>
              <w:pStyle w:val="TableContents"/>
              <w:bidi w:val="0"/>
              <w:spacing w:before="0" w:after="0"/>
              <w:ind w:left="0" w:right="0" w:hanging="0"/>
              <w:jc w:val="left"/>
              <w:rPr/>
            </w:pPr>
            <w:r>
              <w:rPr/>
              <w:t>    </w:t>
            </w:r>
          </w:p>
        </w:tc>
        <w:tc>
          <w:tcPr>
            <w:tcW w:w="6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1" w:type="dxa"/>
            <w:tcBorders/>
            <w:vAlign w:val="center"/>
          </w:tcPr>
          <w:p>
            <w:pPr>
              <w:pStyle w:val="TableContents"/>
              <w:bidi w:val="0"/>
              <w:spacing w:before="0" w:after="0"/>
              <w:ind w:left="0" w:right="0" w:hanging="0"/>
              <w:jc w:val="left"/>
              <w:rPr/>
            </w:pPr>
            <w:r>
              <w:rPr/>
              <w:t>    </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left"/>
              <w:rPr/>
            </w:pPr>
            <w:r>
              <w:rPr/>
              <w:t> </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29.84</w:t>
            </w:r>
          </w:p>
        </w:tc>
        <w:tc>
          <w:tcPr>
            <w:tcW w:w="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29.84</w:t>
            </w:r>
          </w:p>
        </w:tc>
        <w:tc>
          <w:tcPr>
            <w:tcW w:w="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29.84</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326" w:type="dxa"/>
            <w:tcBorders/>
            <w:vAlign w:val="center"/>
          </w:tcPr>
          <w:p>
            <w:pPr>
              <w:pStyle w:val="TableContents"/>
              <w:bidi w:val="0"/>
              <w:spacing w:before="0" w:after="0"/>
              <w:ind w:left="0" w:right="0" w:hanging="0"/>
              <w:jc w:val="left"/>
              <w:rPr/>
            </w:pPr>
            <w:r>
              <w:rPr/>
              <w:t> </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w:t>
            </w:r>
          </w:p>
        </w:tc>
        <w:tc>
          <w:tcPr>
            <w:tcW w:w="3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w:t>
            </w:r>
          </w:p>
        </w:tc>
        <w:tc>
          <w:tcPr>
            <w:tcW w:w="3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w:t>
            </w:r>
          </w:p>
        </w:tc>
        <w:tc>
          <w:tcPr>
            <w:tcW w:w="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c>
          <w:tcPr>
            <w:tcW w:w="326" w:type="dxa"/>
            <w:tcBorders/>
            <w:shd w:fill="CCEEFF" w:val="clear"/>
            <w:vAlign w:val="center"/>
          </w:tcPr>
          <w:p>
            <w:pPr>
              <w:pStyle w:val="TableContents"/>
              <w:bidi w:val="0"/>
              <w:spacing w:before="0" w:after="0"/>
              <w:ind w:left="0" w:right="0" w:hanging="0"/>
              <w:jc w:val="left"/>
              <w:rPr/>
            </w:pPr>
            <w:r>
              <w:rPr/>
              <w:t> </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32.98</w:t>
            </w:r>
          </w:p>
        </w:tc>
        <w:tc>
          <w:tcPr>
            <w:tcW w:w="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32.98</w:t>
            </w:r>
          </w:p>
        </w:tc>
        <w:tc>
          <w:tcPr>
            <w:tcW w:w="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32.98</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Norway</w:t>
            </w:r>
          </w:p>
        </w:tc>
        <w:tc>
          <w:tcPr>
            <w:tcW w:w="3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c>
          <w:tcPr>
            <w:tcW w:w="3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c>
          <w:tcPr>
            <w:tcW w:w="3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c>
          <w:tcPr>
            <w:tcW w:w="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Netherlands</w:t>
            </w:r>
          </w:p>
        </w:tc>
        <w:tc>
          <w:tcPr>
            <w:tcW w:w="32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25.80</w:t>
            </w:r>
          </w:p>
        </w:tc>
        <w:tc>
          <w:tcPr>
            <w:tcW w:w="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25.80</w:t>
            </w:r>
          </w:p>
        </w:tc>
        <w:tc>
          <w:tcPr>
            <w:tcW w:w="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25.80</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Composition of income tax expense for the periods presented are as follows:</w:t>
      </w:r>
    </w:p>
    <w:p>
      <w:pPr>
        <w:pStyle w:val="TextBody"/>
        <w:bidi w:val="0"/>
        <w:spacing w:before="0" w:after="240"/>
        <w:ind w:left="0" w:right="0" w:firstLine="360"/>
        <w:jc w:val="both"/>
        <w:rPr/>
      </w:pPr>
      <w:r>
        <w:rPr/>
        <w:t>​</w:t>
      </w:r>
    </w:p>
    <w:tbl>
      <w:tblPr>
        <w:tblW w:w="6502" w:type="dxa"/>
        <w:jc w:val="left"/>
        <w:tblInd w:w="0" w:type="dxa"/>
        <w:tblLayout w:type="fixed"/>
        <w:tblCellMar>
          <w:top w:w="0" w:type="dxa"/>
          <w:left w:w="0" w:type="dxa"/>
          <w:bottom w:w="0" w:type="dxa"/>
          <w:right w:w="0" w:type="dxa"/>
        </w:tblCellMar>
      </w:tblPr>
      <w:tblGrid>
        <w:gridCol w:w="3211"/>
        <w:gridCol w:w="326"/>
        <w:gridCol w:w="691"/>
        <w:gridCol w:w="326"/>
        <w:gridCol w:w="781"/>
        <w:gridCol w:w="326"/>
        <w:gridCol w:w="841"/>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038985" cy="175260"/>
                      <wp:effectExtent l="0" t="0" r="0" b="0"/>
                      <wp:wrapNone/>
                      <wp:docPr id="478" name="Frame475"/>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07010" cy="175260"/>
                      <wp:effectExtent l="0" t="0" r="0" b="0"/>
                      <wp:wrapNone/>
                      <wp:docPr id="479" name="Frame4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438785" cy="175260"/>
                      <wp:effectExtent l="0" t="0" r="0" b="0"/>
                      <wp:wrapNone/>
                      <wp:docPr id="480" name="Frame47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07010" cy="175260"/>
                      <wp:effectExtent l="0" t="0" r="0" b="0"/>
                      <wp:wrapNone/>
                      <wp:docPr id="481" name="Frame4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495935" cy="175260"/>
                      <wp:effectExtent l="0" t="0" r="0" b="0"/>
                      <wp:wrapNone/>
                      <wp:docPr id="482" name="Frame4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07010" cy="175260"/>
                      <wp:effectExtent l="0" t="0" r="0" b="0"/>
                      <wp:wrapNone/>
                      <wp:docPr id="483" name="Frame4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534035" cy="175260"/>
                      <wp:effectExtent l="0" t="0" r="0" b="0"/>
                      <wp:wrapNone/>
                      <wp:docPr id="484" name="Frame48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62,348</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59,943</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62,065</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(benefit)/expense</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(7,245)</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200,892</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(84,880)</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55,103</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260,835</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(22,815)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0"/>
        <w:ind w:left="0" w:right="0" w:firstLine="360"/>
        <w:jc w:val="both"/>
        <w:rPr>
          <w:rFonts w:ascii="Times New Roman;Times;serif" w:hAnsi="Times New Roman;Times;serif"/>
          <w:sz w:val="20"/>
        </w:rPr>
      </w:pPr>
      <w:bookmarkStart w:id="1969" w:name="Tc_96IkP-wD5kCjQ4dyDMskcA_15_0"/>
      <w:bookmarkStart w:id="1970" w:name="Tc_ewMw0DStI0G2ja2TgHKNYQ_14_0"/>
      <w:bookmarkStart w:id="1971" w:name="Tc_db-MytbjwUKzZ0SOCvZp_Q_13_0"/>
      <w:bookmarkStart w:id="1972" w:name="Tc_3nVLRhnC8kqwsDfWjWy4yA_12_6"/>
      <w:bookmarkStart w:id="1973" w:name="Tc_8dacDVnOckm78qSKpSNt5w_12_4"/>
      <w:bookmarkStart w:id="1974" w:name="Tc_AOoAltR_tk-wzCU52RR42w_12_0"/>
      <w:bookmarkStart w:id="1975" w:name="Tc_mMVT7UP4FUW8tU1a91id5g_11_0"/>
      <w:bookmarkStart w:id="1976" w:name="Tc_Glz_aKYomECAHGF7EAeqlg_10_0"/>
      <w:bookmarkStart w:id="1977" w:name="Tc_10c02OEZN0ahOZiXJ0I_DQ_9_0"/>
      <w:bookmarkStart w:id="1978" w:name="Tc_3rKhKCvvWEy1mrwUUpsfZg_8_6"/>
      <w:bookmarkStart w:id="1979" w:name="Tc_Ab0dAlBnKkKyiCUvDhxHuA_8_4"/>
      <w:bookmarkStart w:id="1980" w:name="Tc_UO4xa-ySTkCp9Lcj3uNvkA_8_0"/>
      <w:bookmarkStart w:id="1981" w:name="Tc_djw6KKjF9E68WLgq72xRpQ_7_0"/>
      <w:bookmarkStart w:id="1982" w:name="Tc_3NLbY1xAg0O32w_KUqlZpA_6_0"/>
      <w:bookmarkStart w:id="1983" w:name="Tc_X4-n6Eq7rkCkrxj2-zh3Yw_5_0"/>
      <w:bookmarkStart w:id="1984" w:name="Tc_YV6vb7Kt-kyOWJvJCgh0xw_4_0"/>
      <w:bookmarkStart w:id="1985" w:name="Tc_tBjiumOkhkmWQg2SHp-LXg_3_0"/>
      <w:bookmarkStart w:id="1986" w:name="Tc_s-Jdi3SiKUe3lrysbsuBfQ_2_6"/>
      <w:bookmarkStart w:id="1987" w:name="Tc_w2SMfQyFYEu3GuFyslON3w_2_4"/>
      <w:bookmarkStart w:id="1988" w:name="Tc_XatXTC19uESvCstnXE3pZA_2_2"/>
      <w:bookmarkStart w:id="1989" w:name="Tc_xdXzNBvUaUuDxCncXXuZiw_1_2"/>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r>
        <w:rPr>
          <w:rFonts w:ascii="Times New Roman;Times;serif" w:hAnsi="Times New Roman;Times;serif"/>
          <w:sz w:val="20"/>
        </w:rPr>
        <w:t>Reconciliations of the income tax expense computed by applying the PRC statutory income tax rate of 25% to the Group’s income tax expense of the years presented are as follows: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5757"/>
        <w:gridCol w:w="326"/>
        <w:gridCol w:w="1141"/>
        <w:gridCol w:w="326"/>
        <w:gridCol w:w="1141"/>
        <w:gridCol w:w="326"/>
        <w:gridCol w:w="1188"/>
      </w:tblGrid>
      <w:tr>
        <w:trPr/>
        <w:tc>
          <w:tcPr>
            <w:tcW w:w="5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3655695" cy="175260"/>
                      <wp:effectExtent l="0" t="0" r="0" b="0"/>
                      <wp:wrapNone/>
                      <wp:docPr id="485" name="Frame482"/>
                      <a:graphic xmlns:a="http://schemas.openxmlformats.org/drawingml/2006/main">
                        <a:graphicData uri="http://schemas.microsoft.com/office/word/2010/wordprocessingShape">
                          <wps:wsp>
                            <wps:cNvSpPr txBox="1"/>
                            <wps:spPr>
                              <a:xfrm>
                                <a:off x="0" y="0"/>
                                <a:ext cx="3655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07010" cy="175260"/>
                      <wp:effectExtent l="0" t="0" r="0" b="0"/>
                      <wp:wrapNone/>
                      <wp:docPr id="486" name="Frame4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724535" cy="175260"/>
                      <wp:effectExtent l="0" t="0" r="0" b="0"/>
                      <wp:wrapNone/>
                      <wp:docPr id="487" name="Frame48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07010" cy="175260"/>
                      <wp:effectExtent l="0" t="0" r="0" b="0"/>
                      <wp:wrapNone/>
                      <wp:docPr id="488" name="Frame4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724535" cy="175260"/>
                      <wp:effectExtent l="0" t="0" r="0" b="0"/>
                      <wp:wrapNone/>
                      <wp:docPr id="489" name="Frame48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07010" cy="175260"/>
                      <wp:effectExtent l="0" t="0" r="0" b="0"/>
                      <wp:wrapNone/>
                      <wp:docPr id="490" name="Frame4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754380" cy="175260"/>
                      <wp:effectExtent l="0" t="0" r="0" b="0"/>
                      <wp:wrapNone/>
                      <wp:docPr id="491" name="Frame488"/>
                      <a:graphic xmlns:a="http://schemas.openxmlformats.org/drawingml/2006/main">
                        <a:graphicData uri="http://schemas.microsoft.com/office/word/2010/wordprocessingShape">
                          <wps:wsp>
                            <wps:cNvSpPr txBox="1"/>
                            <wps:spPr>
                              <a:xfrm>
                                <a:off x="0" y="0"/>
                                <a:ext cx="754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2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57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8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75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(14,382,001)</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(20,458,918)</w:t>
            </w:r>
          </w:p>
        </w:tc>
        <w:tc>
          <w:tcPr>
            <w:tcW w:w="326" w:type="dxa"/>
            <w:tcBorders/>
            <w:shd w:fill="CCEEFF" w:val="clear"/>
            <w:vAlign w:val="center"/>
          </w:tcPr>
          <w:p>
            <w:pPr>
              <w:pStyle w:val="TableContents"/>
              <w:bidi w:val="0"/>
              <w:spacing w:before="0" w:after="1"/>
              <w:ind w:left="0" w:right="0" w:hanging="0"/>
              <w:jc w:val="left"/>
              <w:rPr/>
            </w:pPr>
            <w:r>
              <w:rPr/>
              <w:t>​</w:t>
            </w:r>
          </w:p>
        </w:tc>
        <w:tc>
          <w:tcPr>
            <w:tcW w:w="11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(22,424,524)</w:t>
            </w:r>
          </w:p>
        </w:tc>
      </w:tr>
      <w:tr>
        <w:trPr/>
        <w:tc>
          <w:tcPr>
            <w:tcW w:w="575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 computed at PRC statutory income tax rate of 25%</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(3,595,500)</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(5,114,730)</w:t>
            </w:r>
          </w:p>
        </w:tc>
        <w:tc>
          <w:tcPr>
            <w:tcW w:w="326" w:type="dxa"/>
            <w:tcBorders/>
            <w:vAlign w:val="center"/>
          </w:tcPr>
          <w:p>
            <w:pPr>
              <w:pStyle w:val="TableContents"/>
              <w:bidi w:val="0"/>
              <w:spacing w:before="0" w:after="1"/>
              <w:ind w:left="0" w:right="0" w:hanging="0"/>
              <w:jc w:val="left"/>
              <w:rPr/>
            </w:pPr>
            <w:r>
              <w:rPr/>
              <w:t>​</w:t>
            </w:r>
          </w:p>
        </w:tc>
        <w:tc>
          <w:tcPr>
            <w:tcW w:w="11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(5,606,131)</w:t>
            </w:r>
          </w:p>
        </w:tc>
      </w:tr>
      <w:tr>
        <w:trPr/>
        <w:tc>
          <w:tcPr>
            <w:tcW w:w="575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Non-deductible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23,484</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58,852</w:t>
            </w:r>
          </w:p>
        </w:tc>
        <w:tc>
          <w:tcPr>
            <w:tcW w:w="326" w:type="dxa"/>
            <w:tcBorders/>
            <w:shd w:fill="CCEEFF" w:val="clear"/>
            <w:vAlign w:val="center"/>
          </w:tcPr>
          <w:p>
            <w:pPr>
              <w:pStyle w:val="TableContents"/>
              <w:bidi w:val="0"/>
              <w:spacing w:before="0" w:after="1"/>
              <w:ind w:left="0" w:right="0" w:hanging="0"/>
              <w:jc w:val="left"/>
              <w:rPr/>
            </w:pPr>
            <w:r>
              <w:rPr/>
              <w:t>​</w:t>
            </w:r>
          </w:p>
        </w:tc>
        <w:tc>
          <w:tcPr>
            <w:tcW w:w="11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25,426</w:t>
            </w:r>
          </w:p>
        </w:tc>
      </w:tr>
      <w:tr>
        <w:trPr/>
        <w:tc>
          <w:tcPr>
            <w:tcW w:w="575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tax rates differential</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395,543</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481,318</w:t>
            </w:r>
          </w:p>
        </w:tc>
        <w:tc>
          <w:tcPr>
            <w:tcW w:w="326" w:type="dxa"/>
            <w:tcBorders/>
            <w:vAlign w:val="center"/>
          </w:tcPr>
          <w:p>
            <w:pPr>
              <w:pStyle w:val="TableContents"/>
              <w:bidi w:val="0"/>
              <w:spacing w:before="0" w:after="1"/>
              <w:ind w:left="0" w:right="0" w:hanging="0"/>
              <w:jc w:val="left"/>
              <w:rPr/>
            </w:pPr>
            <w:r>
              <w:rPr/>
              <w:t>​</w:t>
            </w:r>
          </w:p>
        </w:tc>
        <w:tc>
          <w:tcPr>
            <w:tcW w:w="11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621,111</w:t>
            </w:r>
          </w:p>
        </w:tc>
      </w:tr>
      <w:tr>
        <w:trPr/>
        <w:tc>
          <w:tcPr>
            <w:tcW w:w="575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100%/75% tax deduction for qualified research and development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(750,736)</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(1,432,723)</w:t>
            </w:r>
          </w:p>
        </w:tc>
        <w:tc>
          <w:tcPr>
            <w:tcW w:w="326" w:type="dxa"/>
            <w:tcBorders/>
            <w:shd w:fill="CCEEFF" w:val="clear"/>
            <w:vAlign w:val="center"/>
          </w:tcPr>
          <w:p>
            <w:pPr>
              <w:pStyle w:val="TableContents"/>
              <w:bidi w:val="0"/>
              <w:spacing w:before="0" w:after="1"/>
              <w:ind w:left="0" w:right="0" w:hanging="0"/>
              <w:jc w:val="left"/>
              <w:rPr/>
            </w:pPr>
            <w:r>
              <w:rPr/>
              <w:t>​</w:t>
            </w:r>
          </w:p>
        </w:tc>
        <w:tc>
          <w:tcPr>
            <w:tcW w:w="11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(1,745,145)</w:t>
            </w:r>
          </w:p>
        </w:tc>
      </w:tr>
      <w:tr>
        <w:trPr/>
        <w:tc>
          <w:tcPr>
            <w:tcW w:w="575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FDII Deduction</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(10,356)</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88" w:type="dxa"/>
            <w:tcBorders/>
            <w:vAlign w:val="center"/>
          </w:tcPr>
          <w:p>
            <w:pPr>
              <w:pStyle w:val="TableContents"/>
              <w:bidi w:val="0"/>
              <w:spacing w:before="0" w:after="1"/>
              <w:ind w:left="0" w:right="0" w:hanging="0"/>
              <w:jc w:val="right"/>
              <w:rPr/>
            </w:pPr>
            <w:r>
              <w:rPr/>
              <w:t>—</w:t>
            </w:r>
          </w:p>
        </w:tc>
      </w:tr>
      <w:tr>
        <w:trPr/>
        <w:tc>
          <w:tcPr>
            <w:tcW w:w="575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exempted interest income</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(8,847)</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(25,017)</w:t>
            </w:r>
          </w:p>
        </w:tc>
        <w:tc>
          <w:tcPr>
            <w:tcW w:w="326" w:type="dxa"/>
            <w:tcBorders/>
            <w:shd w:fill="CCEEFF" w:val="clear"/>
            <w:vAlign w:val="center"/>
          </w:tcPr>
          <w:p>
            <w:pPr>
              <w:pStyle w:val="TableContents"/>
              <w:bidi w:val="0"/>
              <w:spacing w:before="0" w:after="1"/>
              <w:ind w:left="0" w:right="0" w:hanging="0"/>
              <w:jc w:val="left"/>
              <w:rPr/>
            </w:pPr>
            <w:r>
              <w:rPr/>
              <w:t>​</w:t>
            </w:r>
          </w:p>
        </w:tc>
        <w:tc>
          <w:tcPr>
            <w:tcW w:w="11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(40,535)</w:t>
            </w:r>
          </w:p>
        </w:tc>
      </w:tr>
      <w:tr>
        <w:trPr/>
        <w:tc>
          <w:tcPr>
            <w:tcW w:w="575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tax credits</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(45,446)</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(36,746)</w:t>
            </w:r>
          </w:p>
        </w:tc>
        <w:tc>
          <w:tcPr>
            <w:tcW w:w="326" w:type="dxa"/>
            <w:tcBorders/>
            <w:vAlign w:val="center"/>
          </w:tcPr>
          <w:p>
            <w:pPr>
              <w:pStyle w:val="TableContents"/>
              <w:bidi w:val="0"/>
              <w:spacing w:before="0" w:after="1"/>
              <w:ind w:left="0" w:right="0" w:hanging="0"/>
              <w:jc w:val="left"/>
              <w:rPr/>
            </w:pPr>
            <w:r>
              <w:rPr/>
              <w:t>​</w:t>
            </w:r>
          </w:p>
        </w:tc>
        <w:tc>
          <w:tcPr>
            <w:tcW w:w="11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(22,657)</w:t>
            </w:r>
          </w:p>
        </w:tc>
      </w:tr>
      <w:tr>
        <w:trPr/>
        <w:tc>
          <w:tcPr>
            <w:tcW w:w="575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Prior year True-ups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110,581</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242,392</w:t>
            </w:r>
          </w:p>
        </w:tc>
        <w:tc>
          <w:tcPr>
            <w:tcW w:w="326" w:type="dxa"/>
            <w:tcBorders/>
            <w:shd w:fill="CCEEFF" w:val="clear"/>
            <w:vAlign w:val="center"/>
          </w:tcPr>
          <w:p>
            <w:pPr>
              <w:pStyle w:val="TableContents"/>
              <w:bidi w:val="0"/>
              <w:spacing w:before="0" w:after="1"/>
              <w:ind w:left="0" w:right="0" w:hanging="0"/>
              <w:jc w:val="left"/>
              <w:rPr/>
            </w:pPr>
            <w:r>
              <w:rPr/>
              <w:t>​</w:t>
            </w:r>
          </w:p>
        </w:tc>
        <w:tc>
          <w:tcPr>
            <w:tcW w:w="11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321,080</w:t>
            </w:r>
          </w:p>
        </w:tc>
      </w:tr>
      <w:tr>
        <w:trPr/>
        <w:tc>
          <w:tcPr>
            <w:tcW w:w="575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tax rate change</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490,855</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88" w:type="dxa"/>
            <w:tcBorders/>
            <w:vAlign w:val="center"/>
          </w:tcPr>
          <w:p>
            <w:pPr>
              <w:pStyle w:val="TableContents"/>
              <w:bidi w:val="0"/>
              <w:spacing w:before="0" w:after="1"/>
              <w:ind w:left="0" w:right="0" w:hanging="0"/>
              <w:jc w:val="right"/>
              <w:rPr/>
            </w:pPr>
            <w:r>
              <w:rPr/>
              <w:t>—</w:t>
            </w:r>
          </w:p>
        </w:tc>
      </w:tr>
      <w:tr>
        <w:trPr/>
        <w:tc>
          <w:tcPr>
            <w:tcW w:w="575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(5,154)</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326" w:type="dxa"/>
            <w:tcBorders/>
            <w:shd w:fill="CCEEFF" w:val="clear"/>
            <w:vAlign w:val="center"/>
          </w:tcPr>
          <w:p>
            <w:pPr>
              <w:pStyle w:val="TableContents"/>
              <w:bidi w:val="0"/>
              <w:spacing w:before="0" w:after="1"/>
              <w:ind w:left="0" w:right="0" w:hanging="0"/>
              <w:jc w:val="left"/>
              <w:rPr/>
            </w:pPr>
            <w:r>
              <w:rPr/>
              <w:t>​</w:t>
            </w:r>
          </w:p>
        </w:tc>
        <w:tc>
          <w:tcPr>
            <w:tcW w:w="11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575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2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3,450,679</w:t>
            </w:r>
          </w:p>
        </w:tc>
        <w:tc>
          <w:tcPr>
            <w:tcW w:w="32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6,087,173</w:t>
            </w:r>
          </w:p>
        </w:tc>
        <w:tc>
          <w:tcPr>
            <w:tcW w:w="326" w:type="dxa"/>
            <w:tcBorders/>
            <w:vAlign w:val="center"/>
          </w:tcPr>
          <w:p>
            <w:pPr>
              <w:pStyle w:val="TableContents"/>
              <w:bidi w:val="0"/>
              <w:spacing w:before="0" w:after="1"/>
              <w:ind w:left="0" w:right="0" w:hanging="0"/>
              <w:jc w:val="left"/>
              <w:rPr/>
            </w:pPr>
            <w:r>
              <w:rPr/>
              <w:t>​</w:t>
            </w:r>
          </w:p>
        </w:tc>
        <w:tc>
          <w:tcPr>
            <w:tcW w:w="11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6,424,019</w:t>
            </w:r>
          </w:p>
        </w:tc>
      </w:tr>
      <w:tr>
        <w:trPr/>
        <w:tc>
          <w:tcPr>
            <w:tcW w:w="575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expense/(benefit)</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55,103</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260,835</w:t>
            </w:r>
          </w:p>
        </w:tc>
        <w:tc>
          <w:tcPr>
            <w:tcW w:w="326" w:type="dxa"/>
            <w:tcBorders/>
            <w:shd w:fill="CCEEFF" w:val="clear"/>
            <w:vAlign w:val="center"/>
          </w:tcPr>
          <w:p>
            <w:pPr>
              <w:pStyle w:val="TableContents"/>
              <w:bidi w:val="0"/>
              <w:spacing w:before="0" w:after="1"/>
              <w:ind w:left="0" w:right="0" w:hanging="0"/>
              <w:jc w:val="left"/>
              <w:rPr/>
            </w:pPr>
            <w:r>
              <w:rPr/>
              <w:t>​</w:t>
            </w:r>
          </w:p>
        </w:tc>
        <w:tc>
          <w:tcPr>
            <w:tcW w:w="11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(22,815)</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PRC statutory income tax rate was used because the majority of the Group’s operations are based in PRC.</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(b) Deferred tax</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considers positive and negative evidence to determine whether some portion or all of the deferred tax assets will be more-likely-than-not realized. This assessment primarily considers the nature, frequency and extent of the losses incurred and other historical objective evidences, as well as the considerations of forecasts of future profitability. These assumptions require significant judgment on the forecasts of future taxable income. The PRC statutory income tax rate of 25% or applicable preferential income tax rates were applied when calculating deferred tax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0"/>
        <w:ind w:left="0" w:right="0" w:firstLine="360"/>
        <w:jc w:val="both"/>
        <w:rPr>
          <w:rFonts w:ascii="Times New Roman;Times;serif" w:hAnsi="Times New Roman;Times;serif"/>
          <w:sz w:val="20"/>
        </w:rPr>
      </w:pPr>
      <w:bookmarkStart w:id="1990" w:name="Tc_IoFx6MfEfk2OI8xsQjQbOQ_6_0"/>
      <w:bookmarkStart w:id="1991" w:name="Tc_whqpQkjpKUy2JAihiALnMQ_5_0"/>
      <w:bookmarkStart w:id="1992" w:name="Tc_UaUPsqekb0WswkrUiKunvw_4_0"/>
      <w:bookmarkStart w:id="1993" w:name="Tc_wDElWjSEnUChShItWahJ8w_3_0"/>
      <w:bookmarkStart w:id="1994" w:name="Tc_1zdByQ-L_UuZw6lxWH2FPg_2_6"/>
      <w:bookmarkStart w:id="1995" w:name="Tc_kiJLSiYm50WGeDHMLRDjGw_2_4"/>
      <w:bookmarkStart w:id="1996" w:name="Tc_4fSiVYzbr0W2mvnVIg-GNw_2_2"/>
      <w:bookmarkStart w:id="1997" w:name="Tc_np1o-WCgkE6vv_hT4TLpGw_1_2"/>
      <w:bookmarkStart w:id="1998" w:name="Tc_QcVja6_yoUaJ0eUAfoaB4Q_31_0"/>
      <w:bookmarkStart w:id="1999" w:name="Tc_jxjWys-SXEeeXHs4ipyfTw_30_0"/>
      <w:bookmarkStart w:id="2000" w:name="Tc_kkrDkHTZiEaMdZFGRmUPVw_29_6"/>
      <w:bookmarkStart w:id="2001" w:name="Tc_QH760d4uDU-VFZXn3WPDkQ_29_4"/>
      <w:bookmarkStart w:id="2002" w:name="Tc_kOatlAXb0kir4jJFhSOQSQ_29_0"/>
      <w:bookmarkStart w:id="2003" w:name="Tc_mkhLR6v5akCSKRKLTGzpRw_28_2"/>
      <w:bookmarkStart w:id="2004" w:name="Tc_F5CsDB4-7UK5tYN_K66H7A_28_0"/>
      <w:bookmarkStart w:id="2005" w:name="Tc_PxYIsLXlR0KulF1ZpAPmJw_27_6"/>
      <w:bookmarkStart w:id="2006" w:name="Tc_PxcmT4gZOUOUBcvUz830Sg_27_4"/>
      <w:bookmarkStart w:id="2007" w:name="Tc_ik1yzw0JTUOyimvObd7eog_27_0"/>
      <w:bookmarkStart w:id="2008" w:name="Tc_dLRVQOvLA0CX8JWnGK4yZA_26_0"/>
      <w:bookmarkStart w:id="2009" w:name="Tc_7z5ECk28SUmQiSSm2I7HWQ_25_6"/>
      <w:bookmarkStart w:id="2010" w:name="Tc_CUoz-1pYGE6M9-uuzX1NBQ_25_4"/>
      <w:bookmarkStart w:id="2011" w:name="Tc_D7HH15Rs50yl6ye6Xz6lCw_25_0"/>
      <w:bookmarkStart w:id="2012" w:name="Tc_hJk0OO9zuEuLA8u9uqnCJA_24_0"/>
      <w:bookmarkStart w:id="2013" w:name="Tc_f-WpLNHjr0--T3Ot4LyQvQ_22_0"/>
      <w:bookmarkStart w:id="2014" w:name="Tc_96OurRNcTk2MAX-13DqB6Q_21_0"/>
      <w:bookmarkStart w:id="2015" w:name="Tc_xpTX7y0IA0ymz-T_4zQRVQ_20_0"/>
      <w:bookmarkStart w:id="2016" w:name="Tc_mq6ZQcb-lUOK1gRk10SLfg_19_0"/>
      <w:bookmarkStart w:id="2017" w:name="Tc_UdnD1o1C8ESNbeHibJpdLA_18_2"/>
      <w:bookmarkStart w:id="2018" w:name="Tc_9axtS_GbtUq-qCYG0tBt7A_18_0"/>
      <w:bookmarkStart w:id="2019" w:name="Tc_M9d5GbrOG069LkSPcsd5Cw_17_0"/>
      <w:bookmarkStart w:id="2020" w:name="Tc_wlyyFzlb6U2aHj9ZzyRVpg_16_2"/>
      <w:bookmarkStart w:id="2021" w:name="Tc_MVDlQjJY_kyG5Y11j3btsg_16_0"/>
      <w:bookmarkStart w:id="2022" w:name="Tc_LQXcCuZzhUWA_CvO21Ju0A_15_0"/>
      <w:bookmarkStart w:id="2023" w:name="Tc_9kCrY7_A90iDUcq9a2bNRw_14_0"/>
      <w:bookmarkStart w:id="2024" w:name="Tc_F9dc0ennZ0K0kuuhRLjv2g_13_0"/>
      <w:bookmarkStart w:id="2025" w:name="Tc_nPla3DT3206-5Yr71SbtHQ_12_0"/>
      <w:bookmarkStart w:id="2026" w:name="Tc_WzWwB8ULJkqadJe8S7d0jw_11_0"/>
      <w:bookmarkStart w:id="2027" w:name="Tc_ZTEBKp--OEmY3JaXDjzPxw_10_0"/>
      <w:bookmarkStart w:id="2028" w:name="Tc_KdntuUQT1EOksb-M-voElg_9_0"/>
      <w:bookmarkStart w:id="2029" w:name="Tc_M21fIs8Tgkyqvdc2w-6DFg_8_2"/>
      <w:bookmarkStart w:id="2030" w:name="Tc_wO42Wc3av0-2ZV6Romredg_8_0"/>
      <w:bookmarkStart w:id="2031" w:name="Tc_WTgSoIcEzEiPY4OpnhoDLQ_7_0"/>
      <w:bookmarkStart w:id="2032" w:name="Tc_prC_wT64a0iToVC0sVVTxg_6_0"/>
      <w:bookmarkStart w:id="2033" w:name="Tc_WZnO6XUXyUm4dSDrmvgNeQ_5_0"/>
      <w:bookmarkStart w:id="2034" w:name="Tc_t0WOt37MG0GuJoTjh4P-sg_4_0"/>
      <w:bookmarkStart w:id="2035" w:name="Tc_hZwJ5US2H0aVq3niIYCFdQ_3_0"/>
      <w:bookmarkStart w:id="2036" w:name="Tc_WzBiSRTLlkq9ttARAzzFmA_2_6"/>
      <w:bookmarkStart w:id="2037" w:name="Tc_gjxKMbvj3UydQYSd6YoBXA_2_4"/>
      <w:bookmarkStart w:id="2038" w:name="Tc_1mFGQwbzb0Og9hkeTzXIoA_2_2"/>
      <w:bookmarkStart w:id="2039" w:name="Tc_rWHKYziY9kKSctaDJ0EBJA_1_2"/>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r>
        <w:rPr>
          <w:rFonts w:ascii="Times New Roman;Times;serif" w:hAnsi="Times New Roman;Times;serif"/>
          <w:sz w:val="20"/>
        </w:rPr>
        <w:t>The Group’s deferred tax assets and liabilities consist of the following components:</w:t>
      </w:r>
    </w:p>
    <w:p>
      <w:pPr>
        <w:pStyle w:val="TextBody"/>
        <w:bidi w:val="0"/>
        <w:spacing w:before="0" w:after="240"/>
        <w:ind w:left="0" w:right="0" w:firstLine="360"/>
        <w:jc w:val="both"/>
        <w:rPr/>
      </w:pPr>
      <w:r>
        <w:rPr/>
        <w:t>​</w:t>
      </w:r>
    </w:p>
    <w:tbl>
      <w:tblPr>
        <w:tblW w:w="9187" w:type="dxa"/>
        <w:jc w:val="left"/>
        <w:tblInd w:w="0" w:type="dxa"/>
        <w:tblLayout w:type="fixed"/>
        <w:tblCellMar>
          <w:top w:w="0" w:type="dxa"/>
          <w:left w:w="0" w:type="dxa"/>
          <w:bottom w:w="0" w:type="dxa"/>
          <w:right w:w="0" w:type="dxa"/>
        </w:tblCellMar>
      </w:tblPr>
      <w:tblGrid>
        <w:gridCol w:w="4696"/>
        <w:gridCol w:w="326"/>
        <w:gridCol w:w="1156"/>
        <w:gridCol w:w="326"/>
        <w:gridCol w:w="1156"/>
        <w:gridCol w:w="326"/>
        <w:gridCol w:w="1201"/>
      </w:tblGrid>
      <w:tr>
        <w:trPr/>
        <w:tc>
          <w:tcPr>
            <w:tcW w:w="4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981960" cy="175260"/>
                      <wp:effectExtent l="0" t="0" r="0" b="0"/>
                      <wp:wrapNone/>
                      <wp:docPr id="492" name="Frame489"/>
                      <a:graphic xmlns:a="http://schemas.openxmlformats.org/drawingml/2006/main">
                        <a:graphicData uri="http://schemas.microsoft.com/office/word/2010/wordprocessingShape">
                          <wps:wsp>
                            <wps:cNvSpPr txBox="1"/>
                            <wps:spPr>
                              <a:xfrm>
                                <a:off x="0" y="0"/>
                                <a:ext cx="298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07010" cy="175260"/>
                      <wp:effectExtent l="0" t="0" r="0" b="0"/>
                      <wp:wrapNone/>
                      <wp:docPr id="493" name="Frame4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734060" cy="175260"/>
                      <wp:effectExtent l="0" t="0" r="0" b="0"/>
                      <wp:wrapNone/>
                      <wp:docPr id="494" name="Frame491"/>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07010" cy="175260"/>
                      <wp:effectExtent l="0" t="0" r="0" b="0"/>
                      <wp:wrapNone/>
                      <wp:docPr id="495" name="Frame4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734060" cy="175260"/>
                      <wp:effectExtent l="0" t="0" r="0" b="0"/>
                      <wp:wrapNone/>
                      <wp:docPr id="496" name="Frame493"/>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07010" cy="175260"/>
                      <wp:effectExtent l="0" t="0" r="0" b="0"/>
                      <wp:wrapNone/>
                      <wp:docPr id="497" name="Frame4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762635" cy="175260"/>
                      <wp:effectExtent l="0" t="0" r="0" b="0"/>
                      <wp:wrapNone/>
                      <wp:docPr id="498" name="Frame495"/>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  </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 carry-forwards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9,711,744</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14,850,298</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21,278,950</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940,633</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1,241,114</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1,487,912</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and prepaid expenses</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1,666,519</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1,635,032</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1,246,887</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credit carry-forwards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301,437</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347,340</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384,960</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158,609</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203,847</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rent</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29,731</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80,240</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112,041</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6,951</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19,846</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76,708</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Write-downs of 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47,733</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28,007</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against receivables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27,386</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28,435</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27,495</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89,328</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59,375</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27,478</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financing expense</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33,140</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64,870</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23,148</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foreign exchange loss</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1,704</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2,364</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2,362</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securities without readily determinable fair value</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securities with readily determinable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method investments</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Advertising expenses in excess of deduction limit</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4,224</w:t>
            </w:r>
          </w:p>
        </w:tc>
        <w:tc>
          <w:tcPr>
            <w:tcW w:w="326" w:type="dxa"/>
            <w:tcBorders/>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3,464</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2,900</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(12,727,355)</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(18,538,828)</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(24,902,819)</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326" w:type="dxa"/>
            <w:tcBorders/>
            <w:vAlign w:val="center"/>
          </w:tcPr>
          <w:p>
            <w:pPr>
              <w:pStyle w:val="TableContents"/>
              <w:bidi w:val="0"/>
              <w:spacing w:before="0" w:after="0"/>
              <w:ind w:left="0" w:right="0" w:hanging="0"/>
              <w:jc w:val="left"/>
              <w:rPr/>
            </w:pPr>
            <w:r>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86,232</w:t>
            </w:r>
          </w:p>
        </w:tc>
        <w:tc>
          <w:tcPr>
            <w:tcW w:w="326" w:type="dxa"/>
            <w:tcBorders/>
            <w:vAlign w:val="center"/>
          </w:tcPr>
          <w:p>
            <w:pPr>
              <w:pStyle w:val="TableContents"/>
              <w:bidi w:val="0"/>
              <w:spacing w:before="0" w:after="0"/>
              <w:ind w:left="0" w:right="0" w:hanging="0"/>
              <w:jc w:val="left"/>
              <w:rPr/>
            </w:pPr>
            <w:r>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2,223</w:t>
            </w:r>
          </w:p>
        </w:tc>
      </w:tr>
      <w:tr>
        <w:trPr/>
        <w:tc>
          <w:tcPr>
            <w:tcW w:w="46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Deferred tax liabilities </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securities without readily determinable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(6,435)</w:t>
            </w:r>
          </w:p>
        </w:tc>
        <w:tc>
          <w:tcPr>
            <w:tcW w:w="326" w:type="dxa"/>
            <w:tcBorders/>
            <w:shd w:fill="CCEEFF" w:val="clear"/>
            <w:vAlign w:val="center"/>
          </w:tcPr>
          <w:p>
            <w:pPr>
              <w:pStyle w:val="TableContents"/>
              <w:bidi w:val="0"/>
              <w:spacing w:before="0" w:after="0"/>
              <w:ind w:left="0" w:right="0" w:hanging="0"/>
              <w:jc w:val="righ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method investments</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(5,170)</w:t>
            </w:r>
          </w:p>
        </w:tc>
        <w:tc>
          <w:tcPr>
            <w:tcW w:w="326" w:type="dxa"/>
            <w:tcBorders/>
            <w:vAlign w:val="center"/>
          </w:tcPr>
          <w:p>
            <w:pPr>
              <w:pStyle w:val="TableContents"/>
              <w:bidi w:val="0"/>
              <w:spacing w:before="0" w:after="0"/>
              <w:ind w:left="0" w:right="0" w:hanging="0"/>
              <w:jc w:val="righ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(7,283)</w:t>
            </w:r>
          </w:p>
        </w:tc>
        <w:tc>
          <w:tcPr>
            <w:tcW w:w="326" w:type="dxa"/>
            <w:tcBorders/>
            <w:vAlign w:val="center"/>
          </w:tcPr>
          <w:p>
            <w:pPr>
              <w:pStyle w:val="TableContents"/>
              <w:bidi w:val="0"/>
              <w:spacing w:before="0" w:after="0"/>
              <w:ind w:left="0" w:right="0" w:hanging="0"/>
              <w:jc w:val="righ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(12,367)</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 for sale debt investment</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(206,734)</w:t>
            </w:r>
          </w:p>
        </w:tc>
        <w:tc>
          <w:tcPr>
            <w:tcW w:w="326" w:type="dxa"/>
            <w:tcBorders/>
            <w:shd w:fill="CCEEFF" w:val="clear"/>
            <w:vAlign w:val="center"/>
          </w:tcPr>
          <w:p>
            <w:pPr>
              <w:pStyle w:val="TableContents"/>
              <w:bidi w:val="0"/>
              <w:spacing w:before="0" w:after="0"/>
              <w:ind w:left="0" w:right="0" w:hanging="0"/>
              <w:jc w:val="righ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securities using fair value option</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(206,734)</w:t>
            </w:r>
          </w:p>
        </w:tc>
        <w:tc>
          <w:tcPr>
            <w:tcW w:w="326" w:type="dxa"/>
            <w:tcBorders/>
            <w:vAlign w:val="center"/>
          </w:tcPr>
          <w:p>
            <w:pPr>
              <w:pStyle w:val="TableContents"/>
              <w:bidi w:val="0"/>
              <w:spacing w:before="0" w:after="0"/>
              <w:ind w:left="0" w:right="0" w:hanging="0"/>
              <w:jc w:val="righ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(117,323)</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(86,082)</w:t>
            </w:r>
          </w:p>
        </w:tc>
        <w:tc>
          <w:tcPr>
            <w:tcW w:w="326" w:type="dxa"/>
            <w:tcBorders/>
            <w:shd w:fill="CCEEFF" w:val="clear"/>
            <w:vAlign w:val="center"/>
          </w:tcPr>
          <w:p>
            <w:pPr>
              <w:pStyle w:val="TableContents"/>
              <w:bidi w:val="0"/>
              <w:spacing w:before="0" w:after="0"/>
              <w:ind w:left="0" w:right="0" w:hanging="0"/>
              <w:jc w:val="righ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326" w:type="dxa"/>
            <w:tcBorders/>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(304,421)</w:t>
            </w:r>
          </w:p>
        </w:tc>
        <w:tc>
          <w:tcPr>
            <w:tcW w:w="326" w:type="dxa"/>
            <w:tcBorders/>
            <w:vAlign w:val="center"/>
          </w:tcPr>
          <w:p>
            <w:pPr>
              <w:pStyle w:val="TableContents"/>
              <w:bidi w:val="0"/>
              <w:spacing w:before="0" w:after="0"/>
              <w:ind w:left="0" w:right="0" w:hanging="0"/>
              <w:jc w:val="righ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(214,017)</w:t>
            </w:r>
          </w:p>
        </w:tc>
        <w:tc>
          <w:tcPr>
            <w:tcW w:w="326" w:type="dxa"/>
            <w:tcBorders/>
            <w:vAlign w:val="center"/>
          </w:tcPr>
          <w:p>
            <w:pPr>
              <w:pStyle w:val="TableContents"/>
              <w:bidi w:val="0"/>
              <w:spacing w:before="0" w:after="0"/>
              <w:ind w:left="0" w:right="0" w:hanging="0"/>
              <w:jc w:val="righ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(129,690)</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liabilities, net</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(218,189)</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(212,347)</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(127,467)</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Full valuation allowances have been provided where, based on all available evidence, management determined that deferred tax assets are not more likely than not to be realizable in future tax years. Movement of valuation allowance is as follow:</w:t>
      </w:r>
    </w:p>
    <w:p>
      <w:pPr>
        <w:pStyle w:val="TextBody"/>
        <w:bidi w:val="0"/>
        <w:spacing w:before="0" w:after="240"/>
        <w:ind w:left="0" w:right="0" w:firstLine="360"/>
        <w:jc w:val="both"/>
        <w:rPr/>
      </w:pPr>
      <w:r>
        <w:rPr/>
        <w:t>​</w:t>
      </w:r>
    </w:p>
    <w:tbl>
      <w:tblPr>
        <w:tblW w:w="6952" w:type="dxa"/>
        <w:jc w:val="left"/>
        <w:tblInd w:w="0" w:type="dxa"/>
        <w:tblLayout w:type="fixed"/>
        <w:tblCellMar>
          <w:top w:w="0" w:type="dxa"/>
          <w:left w:w="0" w:type="dxa"/>
          <w:bottom w:w="0" w:type="dxa"/>
          <w:right w:w="0" w:type="dxa"/>
        </w:tblCellMar>
      </w:tblPr>
      <w:tblGrid>
        <w:gridCol w:w="2761"/>
        <w:gridCol w:w="326"/>
        <w:gridCol w:w="1036"/>
        <w:gridCol w:w="326"/>
        <w:gridCol w:w="1036"/>
        <w:gridCol w:w="326"/>
        <w:gridCol w:w="1141"/>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753235" cy="175260"/>
                      <wp:effectExtent l="0" t="0" r="0" b="0"/>
                      <wp:wrapNone/>
                      <wp:docPr id="499" name="Frame496"/>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07010" cy="175260"/>
                      <wp:effectExtent l="0" t="0" r="0" b="0"/>
                      <wp:wrapNone/>
                      <wp:docPr id="500" name="Frame4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57860" cy="175260"/>
                      <wp:effectExtent l="0" t="0" r="0" b="0"/>
                      <wp:wrapNone/>
                      <wp:docPr id="501" name="Frame49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07010" cy="175260"/>
                      <wp:effectExtent l="0" t="0" r="0" b="0"/>
                      <wp:wrapNone/>
                      <wp:docPr id="502" name="Frame4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57860" cy="175260"/>
                      <wp:effectExtent l="0" t="0" r="0" b="0"/>
                      <wp:wrapNone/>
                      <wp:docPr id="503" name="Frame50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07010" cy="175260"/>
                      <wp:effectExtent l="0" t="0" r="0" b="0"/>
                      <wp:wrapNone/>
                      <wp:docPr id="504" name="Frame5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724535" cy="175260"/>
                      <wp:effectExtent l="0" t="0" r="0" b="0"/>
                      <wp:wrapNone/>
                      <wp:docPr id="505" name="Frame50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7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Valuation allowance</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the year</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9,216,725</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12,727,355</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18,538,828</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3,510,630</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5,811,473</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6,363,991</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the year</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12,727,355</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18,538,828</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24,902,819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0"/>
        <w:ind w:left="0" w:right="0" w:firstLine="360"/>
        <w:jc w:val="both"/>
        <w:rPr>
          <w:rFonts w:ascii="Times New Roman;Times;serif" w:hAnsi="Times New Roman;Times;serif"/>
          <w:sz w:val="20"/>
        </w:rPr>
      </w:pPr>
      <w:bookmarkStart w:id="2040" w:name="Tc_eTXrmQhY60u26QY2g_0G3Q_11_0"/>
      <w:bookmarkStart w:id="2041" w:name="Tc_tAuiOmsfU0ynsjA6AchA0A_10_0"/>
      <w:bookmarkStart w:id="2042" w:name="Tc_BanOJmWUtk6O24GvH3vU1Q_9_0"/>
      <w:bookmarkStart w:id="2043" w:name="Tc_vAsfxkEGwk-_AT-KIvQ-Yw_8_0"/>
      <w:bookmarkStart w:id="2044" w:name="Tc_YM7f1lcLbkW1zU47Ip6RrA_7_0"/>
      <w:bookmarkStart w:id="2045" w:name="Tc_Cvp_2obhVkCNG1RKeLME-Q_6_0"/>
      <w:bookmarkStart w:id="2046" w:name="Tc_AH4Cyl5BR0-A5DJkAkwzvA_5_0"/>
      <w:bookmarkStart w:id="2047" w:name="Tc_gbXMt63-BE6gBzMo5ZSY4w_4_0"/>
      <w:bookmarkStart w:id="2048" w:name="Tc_oo7M3dADbkyLOV-HzrIR7g_3_0"/>
      <w:bookmarkStart w:id="2049" w:name="Tc_JS_2ekoMxUO3RJT_LVZnLA_2_0"/>
      <w:bookmarkStart w:id="2050" w:name="Tc_wr2cMDjAM0-nTlyAbUl8TA_1_0"/>
      <w:bookmarkEnd w:id="2040"/>
      <w:bookmarkEnd w:id="2041"/>
      <w:bookmarkEnd w:id="2042"/>
      <w:bookmarkEnd w:id="2043"/>
      <w:bookmarkEnd w:id="2044"/>
      <w:bookmarkEnd w:id="2045"/>
      <w:bookmarkEnd w:id="2046"/>
      <w:bookmarkEnd w:id="2047"/>
      <w:bookmarkEnd w:id="2048"/>
      <w:bookmarkEnd w:id="2049"/>
      <w:bookmarkEnd w:id="2050"/>
      <w:r>
        <w:rPr>
          <w:rFonts w:ascii="Times New Roman;Times;serif" w:hAnsi="Times New Roman;Times;serif"/>
          <w:sz w:val="20"/>
        </w:rPr>
        <w:t xml:space="preserve">The Group has tax losses arising in Mainland China of RMB81,726,481 that will expire in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ten years for deduction against future taxable profit.</w:t>
      </w:r>
    </w:p>
    <w:p>
      <w:pPr>
        <w:pStyle w:val="TextBody"/>
        <w:bidi w:val="0"/>
        <w:spacing w:before="0" w:after="240"/>
        <w:ind w:left="0" w:right="0" w:firstLine="360"/>
        <w:jc w:val="both"/>
        <w:rPr/>
      </w:pPr>
      <w:r>
        <w:rPr/>
        <w:t>​</w:t>
      </w:r>
    </w:p>
    <w:tbl>
      <w:tblPr>
        <w:tblW w:w="3373" w:type="dxa"/>
        <w:jc w:val="left"/>
        <w:tblInd w:w="0" w:type="dxa"/>
        <w:tblLayout w:type="fixed"/>
        <w:tblCellMar>
          <w:top w:w="0" w:type="dxa"/>
          <w:left w:w="0" w:type="dxa"/>
          <w:bottom w:w="0" w:type="dxa"/>
          <w:right w:w="0" w:type="dxa"/>
        </w:tblCellMar>
      </w:tblPr>
      <w:tblGrid>
        <w:gridCol w:w="1906"/>
        <w:gridCol w:w="326"/>
        <w:gridCol w:w="1141"/>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210310" cy="175260"/>
                      <wp:effectExtent l="0" t="0" r="0" b="0"/>
                      <wp:wrapNone/>
                      <wp:docPr id="506" name="Frame503"/>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07010" cy="175260"/>
                      <wp:effectExtent l="0" t="0" r="0" b="0"/>
                      <wp:wrapNone/>
                      <wp:docPr id="507" name="Frame5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724535" cy="175260"/>
                      <wp:effectExtent l="0" t="0" r="0" b="0"/>
                      <wp:wrapNone/>
                      <wp:docPr id="508" name="Frame50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expiring in 2025</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3,704,156</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expiring in 2026</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2,368,899</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expiring in 2027</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9,081,387</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expiring in 2028</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15,732,060</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expiring in 2029</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19,284,357</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expiring in 2030</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156,199</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expiring in 2031</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4,833,296</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expiring in 2032</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7,153,295</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expiring in 2033</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12,437,801</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expiring in 2034</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6,975,031</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81,726,481</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has tax losses arising in Hong Kong of RMB3,315,437 for which could be carried forward indefinitely against future taxable income. The Group has tax losses arising in United States of RMB4,388, RMB602,262 and RMB1,927,128 that will expire in 2036, 2037 and indefinite years respectively for deduction against future taxable income. The Group has tax losses arising in Europe of RMB2,956,478 for which could be carried forward indefinitely against future taxable income. As of December 31, 2023 and 2024, the Group provided full valuation allowances for the above net operating loss carry-forwards.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Uncertain Tax Position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Group did not identify any significant unrecognized tax benefits for each of the periods presented. The Group did not incur any interest related to unrecognized tax benefits, did not recognize any penalties as income tax expense and also does not anticipate any significant change in unrecognized tax benefits within 12 months from December 31, 2024.</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Tax years subject to examination by major jurisdictions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general, the PRC tax authorities have up to five years to review a company’s tax filings. Accordingly, tax filings of the Company’s PRC subsidiaries and VIEs for tax years 2020 through 2024 remain subject to the review by the relevant PRC tax authorities.</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2051" w:name="Tc_Sfl2NrncNU-azJtpb_PjqQ_10_0"/>
      <w:bookmarkStart w:id="2052" w:name="Tc_bfDIeyAMl0ymHWrNYV50YA_9_0"/>
      <w:bookmarkStart w:id="2053" w:name="Tc_Vup0vWllKkiBXGHqNBJsLw_8_0"/>
      <w:bookmarkStart w:id="2054" w:name="Tc_YQ4dv8Gm7ESD12xDGPPxfw_7_0"/>
      <w:bookmarkStart w:id="2055" w:name="Tc_hYoaaz4Jf0CyHNcqdz6a4g_6_0"/>
      <w:bookmarkStart w:id="2056" w:name="Tc_ySY6-IHE7UOEppXkJwXCBw_5_0"/>
      <w:bookmarkStart w:id="2057" w:name="Tc_lSNktrmcYUKSbKxXL2JUQQ_4_0"/>
      <w:bookmarkStart w:id="2058" w:name="Tc_KsNp58pwSUWiCru_GHqc7w_3_0"/>
      <w:bookmarkStart w:id="2059" w:name="Tc_8D-6BZT4W0uVPOrP1AIyYg_2_6"/>
      <w:bookmarkStart w:id="2060" w:name="Tc_rUTRB0gJKUyMs_PbTF11SQ_2_4"/>
      <w:bookmarkStart w:id="2061" w:name="Tc_q9FAXdUx7E6AKFSQLExHvQ_2_2"/>
      <w:bookmarkStart w:id="2062" w:name="Tc_uO6kwgfLOU6qRe6tbUbq9Q_1_2"/>
      <w:bookmarkStart w:id="2063" w:name="_2d012c23_488a_4c19_bef6_f3250db44531"/>
      <w:bookmarkEnd w:id="2051"/>
      <w:bookmarkEnd w:id="2052"/>
      <w:bookmarkEnd w:id="2053"/>
      <w:bookmarkEnd w:id="2054"/>
      <w:bookmarkEnd w:id="2055"/>
      <w:bookmarkEnd w:id="2056"/>
      <w:bookmarkEnd w:id="2057"/>
      <w:bookmarkEnd w:id="2058"/>
      <w:bookmarkEnd w:id="2059"/>
      <w:bookmarkEnd w:id="2060"/>
      <w:bookmarkEnd w:id="2061"/>
      <w:bookmarkEnd w:id="2062"/>
      <w:bookmarkEnd w:id="2063"/>
      <w:r>
        <w:rPr>
          <w:rFonts w:ascii="Times New Roman;Times;serif" w:hAnsi="Times New Roman;Times;serif"/>
          <w:b/>
          <w:sz w:val="20"/>
        </w:rPr>
        <w:t>25.  Loss Per Share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Basic loss per share and diluted loss per share have been calculated in accordance with ASC 260 on computation of earnings per share for the years ended December 31, 2022, 2023 and 2024 as follows: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5309"/>
        <w:gridCol w:w="326"/>
        <w:gridCol w:w="1291"/>
        <w:gridCol w:w="326"/>
        <w:gridCol w:w="1291"/>
        <w:gridCol w:w="326"/>
        <w:gridCol w:w="1336"/>
      </w:tblGrid>
      <w:tr>
        <w:trPr/>
        <w:tc>
          <w:tcPr>
            <w:tcW w:w="5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3371215" cy="175260"/>
                      <wp:effectExtent l="0" t="0" r="0" b="0"/>
                      <wp:wrapNone/>
                      <wp:docPr id="509" name="Frame506"/>
                      <a:graphic xmlns:a="http://schemas.openxmlformats.org/drawingml/2006/main">
                        <a:graphicData uri="http://schemas.microsoft.com/office/word/2010/wordprocessingShape">
                          <wps:wsp>
                            <wps:cNvSpPr txBox="1"/>
                            <wps:spPr>
                              <a:xfrm>
                                <a:off x="0" y="0"/>
                                <a:ext cx="3371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07010" cy="175260"/>
                      <wp:effectExtent l="0" t="0" r="0" b="0"/>
                      <wp:wrapNone/>
                      <wp:docPr id="510" name="Frame5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819785" cy="175260"/>
                      <wp:effectExtent l="0" t="0" r="0" b="0"/>
                      <wp:wrapNone/>
                      <wp:docPr id="511" name="Frame508"/>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07010" cy="175260"/>
                      <wp:effectExtent l="0" t="0" r="0" b="0"/>
                      <wp:wrapNone/>
                      <wp:docPr id="512" name="Frame5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819785" cy="175260"/>
                      <wp:effectExtent l="0" t="0" r="0" b="0"/>
                      <wp:wrapNone/>
                      <wp:docPr id="513" name="Frame510"/>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07010" cy="175260"/>
                      <wp:effectExtent l="0" t="0" r="0" b="0"/>
                      <wp:wrapNone/>
                      <wp:docPr id="514" name="Frame5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848360" cy="175260"/>
                      <wp:effectExtent l="0" t="0" r="0" b="0"/>
                      <wp:wrapNone/>
                      <wp:docPr id="515" name="Frame512"/>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53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3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30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336" w:type="dxa"/>
            <w:tcBorders/>
            <w:shd w:fill="CCEEFF" w:val="clear"/>
            <w:vAlign w:val="center"/>
          </w:tcPr>
          <w:p>
            <w:pPr>
              <w:pStyle w:val="TableContents"/>
              <w:bidi w:val="0"/>
              <w:spacing w:before="0" w:after="0"/>
              <w:ind w:left="0" w:right="0" w:hanging="0"/>
              <w:jc w:val="right"/>
              <w:rPr/>
            </w:pPr>
            <w:r>
              <w:rPr/>
              <w:t>  </w:t>
            </w:r>
          </w:p>
        </w:tc>
      </w:tr>
      <w:tr>
        <w:trPr/>
        <w:tc>
          <w:tcPr>
            <w:tcW w:w="530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(14,437,104)</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(20,719,753)</w:t>
            </w:r>
          </w:p>
        </w:tc>
        <w:tc>
          <w:tcPr>
            <w:tcW w:w="32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(22,401,709)</w:t>
            </w:r>
          </w:p>
        </w:tc>
      </w:tr>
      <w:tr>
        <w:trPr/>
        <w:tc>
          <w:tcPr>
            <w:tcW w:w="53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on redeemable non-controlling interests to redemption value</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(279,355)</w:t>
            </w:r>
          </w:p>
        </w:tc>
        <w:tc>
          <w:tcPr>
            <w:tcW w:w="326"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(303,163)</w:t>
            </w:r>
          </w:p>
        </w:tc>
        <w:tc>
          <w:tcPr>
            <w:tcW w:w="326"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(347,516)</w:t>
            </w:r>
          </w:p>
        </w:tc>
      </w:tr>
      <w:tr>
        <w:trPr/>
        <w:tc>
          <w:tcPr>
            <w:tcW w:w="530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non-controlling interests</w:t>
            </w:r>
          </w:p>
        </w:tc>
        <w:tc>
          <w:tcPr>
            <w:tcW w:w="326" w:type="dxa"/>
            <w:tcBorders/>
            <w:vAlign w:val="center"/>
          </w:tcPr>
          <w:p>
            <w:pPr>
              <w:pStyle w:val="TableContents"/>
              <w:bidi w:val="0"/>
              <w:spacing w:before="0" w:after="0"/>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157,014</w:t>
            </w:r>
          </w:p>
        </w:tc>
        <w:tc>
          <w:tcPr>
            <w:tcW w:w="326" w:type="dxa"/>
            <w:tcBorders/>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(124,051)</w:t>
            </w:r>
          </w:p>
        </w:tc>
        <w:tc>
          <w:tcPr>
            <w:tcW w:w="326" w:type="dxa"/>
            <w:tcBorders/>
            <w:vAlign w:val="center"/>
          </w:tcPr>
          <w:p>
            <w:pPr>
              <w:pStyle w:val="TableContents"/>
              <w:bidi w:val="0"/>
              <w:spacing w:before="0" w:after="0"/>
              <w:ind w:left="0" w:right="0" w:hanging="0"/>
              <w:jc w:val="left"/>
              <w:rPr/>
            </w:pPr>
            <w:r>
              <w:rPr/>
              <w:t>​</w:t>
            </w:r>
          </w:p>
        </w:tc>
        <w:tc>
          <w:tcPr>
            <w:tcW w:w="13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91,533</w:t>
            </w:r>
          </w:p>
        </w:tc>
      </w:tr>
      <w:tr>
        <w:trPr/>
        <w:tc>
          <w:tcPr>
            <w:tcW w:w="53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ordinary shareholders of NIO Inc. for basic/dilutive net loss per share</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(14,559,445)</w:t>
            </w:r>
          </w:p>
        </w:tc>
        <w:tc>
          <w:tcPr>
            <w:tcW w:w="326" w:type="dxa"/>
            <w:tcBorders/>
            <w:shd w:fill="CCEEFF" w:val="clear"/>
            <w:vAlign w:val="center"/>
          </w:tcPr>
          <w:p>
            <w:pPr>
              <w:pStyle w:val="TableContents"/>
              <w:bidi w:val="0"/>
              <w:spacing w:before="0" w:after="0"/>
              <w:ind w:left="0" w:right="0" w:hanging="0"/>
              <w:jc w:val="left"/>
              <w:rPr/>
            </w:pPr>
            <w:r>
              <w:rPr/>
              <w:t>​</w:t>
            </w:r>
          </w:p>
        </w:tc>
        <w:tc>
          <w:tcPr>
            <w:tcW w:w="12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(21,146,967)</w:t>
            </w:r>
          </w:p>
        </w:tc>
        <w:tc>
          <w:tcPr>
            <w:tcW w:w="326" w:type="dxa"/>
            <w:tcBorders/>
            <w:shd w:fill="CCEEFF" w:val="clear"/>
            <w:vAlign w:val="center"/>
          </w:tcPr>
          <w:p>
            <w:pPr>
              <w:pStyle w:val="TableContents"/>
              <w:bidi w:val="0"/>
              <w:spacing w:before="0" w:after="0"/>
              <w:ind w:left="0" w:right="0" w:hanging="0"/>
              <w:jc w:val="left"/>
              <w:rPr/>
            </w:pPr>
            <w:r>
              <w:rPr/>
              <w:t>​</w:t>
            </w:r>
          </w:p>
        </w:tc>
        <w:tc>
          <w:tcPr>
            <w:tcW w:w="13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(22,657,692)</w:t>
            </w:r>
          </w:p>
        </w:tc>
      </w:tr>
      <w:tr>
        <w:trPr/>
        <w:tc>
          <w:tcPr>
            <w:tcW w:w="530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right"/>
              <w:rPr/>
            </w:pPr>
            <w:r>
              <w:rPr/>
              <w:t>​</w:t>
            </w:r>
          </w:p>
        </w:tc>
      </w:tr>
      <w:tr>
        <w:trPr/>
        <w:tc>
          <w:tcPr>
            <w:tcW w:w="53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number of ordinary shares outstanding – basic and diluted</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1,636,999,280</w:t>
            </w:r>
          </w:p>
        </w:tc>
        <w:tc>
          <w:tcPr>
            <w:tcW w:w="326"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1,700,203,886</w:t>
            </w:r>
          </w:p>
        </w:tc>
        <w:tc>
          <w:tcPr>
            <w:tcW w:w="326"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2,054,614,522</w:t>
            </w:r>
          </w:p>
        </w:tc>
      </w:tr>
      <w:tr>
        <w:trPr/>
        <w:tc>
          <w:tcPr>
            <w:tcW w:w="530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loss per share attributable to ordinary shareholders of NIO Inc.</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w:t>
            </w:r>
          </w:p>
        </w:tc>
        <w:tc>
          <w:tcPr>
            <w:tcW w:w="32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bookmarkStart w:id="2064" w:name="Tc__zUtoEOYNkGcz5iTlTjdbQ_6_0"/>
      <w:bookmarkStart w:id="2065" w:name="Tc_saKNz6IMxUSlZYoIFh8MlQ_5_0"/>
      <w:bookmarkStart w:id="2066" w:name="Tc_M9ltqKmKjEq5w8HDq67Gpg_4_0"/>
      <w:bookmarkStart w:id="2067" w:name="Tc_l21DxbYMSEG3T2SEx-aY9A_3_6"/>
      <w:bookmarkStart w:id="2068" w:name="Tc_NlSJidckBkmNAZGjomDopw_3_4"/>
      <w:bookmarkStart w:id="2069" w:name="Tc_BdecgzPFQUG7AvJVKRWYnQ_3_0"/>
      <w:bookmarkStart w:id="2070" w:name="Tc_6msnNuHOs0Kq4EF4corM3w_2_6"/>
      <w:bookmarkStart w:id="2071" w:name="Tc_C666y73J6UmBFHQt2agSkw_2_4"/>
      <w:bookmarkStart w:id="2072" w:name="Tc_txjMYeZOgE6I0GlbOx16nw_2_2"/>
      <w:bookmarkStart w:id="2073" w:name="Tc_DxvfRuXg3Ue5wu-MA7rc_g_1_2"/>
      <w:bookmarkEnd w:id="2064"/>
      <w:bookmarkEnd w:id="2065"/>
      <w:bookmarkEnd w:id="2066"/>
      <w:bookmarkEnd w:id="2067"/>
      <w:bookmarkEnd w:id="2068"/>
      <w:bookmarkEnd w:id="2069"/>
      <w:bookmarkEnd w:id="2070"/>
      <w:bookmarkEnd w:id="2071"/>
      <w:bookmarkEnd w:id="2072"/>
      <w:bookmarkEnd w:id="2073"/>
      <w:r>
        <w:rPr>
          <w:rFonts w:ascii="Times New Roman;Times;serif" w:hAnsi="Times New Roman;Times;serif"/>
          <w:sz w:val="20"/>
        </w:rPr>
        <w:t>For the years ended December 31, 2022, 2023 and 2024, the Company had potential ordinary shares, including non-vested restricted shares, option granted and convertible notes. As the Group incurred losses for the years ended December 31, 2022, 2023 and 2024, these potential ordinary shares were anti-dilutive and excluded from the calculation of diluted net loss per share of the Company. The weighted average numbers of these potential ordinary shares outstanding are as following:</w:t>
      </w:r>
    </w:p>
    <w:p>
      <w:pPr>
        <w:pStyle w:val="TextBody"/>
        <w:bidi w:val="0"/>
        <w:spacing w:before="0" w:after="0"/>
        <w:ind w:left="0" w:right="0" w:hanging="0"/>
        <w:jc w:val="left"/>
        <w:rPr/>
      </w:pPr>
      <w:r>
        <w:rPr/>
        <w:t>​</w:t>
      </w:r>
    </w:p>
    <w:tbl>
      <w:tblPr>
        <w:tblW w:w="8317" w:type="dxa"/>
        <w:jc w:val="left"/>
        <w:tblInd w:w="0" w:type="dxa"/>
        <w:tblLayout w:type="fixed"/>
        <w:tblCellMar>
          <w:top w:w="0" w:type="dxa"/>
          <w:left w:w="0" w:type="dxa"/>
          <w:bottom w:w="0" w:type="dxa"/>
          <w:right w:w="0" w:type="dxa"/>
        </w:tblCellMar>
      </w:tblPr>
      <w:tblGrid>
        <w:gridCol w:w="3916"/>
        <w:gridCol w:w="326"/>
        <w:gridCol w:w="1036"/>
        <w:gridCol w:w="326"/>
        <w:gridCol w:w="1141"/>
        <w:gridCol w:w="326"/>
        <w:gridCol w:w="124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486660" cy="175260"/>
                      <wp:effectExtent l="0" t="0" r="0" b="0"/>
                      <wp:wrapNone/>
                      <wp:docPr id="516" name="Frame513"/>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07010" cy="175260"/>
                      <wp:effectExtent l="0" t="0" r="0" b="0"/>
                      <wp:wrapNone/>
                      <wp:docPr id="517" name="Frame5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57860" cy="175260"/>
                      <wp:effectExtent l="0" t="0" r="0" b="0"/>
                      <wp:wrapNone/>
                      <wp:docPr id="518" name="Frame51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07010" cy="175260"/>
                      <wp:effectExtent l="0" t="0" r="0" b="0"/>
                      <wp:wrapNone/>
                      <wp:docPr id="519" name="Frame5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724535" cy="175260"/>
                      <wp:effectExtent l="0" t="0" r="0" b="0"/>
                      <wp:wrapNone/>
                      <wp:docPr id="520" name="Frame51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07010" cy="175260"/>
                      <wp:effectExtent l="0" t="0" r="0" b="0"/>
                      <wp:wrapNone/>
                      <wp:docPr id="521" name="Frame5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791210" cy="175260"/>
                      <wp:effectExtent l="0" t="0" r="0" b="0"/>
                      <wp:wrapNone/>
                      <wp:docPr id="522" name="Frame519"/>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0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3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4,051,753</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pPr>
            <w:r>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weighted average options granted</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55,132,378</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43,876,236</w:t>
            </w:r>
          </w:p>
        </w:tc>
        <w:tc>
          <w:tcPr>
            <w:tcW w:w="32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27,077,944</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37,671,003</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57,008,080</w:t>
            </w:r>
          </w:p>
        </w:tc>
        <w:tc>
          <w:tcPr>
            <w:tcW w:w="326" w:type="dxa"/>
            <w:tcBorders/>
            <w:shd w:fill="CCEEFF" w:val="clear"/>
            <w:vAlign w:val="center"/>
          </w:tcPr>
          <w:p>
            <w:pPr>
              <w:pStyle w:val="TableContents"/>
              <w:bidi w:val="0"/>
              <w:spacing w:before="0" w:after="0"/>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110,731,276</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96,855,134</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100,884,316</w:t>
            </w:r>
          </w:p>
        </w:tc>
        <w:tc>
          <w:tcPr>
            <w:tcW w:w="326" w:type="dxa"/>
            <w:tcBorders/>
            <w:vAlign w:val="center"/>
          </w:tcPr>
          <w:p>
            <w:pPr>
              <w:pStyle w:val="TableContents"/>
              <w:bidi w:val="0"/>
              <w:spacing w:before="0" w:after="0"/>
              <w:ind w:left="0" w:right="0" w:hanging="0"/>
              <w:jc w:val="left"/>
              <w:rPr/>
            </w:pPr>
            <w:r>
              <w:rPr/>
              <w:t> </w:t>
            </w:r>
          </w:p>
        </w:tc>
        <w:tc>
          <w:tcPr>
            <w:tcW w:w="12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137,809,220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074" w:name="Tc_2qYfMabZF0utFZf6cskiqw_8_0"/>
      <w:bookmarkStart w:id="2075" w:name="Tc_Vr2igsRqdU6vYaZkcp0Qpw_7_6"/>
      <w:bookmarkStart w:id="2076" w:name="Tc_LN421zsUZEubOMB-sh3AdQ_7_4"/>
      <w:bookmarkStart w:id="2077" w:name="Tc_Wz4GyrmZJkOukiyI2ZM88w_7_0"/>
      <w:bookmarkStart w:id="2078" w:name="Tc_kINFBcYzdUmgqo75ORG2Vw_6_0"/>
      <w:bookmarkStart w:id="2079" w:name="Tc_hmgYO-q1VEiYpHcP_TnFZA_5_4"/>
      <w:bookmarkStart w:id="2080" w:name="Tc_9UffmgtVSkeZlIujtDB27w_5_2"/>
      <w:bookmarkStart w:id="2081" w:name="Tc_2yXLNqAjyUKMOvipMG_-VA_5_0"/>
      <w:bookmarkStart w:id="2082" w:name="Tc_s3-8ou-f3k6clQMZI6Xl6Q_4_0"/>
      <w:bookmarkStart w:id="2083" w:name="Tc_yIduH3umT0eRd07gzW26Gg_3_4"/>
      <w:bookmarkStart w:id="2084" w:name="Tc_yAAI3aP15kq0UwSY_NFn0Q_3_2"/>
      <w:bookmarkStart w:id="2085" w:name="Tc_BUQiQix4pkyykNnjHV0CYA_3_0"/>
      <w:bookmarkStart w:id="2086" w:name="Tc_KJEZ-2NPYEq_jwzHZTw07Q_2_6"/>
      <w:bookmarkStart w:id="2087" w:name="Tc_tCQC6hYZ1EGX0fyUAm8snw_2_4"/>
      <w:bookmarkStart w:id="2088" w:name="Tc_XYDCN1syoEaRCZslyVOpWg_2_2"/>
      <w:bookmarkStart w:id="2089" w:name="Tc_TebdY25RIEK_A4MxzRDrXQ_1_2"/>
      <w:bookmarkStart w:id="2090" w:name="_028fc06e_a88e_4d96_a477_f77963ebcbf2"/>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r>
        <w:rPr>
          <w:rFonts w:ascii="Times New Roman;Times;serif" w:hAnsi="Times New Roman;Times;serif"/>
          <w:b/>
          <w:sz w:val="20"/>
        </w:rPr>
        <w:t>26.  Related Party Balances and Transactions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principal related parties with which the Group had transactions during the years presented are as follows: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7235"/>
        <w:gridCol w:w="326"/>
        <w:gridCol w:w="2644"/>
      </w:tblGrid>
      <w:tr>
        <w:trPr/>
        <w:tc>
          <w:tcPr>
            <w:tcW w:w="7235"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07010" cy="29210"/>
                      <wp:effectExtent l="0" t="0" r="0" b="0"/>
                      <wp:wrapNone/>
                      <wp:docPr id="523" name="Frame520"/>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1678940" cy="29210"/>
                      <wp:effectExtent l="0" t="0" r="0" b="0"/>
                      <wp:wrapNone/>
                      <wp:docPr id="524" name="Frame521"/>
                      <a:graphic xmlns:a="http://schemas.openxmlformats.org/drawingml/2006/main">
                        <a:graphicData uri="http://schemas.microsoft.com/office/word/2010/wordprocessingShape">
                          <wps:wsp>
                            <wps:cNvSpPr txBox="1"/>
                            <wps:spPr>
                              <a:xfrm>
                                <a:off x="0" y="0"/>
                                <a:ext cx="1678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235"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of Entity or Individual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6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Relationship with the Company</w:t>
            </w:r>
          </w:p>
        </w:tc>
      </w:tr>
      <w:tr>
        <w:trPr/>
        <w:tc>
          <w:tcPr>
            <w:tcW w:w="7235"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Kunshan Siwopu Intelligent Equipment Co., Ltd. </w:t>
            </w:r>
          </w:p>
        </w:tc>
        <w:tc>
          <w:tcPr>
            <w:tcW w:w="326" w:type="dxa"/>
            <w:tcBorders/>
            <w:shd w:fill="CCEEFF" w:val="clear"/>
            <w:vAlign w:val="center"/>
          </w:tcPr>
          <w:p>
            <w:pPr>
              <w:pStyle w:val="TableContents"/>
              <w:pBdr/>
              <w:bidi w:val="0"/>
              <w:spacing w:before="0" w:after="0"/>
              <w:ind w:left="0" w:right="0" w:hanging="0"/>
              <w:jc w:val="left"/>
              <w:rPr/>
            </w:pPr>
            <w:r>
              <w:rPr/>
              <w:t>​</w:t>
            </w:r>
          </w:p>
        </w:tc>
        <w:tc>
          <w:tcPr>
            <w:tcW w:w="264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investee of the Group</w:t>
            </w:r>
          </w:p>
        </w:tc>
      </w:tr>
      <w:tr>
        <w:trPr/>
        <w:tc>
          <w:tcPr>
            <w:tcW w:w="723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Nanjing Weibang Transmission Technology Co., Ltd. </w:t>
            </w:r>
          </w:p>
        </w:tc>
        <w:tc>
          <w:tcPr>
            <w:tcW w:w="326" w:type="dxa"/>
            <w:tcBorders/>
            <w:vAlign w:val="center"/>
          </w:tcPr>
          <w:p>
            <w:pPr>
              <w:pStyle w:val="TableContents"/>
              <w:bidi w:val="0"/>
              <w:spacing w:before="0" w:after="0"/>
              <w:ind w:left="0" w:right="0" w:hanging="0"/>
              <w:jc w:val="left"/>
              <w:rPr/>
            </w:pPr>
            <w:r>
              <w:rPr/>
              <w:t>​</w:t>
            </w:r>
          </w:p>
        </w:tc>
        <w:tc>
          <w:tcPr>
            <w:tcW w:w="26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investee of the Group</w:t>
            </w:r>
          </w:p>
        </w:tc>
      </w:tr>
      <w:tr>
        <w:trPr/>
        <w:tc>
          <w:tcPr>
            <w:tcW w:w="723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Wuhan Weineng Battery Assets Co., Ltd. and its subsidiary</w:t>
            </w:r>
          </w:p>
        </w:tc>
        <w:tc>
          <w:tcPr>
            <w:tcW w:w="326" w:type="dxa"/>
            <w:tcBorders/>
            <w:shd w:fill="CCEEFF" w:val="clear"/>
            <w:vAlign w:val="center"/>
          </w:tcPr>
          <w:p>
            <w:pPr>
              <w:pStyle w:val="TableContents"/>
              <w:bidi w:val="0"/>
              <w:spacing w:before="0" w:after="0"/>
              <w:ind w:left="0" w:right="0" w:hanging="0"/>
              <w:jc w:val="left"/>
              <w:rPr/>
            </w:pPr>
            <w:r>
              <w:rPr/>
              <w:t>​</w:t>
            </w:r>
          </w:p>
        </w:tc>
        <w:tc>
          <w:tcPr>
            <w:tcW w:w="26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investee of the Group</w:t>
            </w:r>
          </w:p>
        </w:tc>
      </w:tr>
      <w:tr>
        <w:trPr/>
        <w:tc>
          <w:tcPr>
            <w:tcW w:w="723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Xunjie Energy (Wuhan) Co., Ltd. </w:t>
            </w:r>
          </w:p>
        </w:tc>
        <w:tc>
          <w:tcPr>
            <w:tcW w:w="326" w:type="dxa"/>
            <w:tcBorders/>
            <w:vAlign w:val="center"/>
          </w:tcPr>
          <w:p>
            <w:pPr>
              <w:pStyle w:val="TableContents"/>
              <w:bidi w:val="0"/>
              <w:spacing w:before="0" w:after="0"/>
              <w:ind w:left="0" w:right="0" w:hanging="0"/>
              <w:jc w:val="left"/>
              <w:rPr/>
            </w:pPr>
            <w:r>
              <w:rPr/>
              <w:t>​</w:t>
            </w:r>
          </w:p>
        </w:tc>
        <w:tc>
          <w:tcPr>
            <w:tcW w:w="26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investee of the Group</w:t>
            </w:r>
          </w:p>
        </w:tc>
      </w:tr>
      <w:tr>
        <w:trPr/>
        <w:tc>
          <w:tcPr>
            <w:tcW w:w="723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Jianglai Advanced Manufacturing Technology (Anhui) Co., Ltd. </w:t>
            </w:r>
          </w:p>
        </w:tc>
        <w:tc>
          <w:tcPr>
            <w:tcW w:w="326" w:type="dxa"/>
            <w:tcBorders/>
            <w:shd w:fill="CCEEFF" w:val="clear"/>
            <w:vAlign w:val="center"/>
          </w:tcPr>
          <w:p>
            <w:pPr>
              <w:pStyle w:val="TableContents"/>
              <w:bidi w:val="0"/>
              <w:spacing w:before="0" w:after="0"/>
              <w:ind w:left="0" w:right="0" w:hanging="0"/>
              <w:jc w:val="left"/>
              <w:rPr/>
            </w:pPr>
            <w:r>
              <w:rPr/>
              <w:t>​</w:t>
            </w:r>
          </w:p>
        </w:tc>
        <w:tc>
          <w:tcPr>
            <w:tcW w:w="26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investee of the Group</w:t>
            </w:r>
          </w:p>
        </w:tc>
      </w:tr>
      <w:tr>
        <w:trPr/>
        <w:tc>
          <w:tcPr>
            <w:tcW w:w="723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Blue Horizon Limited and its subsidiaries</w:t>
            </w:r>
          </w:p>
        </w:tc>
        <w:tc>
          <w:tcPr>
            <w:tcW w:w="326" w:type="dxa"/>
            <w:tcBorders/>
            <w:vAlign w:val="center"/>
          </w:tcPr>
          <w:p>
            <w:pPr>
              <w:pStyle w:val="TableContents"/>
              <w:bidi w:val="0"/>
              <w:spacing w:before="0" w:after="0"/>
              <w:ind w:left="0" w:right="0" w:hanging="0"/>
              <w:jc w:val="left"/>
              <w:rPr/>
            </w:pPr>
            <w:r>
              <w:rPr/>
              <w:t>​</w:t>
            </w:r>
          </w:p>
        </w:tc>
        <w:tc>
          <w:tcPr>
            <w:tcW w:w="26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investee of the Group</w:t>
            </w:r>
          </w:p>
        </w:tc>
      </w:tr>
      <w:tr>
        <w:trPr/>
        <w:tc>
          <w:tcPr>
            <w:tcW w:w="723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VTA Technology Co., Ltd.</w:t>
            </w:r>
          </w:p>
        </w:tc>
        <w:tc>
          <w:tcPr>
            <w:tcW w:w="326" w:type="dxa"/>
            <w:tcBorders/>
            <w:shd w:fill="CCEEFF" w:val="clear"/>
            <w:vAlign w:val="center"/>
          </w:tcPr>
          <w:p>
            <w:pPr>
              <w:pStyle w:val="TableContents"/>
              <w:bidi w:val="0"/>
              <w:spacing w:before="0" w:after="0"/>
              <w:ind w:left="0" w:right="0" w:hanging="0"/>
              <w:jc w:val="left"/>
              <w:rPr/>
            </w:pPr>
            <w:r>
              <w:rPr/>
              <w:t>​</w:t>
            </w:r>
          </w:p>
        </w:tc>
        <w:tc>
          <w:tcPr>
            <w:tcW w:w="26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investee of the Group</w:t>
            </w:r>
          </w:p>
        </w:tc>
      </w:tr>
      <w:tr>
        <w:trPr/>
        <w:tc>
          <w:tcPr>
            <w:tcW w:w="723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WeLion New Energy Technology Co., Ltd.</w:t>
            </w:r>
          </w:p>
        </w:tc>
        <w:tc>
          <w:tcPr>
            <w:tcW w:w="326" w:type="dxa"/>
            <w:tcBorders/>
            <w:vAlign w:val="center"/>
          </w:tcPr>
          <w:p>
            <w:pPr>
              <w:pStyle w:val="TableContents"/>
              <w:bidi w:val="0"/>
              <w:spacing w:before="0" w:after="0"/>
              <w:ind w:left="0" w:right="0" w:hanging="0"/>
              <w:jc w:val="left"/>
              <w:rPr/>
            </w:pPr>
            <w:r>
              <w:rPr/>
              <w:t>​</w:t>
            </w:r>
          </w:p>
        </w:tc>
        <w:tc>
          <w:tcPr>
            <w:tcW w:w="26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investee of the Group</w:t>
            </w:r>
          </w:p>
        </w:tc>
      </w:tr>
      <w:tr>
        <w:trPr/>
        <w:tc>
          <w:tcPr>
            <w:tcW w:w="723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Hefei Chuang Wei Information Consultation Co., Ltd.</w:t>
            </w:r>
          </w:p>
        </w:tc>
        <w:tc>
          <w:tcPr>
            <w:tcW w:w="326" w:type="dxa"/>
            <w:tcBorders/>
            <w:shd w:fill="CCEEFF" w:val="clear"/>
            <w:vAlign w:val="center"/>
          </w:tcPr>
          <w:p>
            <w:pPr>
              <w:pStyle w:val="TableContents"/>
              <w:bidi w:val="0"/>
              <w:spacing w:before="0" w:after="0"/>
              <w:ind w:left="0" w:right="0" w:hanging="0"/>
              <w:jc w:val="left"/>
              <w:rPr/>
            </w:pPr>
            <w:r>
              <w:rPr/>
              <w:t>​</w:t>
            </w:r>
          </w:p>
        </w:tc>
        <w:tc>
          <w:tcPr>
            <w:tcW w:w="26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Controlled by Principal Shareholder</w:t>
            </w:r>
          </w:p>
        </w:tc>
      </w:tr>
      <w:tr>
        <w:trPr/>
        <w:tc>
          <w:tcPr>
            <w:tcW w:w="723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Huang River Investment Limited</w:t>
            </w:r>
          </w:p>
        </w:tc>
        <w:tc>
          <w:tcPr>
            <w:tcW w:w="326" w:type="dxa"/>
            <w:tcBorders/>
            <w:vAlign w:val="center"/>
          </w:tcPr>
          <w:p>
            <w:pPr>
              <w:pStyle w:val="TableContents"/>
              <w:bidi w:val="0"/>
              <w:spacing w:before="0" w:after="0"/>
              <w:ind w:left="0" w:right="0" w:hanging="0"/>
              <w:jc w:val="left"/>
              <w:rPr/>
            </w:pPr>
            <w:r>
              <w:rPr/>
              <w:t>​</w:t>
            </w:r>
          </w:p>
        </w:tc>
        <w:tc>
          <w:tcPr>
            <w:tcW w:w="26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Controlled by Principal Shareholder</w:t>
            </w:r>
          </w:p>
        </w:tc>
      </w:tr>
      <w:tr>
        <w:trPr/>
        <w:tc>
          <w:tcPr>
            <w:tcW w:w="723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Tianjin Tengyi Information Technology Co., Ltd. (formerly known as Tianjin Boyou Information Technology Co., Ltd.)</w:t>
            </w:r>
          </w:p>
        </w:tc>
        <w:tc>
          <w:tcPr>
            <w:tcW w:w="326" w:type="dxa"/>
            <w:tcBorders/>
            <w:shd w:fill="CCEEFF" w:val="clear"/>
            <w:vAlign w:val="center"/>
          </w:tcPr>
          <w:p>
            <w:pPr>
              <w:pStyle w:val="TableContents"/>
              <w:bidi w:val="0"/>
              <w:spacing w:before="0" w:after="0"/>
              <w:ind w:left="0" w:right="0" w:hanging="0"/>
              <w:jc w:val="left"/>
              <w:rPr/>
            </w:pPr>
            <w:r>
              <w:rPr/>
              <w:t>​</w:t>
            </w:r>
          </w:p>
        </w:tc>
        <w:tc>
          <w:tcPr>
            <w:tcW w:w="26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Controlled by Principal Shareholder</w:t>
            </w:r>
          </w:p>
        </w:tc>
      </w:tr>
      <w:tr>
        <w:trPr/>
        <w:tc>
          <w:tcPr>
            <w:tcW w:w="723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Forseven Limited and its affiliate</w:t>
            </w:r>
          </w:p>
        </w:tc>
        <w:tc>
          <w:tcPr>
            <w:tcW w:w="326" w:type="dxa"/>
            <w:tcBorders/>
            <w:vAlign w:val="center"/>
          </w:tcPr>
          <w:p>
            <w:pPr>
              <w:pStyle w:val="TableContents"/>
              <w:bidi w:val="0"/>
              <w:spacing w:before="0" w:after="0"/>
              <w:ind w:left="0" w:right="0" w:hanging="0"/>
              <w:jc w:val="left"/>
              <w:rPr/>
            </w:pPr>
            <w:r>
              <w:rPr/>
              <w:t>​</w:t>
            </w:r>
          </w:p>
        </w:tc>
        <w:tc>
          <w:tcPr>
            <w:tcW w:w="26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Controlled by Principal Shareholder</w:t>
            </w:r>
          </w:p>
        </w:tc>
      </w:tr>
      <w:tr>
        <w:trPr/>
        <w:tc>
          <w:tcPr>
            <w:tcW w:w="723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Weixu Business Consulting Co., Ltd</w:t>
            </w:r>
          </w:p>
        </w:tc>
        <w:tc>
          <w:tcPr>
            <w:tcW w:w="326" w:type="dxa"/>
            <w:tcBorders/>
            <w:shd w:fill="CCEEFF" w:val="clear"/>
            <w:vAlign w:val="center"/>
          </w:tcPr>
          <w:p>
            <w:pPr>
              <w:pStyle w:val="TableContents"/>
              <w:bidi w:val="0"/>
              <w:spacing w:before="0" w:after="0"/>
              <w:ind w:left="0" w:right="0" w:hanging="0"/>
              <w:jc w:val="left"/>
              <w:rPr/>
            </w:pPr>
            <w:r>
              <w:rPr/>
              <w:t>​</w:t>
            </w:r>
          </w:p>
        </w:tc>
        <w:tc>
          <w:tcPr>
            <w:tcW w:w="26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Significantly influenced by Principal Shareholder</w:t>
            </w:r>
          </w:p>
        </w:tc>
      </w:tr>
      <w:tr>
        <w:trPr/>
        <w:tc>
          <w:tcPr>
            <w:tcW w:w="723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Zhejiang Weilai Xinneng Private Equity Management Co., Ltd. (formerly known as Ningbo Meishan Free Trade Port Weilai Xinneng Investment Management Co., Lt)</w:t>
            </w:r>
          </w:p>
        </w:tc>
        <w:tc>
          <w:tcPr>
            <w:tcW w:w="326" w:type="dxa"/>
            <w:tcBorders/>
            <w:vAlign w:val="center"/>
          </w:tcPr>
          <w:p>
            <w:pPr>
              <w:pStyle w:val="TableContents"/>
              <w:bidi w:val="0"/>
              <w:spacing w:before="0" w:after="0"/>
              <w:ind w:left="0" w:right="0" w:hanging="0"/>
              <w:jc w:val="left"/>
              <w:rPr/>
            </w:pPr>
            <w:r>
              <w:rPr/>
              <w:t>​</w:t>
            </w:r>
          </w:p>
        </w:tc>
        <w:tc>
          <w:tcPr>
            <w:tcW w:w="26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Significantly influenced by Principal Shareholder</w:t>
            </w:r>
          </w:p>
        </w:tc>
      </w:tr>
      <w:tr>
        <w:trPr/>
        <w:tc>
          <w:tcPr>
            <w:tcW w:w="723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Weishang Business Consulting Co., Ltd.</w:t>
            </w:r>
          </w:p>
        </w:tc>
        <w:tc>
          <w:tcPr>
            <w:tcW w:w="326" w:type="dxa"/>
            <w:tcBorders/>
            <w:shd w:fill="CCEEFF" w:val="clear"/>
            <w:vAlign w:val="center"/>
          </w:tcPr>
          <w:p>
            <w:pPr>
              <w:pStyle w:val="TableContents"/>
              <w:bidi w:val="0"/>
              <w:spacing w:before="0" w:after="0"/>
              <w:ind w:left="0" w:right="0" w:hanging="0"/>
              <w:jc w:val="left"/>
              <w:rPr/>
            </w:pPr>
            <w:r>
              <w:rPr/>
              <w:t>​</w:t>
            </w:r>
          </w:p>
        </w:tc>
        <w:tc>
          <w:tcPr>
            <w:tcW w:w="26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Significantly influenced by Principal Shareholder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The Group entered into the following significant related party transactions:</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(i) Provision of service</w:t>
      </w:r>
    </w:p>
    <w:p>
      <w:pPr>
        <w:pStyle w:val="TextBody"/>
        <w:bidi w:val="0"/>
        <w:spacing w:before="0" w:after="0"/>
        <w:ind w:left="0" w:right="0" w:firstLine="360"/>
        <w:jc w:val="both"/>
        <w:rPr/>
      </w:pPr>
      <w:r>
        <w:rPr>
          <w:rFonts w:ascii="Times New Roman;Times;serif" w:hAnsi="Times New Roman;Times;serif"/>
          <w:sz w:val="20"/>
        </w:rPr>
        <w:t>For the years ended December 31, 2022, 2023 and 2024, service income was primarily generated from property management</w:t>
      </w:r>
      <w:r>
        <w:rPr>
          <w:rFonts w:eastAsia="MS Mincho"/>
          <w:sz w:val="20"/>
        </w:rPr>
        <w:t>，</w:t>
      </w:r>
      <w:r>
        <w:rPr>
          <w:rFonts w:ascii="Times New Roman;Times;serif" w:hAnsi="Times New Roman;Times;serif"/>
          <w:sz w:val="20"/>
        </w:rPr>
        <w:t>administrative support, research and development services and BaaS battery buy-out services the Group provided to its related parties.</w:t>
      </w:r>
    </w:p>
    <w:p>
      <w:pPr>
        <w:pStyle w:val="TextBody"/>
        <w:bidi w:val="0"/>
        <w:spacing w:before="0" w:after="240"/>
        <w:ind w:left="0" w:right="0" w:firstLine="360"/>
        <w:jc w:val="both"/>
        <w:rPr/>
      </w:pPr>
      <w:r>
        <w:rPr/>
        <w:t>​</w:t>
      </w:r>
    </w:p>
    <w:tbl>
      <w:tblPr>
        <w:tblW w:w="8332" w:type="dxa"/>
        <w:jc w:val="left"/>
        <w:tblInd w:w="0" w:type="dxa"/>
        <w:tblLayout w:type="fixed"/>
        <w:tblCellMar>
          <w:top w:w="0" w:type="dxa"/>
          <w:left w:w="0" w:type="dxa"/>
          <w:bottom w:w="0" w:type="dxa"/>
          <w:right w:w="0" w:type="dxa"/>
        </w:tblCellMar>
      </w:tblPr>
      <w:tblGrid>
        <w:gridCol w:w="4906"/>
        <w:gridCol w:w="326"/>
        <w:gridCol w:w="781"/>
        <w:gridCol w:w="326"/>
        <w:gridCol w:w="781"/>
        <w:gridCol w:w="326"/>
        <w:gridCol w:w="886"/>
      </w:tblGrid>
      <w:tr>
        <w:trPr/>
        <w:tc>
          <w:tcPr>
            <w:tcW w:w="4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3115310" cy="175260"/>
                      <wp:effectExtent l="0" t="0" r="0" b="0"/>
                      <wp:wrapNone/>
                      <wp:docPr id="525" name="Frame522"/>
                      <a:graphic xmlns:a="http://schemas.openxmlformats.org/drawingml/2006/main">
                        <a:graphicData uri="http://schemas.microsoft.com/office/word/2010/wordprocessingShape">
                          <wps:wsp>
                            <wps:cNvSpPr txBox="1"/>
                            <wps:spPr>
                              <a:xfrm>
                                <a:off x="0" y="0"/>
                                <a:ext cx="311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07010" cy="175260"/>
                      <wp:effectExtent l="0" t="0" r="0" b="0"/>
                      <wp:wrapNone/>
                      <wp:docPr id="526" name="Frame5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495935" cy="175260"/>
                      <wp:effectExtent l="0" t="0" r="0" b="0"/>
                      <wp:wrapNone/>
                      <wp:docPr id="527" name="Frame52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07010" cy="175260"/>
                      <wp:effectExtent l="0" t="0" r="0" b="0"/>
                      <wp:wrapNone/>
                      <wp:docPr id="528" name="Frame5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495935" cy="175260"/>
                      <wp:effectExtent l="0" t="0" r="0" b="0"/>
                      <wp:wrapNone/>
                      <wp:docPr id="529" name="Frame5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07010" cy="175260"/>
                      <wp:effectExtent l="0" t="0" r="0" b="0"/>
                      <wp:wrapNone/>
                      <wp:docPr id="530" name="Frame5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562610" cy="175260"/>
                      <wp:effectExtent l="0" t="0" r="0" b="0"/>
                      <wp:wrapNone/>
                      <wp:docPr id="531" name="Frame52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4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Forseven Limited and its affiliate</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201,063</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Wuhan Weineng Battery Assets Co., Ltd. and its subsidiary</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120,967</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166,027</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101,381</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Blue Horizon Limited and its subsidiaries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3,017</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Nanjing Weibang Transmission Technology Co., Ltd.</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Weixu Business Consulting Co., Ltd.</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122,687</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167,180</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306,528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0"/>
        <w:ind w:left="360" w:right="0" w:hanging="0"/>
        <w:jc w:val="left"/>
        <w:rPr>
          <w:rFonts w:ascii="Times New Roman;Times;serif" w:hAnsi="Times New Roman;Times;serif"/>
          <w:b w:val="false"/>
          <w:i/>
          <w:sz w:val="20"/>
        </w:rPr>
      </w:pPr>
      <w:bookmarkStart w:id="2091" w:name="Tc_gjgoadO6w0eGklx4BdrZhw_3_6"/>
      <w:bookmarkStart w:id="2092" w:name="Tc_SCEvZ5o--E2NI7TfonWo7Q_3_0"/>
      <w:bookmarkStart w:id="2093" w:name="Tc_54PK17UqkkCk4Se0Yq3_dQ_2_6"/>
      <w:bookmarkStart w:id="2094" w:name="Tc_EaATv1Y5VkikoqF6ZE3MpQ_2_4"/>
      <w:bookmarkStart w:id="2095" w:name="Tc_UNwAbH1rXESltMaGl-wiUw_2_2"/>
      <w:bookmarkStart w:id="2096" w:name="Tc_AZavIfmVmESBD0VJbDEpcg_1_2"/>
      <w:bookmarkStart w:id="2097" w:name="_9551b626_04cd_4773_9c17_21aaf5fbb551"/>
      <w:bookmarkStart w:id="2098" w:name="Tc_rJdz-c1D7EuSkK7l6iA6zw_7_0"/>
      <w:bookmarkStart w:id="2099" w:name="Tc_NeO3R_vng0CaZgXV5v4Olw_6_0"/>
      <w:bookmarkStart w:id="2100" w:name="Tc_52gyyg9Y30eXyJXQgh1eGg_5_4"/>
      <w:bookmarkStart w:id="2101" w:name="Tc_y0mgEgk5Q0qaRaAYQ__gfQ_5_2"/>
      <w:bookmarkStart w:id="2102" w:name="Tc_q278VqiuFkCv4D-3IvSGUw_5_0"/>
      <w:bookmarkStart w:id="2103" w:name="Tc_HC_hp5rsgkWZEyYot-8bxg_4_4"/>
      <w:bookmarkStart w:id="2104" w:name="Tc_KN99mZF4F0qeGW9qVFXz9Q_4_2"/>
      <w:bookmarkStart w:id="2105" w:name="Tc_hs5Tt-gtmkuSs0qF2cOPQw_4_0"/>
      <w:bookmarkStart w:id="2106" w:name="Tc_ZwnU63rYmU21TZJNYNpBfQ_3_4"/>
      <w:bookmarkStart w:id="2107" w:name="Tc_hwg6rHphJE-keSayES94UA_3_2"/>
      <w:bookmarkStart w:id="2108" w:name="Tc_2KCALNYoCUWLTFLh8aqHZQ_3_0"/>
      <w:bookmarkStart w:id="2109" w:name="Tc_-3Vy2bVzckauVKjzdiTJJw_2_6"/>
      <w:bookmarkStart w:id="2110" w:name="Tc_GZCvgFGoPE-ffeq4p-V5ag_2_4"/>
      <w:bookmarkStart w:id="2111" w:name="Tc_TQocZzxoBUm0hisNdvYb4Q_2_2"/>
      <w:bookmarkStart w:id="2112" w:name="Tc_aYdYRqb2ZUOpI3grctMCMA_1_2"/>
      <w:bookmarkStart w:id="2113" w:name="_df04ee16_64f5_41dd_95f3_85a6cc9bb296"/>
      <w:bookmarkStart w:id="2114" w:name="Tc_WSk1sw7jx0C-KIwu1NUJqw_7_0"/>
      <w:bookmarkStart w:id="2115" w:name="Tc_Gk2citJz2Uai1nwbVtU76A_6_6"/>
      <w:bookmarkStart w:id="2116" w:name="Tc_7aegKWnVk0C6Xq8ed1AVrw_6_0"/>
      <w:bookmarkStart w:id="2117" w:name="Tc_k-QvYbePo0abeh09sIz8pQ_5_0"/>
      <w:bookmarkStart w:id="2118" w:name="Tc_zAGBstsTYU6UsKcOySaYTA_4_4"/>
      <w:bookmarkStart w:id="2119" w:name="Tc_3PKW__5omEWVKs7R-CRBvQ_4_2"/>
      <w:bookmarkStart w:id="2120" w:name="Tc_rb5hUwFbWU-W2zLsztH9yQ_4_0"/>
      <w:bookmarkStart w:id="2121" w:name="Tc_itWh6ndz00GErZXVxHQnZw_3_0"/>
      <w:bookmarkStart w:id="2122" w:name="Tc_04Nd-pybf0CXKOoVjAaydQ_2_6"/>
      <w:bookmarkStart w:id="2123" w:name="Tc_GJlsgICNyk25B_o5kVAbHw_2_4"/>
      <w:bookmarkStart w:id="2124" w:name="Tc_AH5LPK_-VkOYrjmFh85EPg_2_2"/>
      <w:bookmarkStart w:id="2125" w:name="Tc_-KJyO0hZNEyOt6WCao7aAQ_1_2"/>
      <w:bookmarkStart w:id="2126" w:name="_00bc4e11_58a5_4cc4_a7de_a260c9d7cef7"/>
      <w:bookmarkStart w:id="2127" w:name="Tc_m1bgByXOiUO97V9aWoPrrQ_10_0"/>
      <w:bookmarkStart w:id="2128" w:name="Tc_tokJJeMSKEOBzu9hzAXC3g_9_4"/>
      <w:bookmarkStart w:id="2129" w:name="Tc_utfDCVVIEU-C72m1_McL8Q_9_2"/>
      <w:bookmarkStart w:id="2130" w:name="Tc_uRDVAUem4UipvBomtv0fPQ_9_0"/>
      <w:bookmarkStart w:id="2131" w:name="Tc_SVYsFrfyAEi9zN15nzxDqQ_8_4"/>
      <w:bookmarkStart w:id="2132" w:name="Tc_SHQsLliU6EqFGGQ09MeqFA_8_2"/>
      <w:bookmarkStart w:id="2133" w:name="Tc_a3pngVcwZUK2QY0VvQAaIw_8_0"/>
      <w:bookmarkStart w:id="2134" w:name="Tc_NnR6359gvkCxLy-LyHfshQ_7_4"/>
      <w:bookmarkStart w:id="2135" w:name="Tc_jbIKLaYU4EyyH9LU-IXESA_7_2"/>
      <w:bookmarkStart w:id="2136" w:name="Tc_Jj-xocdZwkiK-QMyiBi1hQ_7_0"/>
      <w:bookmarkStart w:id="2137" w:name="Tc_evhM167WR0q11YIJrRipEg_6_0"/>
      <w:bookmarkStart w:id="2138" w:name="Tc_MFVw0O4Lt0yJKTtlC-Ko-w_5_4"/>
      <w:bookmarkStart w:id="2139" w:name="Tc_XlwlzoH8eUG1QrqHBeU1Gw_5_2"/>
      <w:bookmarkStart w:id="2140" w:name="Tc_hNZBLljY5EqbtDcqyJyOQQ_5_0"/>
      <w:bookmarkStart w:id="2141" w:name="Tc_bbanYTToCkeGm-9YqJPLsw_4_0"/>
      <w:bookmarkStart w:id="2142" w:name="Tc_09ytUaj_r0qfd791V8xbNg_3_0"/>
      <w:bookmarkStart w:id="2143" w:name="Tc_Q34O0koeo0C7kwnpVv_T6Q_2_6"/>
      <w:bookmarkStart w:id="2144" w:name="Tc_PD_E_T6aUkCo3CAVzsJr6Q_2_4"/>
      <w:bookmarkStart w:id="2145" w:name="Tc_3-5UumkAlku_ygLnaDaupg_2_2"/>
      <w:bookmarkStart w:id="2146" w:name="Tc_JHRdFiXW2kq3AaDkGPtvqQ_1_2"/>
      <w:bookmarkStart w:id="2147" w:name="_9dbe861d_a83c_47a0_a945_c9312862d495"/>
      <w:bookmarkStart w:id="2148" w:name="Tc_FdC1rH86xkiB1s_wP_L3mA_11_0"/>
      <w:bookmarkStart w:id="2149" w:name="Tc_EvS2kALbdkq5uM9l55kyrA_10_6"/>
      <w:bookmarkStart w:id="2150" w:name="Tc_J2HGxhdnH0KvHj08ULaHFg_10_4"/>
      <w:bookmarkStart w:id="2151" w:name="Tc_ThlMHNX2B0GQenb56K_VgQ_10_0"/>
      <w:bookmarkStart w:id="2152" w:name="Tc_1UW2uJtCH06CKYG-3jaKAA_9_4"/>
      <w:bookmarkStart w:id="2153" w:name="Tc_T1M_pwRv3kSdw-8kRCO7kw_9_2"/>
      <w:bookmarkStart w:id="2154" w:name="Tc_VEC-zYT6Y02spnHFosycfg_9_0"/>
      <w:bookmarkStart w:id="2155" w:name="Tc_ENIOW4QxqkCf3pl2yU760g_8_4"/>
      <w:bookmarkStart w:id="2156" w:name="Tc_bdb6MZKFNEeVy64NQiFtXA_8_0"/>
      <w:bookmarkStart w:id="2157" w:name="Tc_KZj4IlmRpkSQEGgdhN-UtA_7_4"/>
      <w:bookmarkStart w:id="2158" w:name="Tc_pKWJmFKKUUCju-jVmd6Wlg_7_0"/>
      <w:bookmarkStart w:id="2159" w:name="Tc_hYJxRLhnUUGrudHHCOuFQw_6_0"/>
      <w:bookmarkStart w:id="2160" w:name="Tc_vdW69iT9QEaAUR4AJZWPlw_5_0"/>
      <w:bookmarkStart w:id="2161" w:name="Tc_FB9UI2yuxkOi1gSC8zpDFg_4_2"/>
      <w:bookmarkStart w:id="2162" w:name="Tc_sLHvwmSsk02BfOkrXKjhvg_4_0"/>
      <w:bookmarkStart w:id="2163" w:name="Tc_wdV2tHPHykOs6ig406y1Lw_3_0"/>
      <w:bookmarkStart w:id="2164" w:name="Tc_ukn_v_qgKU6niFQov_vngA_2_6"/>
      <w:bookmarkStart w:id="2165" w:name="Tc_uBfGgJTg6ku2-glqH8xDEg_2_4"/>
      <w:bookmarkStart w:id="2166" w:name="Tc_gnsV9E6y3ECqpaw_z6Bcrw_2_2"/>
      <w:bookmarkStart w:id="2167" w:name="Tc_j_9HC7JUFEG0ZFHXRfXuPQ_1_2"/>
      <w:bookmarkStart w:id="2168" w:name="_31ca8bb6_9761_4157_a726_020dc5e1daaa"/>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r>
        <w:rPr>
          <w:rFonts w:ascii="Times New Roman;Times;serif" w:hAnsi="Times New Roman;Times;serif"/>
          <w:b w:val="false"/>
          <w:i/>
          <w:sz w:val="20"/>
        </w:rPr>
        <w:t>(ii) Purchase of service</w:t>
      </w:r>
    </w:p>
    <w:p>
      <w:pPr>
        <w:pStyle w:val="TextBody"/>
        <w:bidi w:val="0"/>
        <w:spacing w:before="0" w:after="240"/>
        <w:ind w:left="0" w:right="0" w:firstLine="360"/>
        <w:jc w:val="both"/>
        <w:rPr/>
      </w:pPr>
      <w:r>
        <w:rPr/>
        <w:t>​</w:t>
      </w:r>
    </w:p>
    <w:tbl>
      <w:tblPr>
        <w:tblW w:w="8782" w:type="dxa"/>
        <w:jc w:val="left"/>
        <w:tblInd w:w="0" w:type="dxa"/>
        <w:tblLayout w:type="fixed"/>
        <w:tblCellMar>
          <w:top w:w="0" w:type="dxa"/>
          <w:left w:w="0" w:type="dxa"/>
          <w:bottom w:w="0" w:type="dxa"/>
          <w:right w:w="0" w:type="dxa"/>
        </w:tblCellMar>
      </w:tblPr>
      <w:tblGrid>
        <w:gridCol w:w="5356"/>
        <w:gridCol w:w="326"/>
        <w:gridCol w:w="781"/>
        <w:gridCol w:w="326"/>
        <w:gridCol w:w="781"/>
        <w:gridCol w:w="326"/>
        <w:gridCol w:w="886"/>
      </w:tblGrid>
      <w:tr>
        <w:trPr/>
        <w:tc>
          <w:tcPr>
            <w:tcW w:w="5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3401060" cy="175260"/>
                      <wp:effectExtent l="0" t="0" r="0" b="0"/>
                      <wp:wrapNone/>
                      <wp:docPr id="532" name="Frame529"/>
                      <a:graphic xmlns:a="http://schemas.openxmlformats.org/drawingml/2006/main">
                        <a:graphicData uri="http://schemas.microsoft.com/office/word/2010/wordprocessingShape">
                          <wps:wsp>
                            <wps:cNvSpPr txBox="1"/>
                            <wps:spPr>
                              <a:xfrm>
                                <a:off x="0" y="0"/>
                                <a:ext cx="3401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07010" cy="175260"/>
                      <wp:effectExtent l="0" t="0" r="0" b="0"/>
                      <wp:wrapNone/>
                      <wp:docPr id="533" name="Frame5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495935" cy="175260"/>
                      <wp:effectExtent l="0" t="0" r="0" b="0"/>
                      <wp:wrapNone/>
                      <wp:docPr id="534" name="Frame5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07010" cy="175260"/>
                      <wp:effectExtent l="0" t="0" r="0" b="0"/>
                      <wp:wrapNone/>
                      <wp:docPr id="535" name="Frame5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495935" cy="175260"/>
                      <wp:effectExtent l="0" t="0" r="0" b="0"/>
                      <wp:wrapNone/>
                      <wp:docPr id="536" name="Frame53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07010" cy="175260"/>
                      <wp:effectExtent l="0" t="0" r="0" b="0"/>
                      <wp:wrapNone/>
                      <wp:docPr id="537" name="Frame5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562610" cy="175260"/>
                      <wp:effectExtent l="0" t="0" r="0" b="0"/>
                      <wp:wrapNone/>
                      <wp:docPr id="538" name="Frame53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Jianglai Advanced Manufacturing Technology (Anhui) Co., Ltd.</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107,144</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184,279</w:t>
            </w:r>
          </w:p>
        </w:tc>
        <w:tc>
          <w:tcPr>
            <w:tcW w:w="32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92,549</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WeLion New Energy Technology Co., Ltd.</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34,016</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21,603</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Wuhan Weineng Battery Assets Co., Ltd. and its subsidiary</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8,508</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23,878</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17,594</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Tianjin Tengyi Information Technology Co., Ltd.</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8,984</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7,823</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15,031</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Kunshan Siwopu Intelligent Equipment Co., Ltd.</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13,956</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5,738</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Xunjie Energy (Wuhan) Co., Ltd.</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3,735</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VTA Technology Co., Ltd.</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Zhejiang Weilai Xinneng Private Equity Management Co., Ltd.</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3,015</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145,342</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249,996</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153,799</w:t>
            </w:r>
          </w:p>
        </w:tc>
      </w:tr>
    </w:tbl>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b w:val="false"/>
          <w:i/>
          <w:sz w:val="20"/>
        </w:rPr>
      </w:pPr>
      <w:r>
        <w:rPr>
          <w:rFonts w:ascii="Times New Roman;Times;serif" w:hAnsi="Times New Roman;Times;serif"/>
          <w:b w:val="false"/>
          <w:i/>
          <w:sz w:val="20"/>
        </w:rPr>
        <w:t>(iii) Purchase of raw material or property, plant and equipment</w:t>
      </w:r>
    </w:p>
    <w:p>
      <w:pPr>
        <w:pStyle w:val="TextBody"/>
        <w:bidi w:val="0"/>
        <w:spacing w:before="0" w:after="240"/>
        <w:ind w:left="0" w:right="0" w:firstLine="360"/>
        <w:jc w:val="both"/>
        <w:rPr/>
      </w:pPr>
      <w:r>
        <w:rPr/>
        <w:t>​</w:t>
      </w:r>
    </w:p>
    <w:tbl>
      <w:tblPr>
        <w:tblW w:w="9082" w:type="dxa"/>
        <w:jc w:val="left"/>
        <w:tblInd w:w="0" w:type="dxa"/>
        <w:tblLayout w:type="fixed"/>
        <w:tblCellMar>
          <w:top w:w="0" w:type="dxa"/>
          <w:left w:w="0" w:type="dxa"/>
          <w:bottom w:w="0" w:type="dxa"/>
          <w:right w:w="0" w:type="dxa"/>
        </w:tblCellMar>
      </w:tblPr>
      <w:tblGrid>
        <w:gridCol w:w="5356"/>
        <w:gridCol w:w="326"/>
        <w:gridCol w:w="931"/>
        <w:gridCol w:w="326"/>
        <w:gridCol w:w="931"/>
        <w:gridCol w:w="326"/>
        <w:gridCol w:w="886"/>
      </w:tblGrid>
      <w:tr>
        <w:trPr/>
        <w:tc>
          <w:tcPr>
            <w:tcW w:w="5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3401060" cy="175260"/>
                      <wp:effectExtent l="0" t="0" r="0" b="0"/>
                      <wp:wrapNone/>
                      <wp:docPr id="539" name="Frame536"/>
                      <a:graphic xmlns:a="http://schemas.openxmlformats.org/drawingml/2006/main">
                        <a:graphicData uri="http://schemas.microsoft.com/office/word/2010/wordprocessingShape">
                          <wps:wsp>
                            <wps:cNvSpPr txBox="1"/>
                            <wps:spPr>
                              <a:xfrm>
                                <a:off x="0" y="0"/>
                                <a:ext cx="3401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07010" cy="175260"/>
                      <wp:effectExtent l="0" t="0" r="0" b="0"/>
                      <wp:wrapNone/>
                      <wp:docPr id="540" name="Frame5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591185" cy="175260"/>
                      <wp:effectExtent l="0" t="0" r="0" b="0"/>
                      <wp:wrapNone/>
                      <wp:docPr id="541" name="Frame53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07010" cy="175260"/>
                      <wp:effectExtent l="0" t="0" r="0" b="0"/>
                      <wp:wrapNone/>
                      <wp:docPr id="542" name="Frame5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591185" cy="175260"/>
                      <wp:effectExtent l="0" t="0" r="0" b="0"/>
                      <wp:wrapNone/>
                      <wp:docPr id="543" name="Frame54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07010" cy="175260"/>
                      <wp:effectExtent l="0" t="0" r="0" b="0"/>
                      <wp:wrapNone/>
                      <wp:docPr id="544" name="Frame5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562610" cy="175260"/>
                      <wp:effectExtent l="0" t="0" r="0" b="0"/>
                      <wp:wrapNone/>
                      <wp:docPr id="545" name="Frame54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Kunshan Siwopu Intelligent Equipment Co., Ltd.</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728,096</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1,062,521</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86,985</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Nanjing Weibang Transmission Technology Co., Ltd.</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248,604</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73,071</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85,938</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WeLion New Energy Technology Co., Ltd.</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48,547</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Xunjie Energy (Wuhan) Co., Ltd.</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90,132</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111,875</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37,603</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Jianglai Advanced Manufacturing Technology (Anhui) Co., Ltd.</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32,213</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VTA Technology Co., Ltd.</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2,485</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Wuhan Weineng Battery Assets Co., Ltd. and its subsidiary</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1,066,832</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1,247,467</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293,779</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(iv) Sales of goods</w:t>
      </w:r>
    </w:p>
    <w:tbl>
      <w:tblPr>
        <w:tblW w:w="8782" w:type="dxa"/>
        <w:jc w:val="left"/>
        <w:tblInd w:w="0" w:type="dxa"/>
        <w:tblLayout w:type="fixed"/>
        <w:tblCellMar>
          <w:top w:w="0" w:type="dxa"/>
          <w:left w:w="0" w:type="dxa"/>
          <w:bottom w:w="0" w:type="dxa"/>
          <w:right w:w="0" w:type="dxa"/>
        </w:tblCellMar>
      </w:tblPr>
      <w:tblGrid>
        <w:gridCol w:w="4906"/>
        <w:gridCol w:w="326"/>
        <w:gridCol w:w="931"/>
        <w:gridCol w:w="326"/>
        <w:gridCol w:w="931"/>
        <w:gridCol w:w="326"/>
        <w:gridCol w:w="1036"/>
      </w:tblGrid>
      <w:tr>
        <w:trPr/>
        <w:tc>
          <w:tcPr>
            <w:tcW w:w="4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3115310" cy="175260"/>
                      <wp:effectExtent l="0" t="0" r="0" b="0"/>
                      <wp:wrapNone/>
                      <wp:docPr id="546" name="Frame543"/>
                      <a:graphic xmlns:a="http://schemas.openxmlformats.org/drawingml/2006/main">
                        <a:graphicData uri="http://schemas.microsoft.com/office/word/2010/wordprocessingShape">
                          <wps:wsp>
                            <wps:cNvSpPr txBox="1"/>
                            <wps:spPr>
                              <a:xfrm>
                                <a:off x="0" y="0"/>
                                <a:ext cx="311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07010" cy="175260"/>
                      <wp:effectExtent l="0" t="0" r="0" b="0"/>
                      <wp:wrapNone/>
                      <wp:docPr id="547" name="Frame5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591185" cy="175260"/>
                      <wp:effectExtent l="0" t="0" r="0" b="0"/>
                      <wp:wrapNone/>
                      <wp:docPr id="548" name="Frame54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07010" cy="175260"/>
                      <wp:effectExtent l="0" t="0" r="0" b="0"/>
                      <wp:wrapNone/>
                      <wp:docPr id="549" name="Frame5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591185" cy="175260"/>
                      <wp:effectExtent l="0" t="0" r="0" b="0"/>
                      <wp:wrapNone/>
                      <wp:docPr id="550" name="Frame54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07010" cy="175260"/>
                      <wp:effectExtent l="0" t="0" r="0" b="0"/>
                      <wp:wrapNone/>
                      <wp:docPr id="551" name="Frame5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57860" cy="175260"/>
                      <wp:effectExtent l="0" t="0" r="0" b="0"/>
                      <wp:wrapNone/>
                      <wp:docPr id="552" name="Frame54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4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Wuhan Weineng Battery Assets Co., Ltd. and its subsidiary</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3,103,871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1,457,500</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9,848,487</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Blue Horizon Limited and its subsidiaries</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69,447</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Weishang Business Consulting Co., Ltd.</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Hefei Chuangwei Information Consultation Co., Ltd.</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1,798</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3,105,898</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1,457,893</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9,918,265</w:t>
            </w:r>
          </w:p>
        </w:tc>
      </w:tr>
    </w:tbl>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b w:val="false"/>
          <w:i/>
          <w:sz w:val="20"/>
        </w:rPr>
      </w:pPr>
      <w:r>
        <w:rPr>
          <w:rFonts w:ascii="Times New Roman;Times;serif" w:hAnsi="Times New Roman;Times;serif"/>
          <w:b w:val="false"/>
          <w:i/>
          <w:sz w:val="20"/>
        </w:rPr>
        <w:t>(v) Sale of raw material or property, plant and equipment</w:t>
      </w:r>
    </w:p>
    <w:p>
      <w:pPr>
        <w:pStyle w:val="TextBody"/>
        <w:bidi w:val="0"/>
        <w:spacing w:before="0" w:after="240"/>
        <w:ind w:left="0" w:right="0" w:firstLine="360"/>
        <w:jc w:val="both"/>
        <w:rPr/>
      </w:pPr>
      <w:r>
        <w:rPr/>
        <w:t>​</w:t>
      </w:r>
    </w:p>
    <w:tbl>
      <w:tblPr>
        <w:tblW w:w="7902" w:type="dxa"/>
        <w:jc w:val="left"/>
        <w:tblInd w:w="0" w:type="dxa"/>
        <w:tblLayout w:type="fixed"/>
        <w:tblCellMar>
          <w:top w:w="0" w:type="dxa"/>
          <w:left w:w="0" w:type="dxa"/>
          <w:bottom w:w="0" w:type="dxa"/>
          <w:right w:w="0" w:type="dxa"/>
        </w:tblCellMar>
      </w:tblPr>
      <w:tblGrid>
        <w:gridCol w:w="4906"/>
        <w:gridCol w:w="326"/>
        <w:gridCol w:w="592"/>
        <w:gridCol w:w="338"/>
        <w:gridCol w:w="592"/>
        <w:gridCol w:w="338"/>
        <w:gridCol w:w="810"/>
      </w:tblGrid>
      <w:tr>
        <w:trPr/>
        <w:tc>
          <w:tcPr>
            <w:tcW w:w="4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3115310" cy="175260"/>
                      <wp:effectExtent l="0" t="0" r="0" b="0"/>
                      <wp:wrapNone/>
                      <wp:docPr id="553" name="Frame550"/>
                      <a:graphic xmlns:a="http://schemas.openxmlformats.org/drawingml/2006/main">
                        <a:graphicData uri="http://schemas.microsoft.com/office/word/2010/wordprocessingShape">
                          <wps:wsp>
                            <wps:cNvSpPr txBox="1"/>
                            <wps:spPr>
                              <a:xfrm>
                                <a:off x="0" y="0"/>
                                <a:ext cx="311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07010" cy="175260"/>
                      <wp:effectExtent l="0" t="0" r="0" b="0"/>
                      <wp:wrapNone/>
                      <wp:docPr id="554" name="Frame5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375920" cy="175260"/>
                      <wp:effectExtent l="0" t="0" r="0" b="0"/>
                      <wp:wrapNone/>
                      <wp:docPr id="555" name="Frame552"/>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214630" cy="175260"/>
                      <wp:effectExtent l="0" t="0" r="0" b="0"/>
                      <wp:wrapNone/>
                      <wp:docPr id="556" name="Frame553"/>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375920" cy="175260"/>
                      <wp:effectExtent l="0" t="0" r="0" b="0"/>
                      <wp:wrapNone/>
                      <wp:docPr id="557" name="Frame554"/>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214630" cy="175260"/>
                      <wp:effectExtent l="0" t="0" r="0" b="0"/>
                      <wp:wrapNone/>
                      <wp:docPr id="558" name="Frame555"/>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514350" cy="175260"/>
                      <wp:effectExtent l="0" t="0" r="0" b="0"/>
                      <wp:wrapNone/>
                      <wp:docPr id="559" name="Frame556"/>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4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9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38" w:type="dxa"/>
            <w:tcBorders/>
            <w:vAlign w:val="center"/>
          </w:tcPr>
          <w:p>
            <w:pPr>
              <w:pStyle w:val="TableContents"/>
              <w:bidi w:val="0"/>
              <w:spacing w:before="0" w:after="0"/>
              <w:ind w:left="0" w:right="0" w:hanging="0"/>
              <w:jc w:val="left"/>
              <w:rPr/>
            </w:pPr>
            <w:r>
              <w:rPr/>
              <w:t>    </w:t>
            </w:r>
          </w:p>
        </w:tc>
        <w:tc>
          <w:tcPr>
            <w:tcW w:w="59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8" w:type="dxa"/>
            <w:tcBorders/>
            <w:vAlign w:val="center"/>
          </w:tcPr>
          <w:p>
            <w:pPr>
              <w:pStyle w:val="TableContents"/>
              <w:bidi w:val="0"/>
              <w:spacing w:before="0" w:after="0"/>
              <w:ind w:left="0" w:right="0" w:hanging="0"/>
              <w:jc w:val="left"/>
              <w:rPr/>
            </w:pPr>
            <w:r>
              <w:rPr/>
              <w:t>    </w:t>
            </w:r>
          </w:p>
        </w:tc>
        <w:tc>
          <w:tcPr>
            <w:tcW w:w="8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VTA Technology Co., Ltd.</w:t>
            </w:r>
          </w:p>
        </w:tc>
        <w:tc>
          <w:tcPr>
            <w:tcW w:w="326" w:type="dxa"/>
            <w:tcBorders/>
            <w:shd w:fill="CCEEFF" w:val="clear"/>
            <w:vAlign w:val="center"/>
          </w:tcPr>
          <w:p>
            <w:pPr>
              <w:pStyle w:val="TableContents"/>
              <w:bidi w:val="0"/>
              <w:spacing w:before="0" w:after="0"/>
              <w:ind w:left="0" w:right="0" w:hanging="0"/>
              <w:jc w:val="left"/>
              <w:rPr/>
            </w:pPr>
            <w:r>
              <w:rPr/>
              <w:t> </w:t>
            </w:r>
          </w:p>
        </w:tc>
        <w:tc>
          <w:tcPr>
            <w:tcW w:w="592" w:type="dxa"/>
            <w:tcBorders/>
            <w:shd w:fill="CCEEFF" w:val="clear"/>
            <w:vAlign w:val="center"/>
          </w:tcPr>
          <w:p>
            <w:pPr>
              <w:pStyle w:val="TableContents"/>
              <w:bidi w:val="0"/>
              <w:spacing w:before="0" w:after="0"/>
              <w:ind w:left="0" w:right="0" w:hanging="0"/>
              <w:jc w:val="right"/>
              <w:rPr/>
            </w:pPr>
            <w:r>
              <w:rPr/>
              <w:t>—</w:t>
            </w:r>
          </w:p>
        </w:tc>
        <w:tc>
          <w:tcPr>
            <w:tcW w:w="338" w:type="dxa"/>
            <w:tcBorders/>
            <w:shd w:fill="CCEEFF" w:val="clear"/>
            <w:vAlign w:val="center"/>
          </w:tcPr>
          <w:p>
            <w:pPr>
              <w:pStyle w:val="TableContents"/>
              <w:bidi w:val="0"/>
              <w:spacing w:before="0" w:after="0"/>
              <w:ind w:left="0" w:right="0" w:hanging="0"/>
              <w:jc w:val="left"/>
              <w:rPr/>
            </w:pPr>
            <w:r>
              <w:rPr/>
              <w:t>​</w:t>
            </w:r>
          </w:p>
        </w:tc>
        <w:tc>
          <w:tcPr>
            <w:tcW w:w="592" w:type="dxa"/>
            <w:tcBorders/>
            <w:shd w:fill="CCEEFF" w:val="clear"/>
            <w:vAlign w:val="center"/>
          </w:tcPr>
          <w:p>
            <w:pPr>
              <w:pStyle w:val="TableContents"/>
              <w:bidi w:val="0"/>
              <w:spacing w:before="0" w:after="0"/>
              <w:ind w:left="0" w:right="0" w:hanging="0"/>
              <w:jc w:val="right"/>
              <w:rPr/>
            </w:pPr>
            <w:r>
              <w:rPr/>
              <w:t>—</w:t>
            </w:r>
          </w:p>
        </w:tc>
        <w:tc>
          <w:tcPr>
            <w:tcW w:w="338"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46,779</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Kunshan Siwopu Intelligent Equipment Co., Ltd.</w:t>
            </w:r>
          </w:p>
        </w:tc>
        <w:tc>
          <w:tcPr>
            <w:tcW w:w="326"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right"/>
              <w:rPr/>
            </w:pPr>
            <w:r>
              <w:rPr/>
              <w:t>—</w:t>
            </w:r>
          </w:p>
        </w:tc>
        <w:tc>
          <w:tcPr>
            <w:tcW w:w="338"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right"/>
              <w:rPr/>
            </w:pPr>
            <w:r>
              <w:rPr/>
              <w:t>—</w:t>
            </w:r>
          </w:p>
        </w:tc>
        <w:tc>
          <w:tcPr>
            <w:tcW w:w="338"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3,215</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Blue Horizon Limited and its subsidiaries</w:t>
            </w:r>
          </w:p>
        </w:tc>
        <w:tc>
          <w:tcPr>
            <w:tcW w:w="326" w:type="dxa"/>
            <w:tcBorders/>
            <w:shd w:fill="CCEEFF" w:val="clear"/>
            <w:vAlign w:val="center"/>
          </w:tcPr>
          <w:p>
            <w:pPr>
              <w:pStyle w:val="TableContents"/>
              <w:bidi w:val="0"/>
              <w:spacing w:before="0" w:after="0"/>
              <w:ind w:left="0" w:right="0" w:hanging="0"/>
              <w:jc w:val="left"/>
              <w:rPr/>
            </w:pPr>
            <w:r>
              <w:rPr/>
              <w:t> </w:t>
            </w:r>
          </w:p>
        </w:tc>
        <w:tc>
          <w:tcPr>
            <w:tcW w:w="592" w:type="dxa"/>
            <w:tcBorders/>
            <w:shd w:fill="CCEEFF" w:val="clear"/>
            <w:vAlign w:val="center"/>
          </w:tcPr>
          <w:p>
            <w:pPr>
              <w:pStyle w:val="TableContents"/>
              <w:bidi w:val="0"/>
              <w:spacing w:before="0" w:after="0"/>
              <w:ind w:left="0" w:right="0" w:hanging="0"/>
              <w:jc w:val="right"/>
              <w:rPr/>
            </w:pPr>
            <w:r>
              <w:rPr/>
              <w:t>—</w:t>
            </w:r>
          </w:p>
        </w:tc>
        <w:tc>
          <w:tcPr>
            <w:tcW w:w="338" w:type="dxa"/>
            <w:tcBorders/>
            <w:shd w:fill="CCEEFF" w:val="clear"/>
            <w:vAlign w:val="center"/>
          </w:tcPr>
          <w:p>
            <w:pPr>
              <w:pStyle w:val="TableContents"/>
              <w:bidi w:val="0"/>
              <w:spacing w:before="0" w:after="0"/>
              <w:ind w:left="0" w:right="0" w:hanging="0"/>
              <w:jc w:val="left"/>
              <w:rPr/>
            </w:pPr>
            <w:r>
              <w:rPr/>
              <w:t>​</w:t>
            </w:r>
          </w:p>
        </w:tc>
        <w:tc>
          <w:tcPr>
            <w:tcW w:w="592" w:type="dxa"/>
            <w:tcBorders/>
            <w:shd w:fill="CCEEFF" w:val="clear"/>
            <w:vAlign w:val="center"/>
          </w:tcPr>
          <w:p>
            <w:pPr>
              <w:pStyle w:val="TableContents"/>
              <w:bidi w:val="0"/>
              <w:spacing w:before="0" w:after="0"/>
              <w:ind w:left="0" w:right="0" w:hanging="0"/>
              <w:jc w:val="right"/>
              <w:rPr/>
            </w:pPr>
            <w:r>
              <w:rPr/>
              <w:t>—</w:t>
            </w:r>
          </w:p>
        </w:tc>
        <w:tc>
          <w:tcPr>
            <w:tcW w:w="338"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1,504</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Wuhan Weineng Battery Assets Co., Ltd. and its subsidiary</w:t>
            </w:r>
          </w:p>
        </w:tc>
        <w:tc>
          <w:tcPr>
            <w:tcW w:w="326" w:type="dxa"/>
            <w:tcBorders/>
            <w:vAlign w:val="center"/>
          </w:tcPr>
          <w:p>
            <w:pPr>
              <w:pStyle w:val="TableContents"/>
              <w:bidi w:val="0"/>
              <w:spacing w:before="0" w:after="0"/>
              <w:ind w:left="0" w:right="0" w:hanging="0"/>
              <w:jc w:val="left"/>
              <w:rPr/>
            </w:pPr>
            <w:r>
              <w:rPr/>
              <w:t>​</w:t>
            </w:r>
          </w:p>
        </w:tc>
        <w:tc>
          <w:tcPr>
            <w:tcW w:w="5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w:t>
            </w:r>
          </w:p>
        </w:tc>
        <w:tc>
          <w:tcPr>
            <w:tcW w:w="338" w:type="dxa"/>
            <w:tcBorders/>
            <w:vAlign w:val="center"/>
          </w:tcPr>
          <w:p>
            <w:pPr>
              <w:pStyle w:val="TableContents"/>
              <w:bidi w:val="0"/>
              <w:spacing w:before="0" w:after="0"/>
              <w:ind w:left="0" w:right="0" w:hanging="0"/>
              <w:jc w:val="left"/>
              <w:rPr/>
            </w:pPr>
            <w:r>
              <w:rPr/>
              <w:t>​</w:t>
            </w:r>
          </w:p>
        </w:tc>
        <w:tc>
          <w:tcPr>
            <w:tcW w:w="5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5,597</w:t>
            </w:r>
          </w:p>
        </w:tc>
        <w:tc>
          <w:tcPr>
            <w:tcW w:w="338" w:type="dxa"/>
            <w:tcBorders/>
            <w:vAlign w:val="center"/>
          </w:tcPr>
          <w:p>
            <w:pPr>
              <w:pStyle w:val="TableContents"/>
              <w:bidi w:val="0"/>
              <w:spacing w:before="0" w:after="0"/>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5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w:t>
            </w:r>
          </w:p>
        </w:tc>
        <w:tc>
          <w:tcPr>
            <w:tcW w:w="338" w:type="dxa"/>
            <w:tcBorders/>
            <w:shd w:fill="CCEEFF" w:val="clear"/>
            <w:vAlign w:val="center"/>
          </w:tcPr>
          <w:p>
            <w:pPr>
              <w:pStyle w:val="TableContents"/>
              <w:bidi w:val="0"/>
              <w:spacing w:before="0" w:after="0"/>
              <w:ind w:left="0" w:right="0" w:hanging="0"/>
              <w:jc w:val="left"/>
              <w:rPr/>
            </w:pPr>
            <w:r>
              <w:rPr/>
              <w:t>​</w:t>
            </w:r>
          </w:p>
        </w:tc>
        <w:tc>
          <w:tcPr>
            <w:tcW w:w="5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5,597</w:t>
            </w:r>
          </w:p>
        </w:tc>
        <w:tc>
          <w:tcPr>
            <w:tcW w:w="338" w:type="dxa"/>
            <w:tcBorders/>
            <w:shd w:fill="CCEEFF" w:val="clear"/>
            <w:vAlign w:val="center"/>
          </w:tcPr>
          <w:p>
            <w:pPr>
              <w:pStyle w:val="TableContents"/>
              <w:bidi w:val="0"/>
              <w:spacing w:before="0" w:after="0"/>
              <w:ind w:left="0" w:right="0" w:hanging="0"/>
              <w:jc w:val="left"/>
              <w:rPr/>
            </w:pPr>
            <w:r>
              <w:rPr/>
              <w:t>​</w:t>
            </w:r>
          </w:p>
        </w:tc>
        <w:tc>
          <w:tcPr>
            <w:tcW w:w="81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51,505</w:t>
            </w:r>
          </w:p>
        </w:tc>
      </w:tr>
    </w:tbl>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b w:val="false"/>
          <w:i/>
          <w:sz w:val="20"/>
        </w:rPr>
      </w:pPr>
      <w:r>
        <w:rPr>
          <w:rFonts w:ascii="Times New Roman;Times;serif" w:hAnsi="Times New Roman;Times;serif"/>
          <w:b w:val="false"/>
          <w:i/>
          <w:sz w:val="20"/>
        </w:rPr>
        <w:t>(vi) Convertible notes issued to related parties and interest accrual</w:t>
      </w:r>
    </w:p>
    <w:p>
      <w:pPr>
        <w:pStyle w:val="TextBody"/>
        <w:bidi w:val="0"/>
        <w:spacing w:before="0" w:after="240"/>
        <w:ind w:left="360" w:right="0" w:hanging="0"/>
        <w:jc w:val="left"/>
        <w:rPr/>
      </w:pPr>
      <w:r>
        <w:rPr/>
        <w:t>​</w:t>
      </w:r>
    </w:p>
    <w:tbl>
      <w:tblPr>
        <w:tblW w:w="5785" w:type="dxa"/>
        <w:jc w:val="left"/>
        <w:tblInd w:w="0" w:type="dxa"/>
        <w:tblLayout w:type="fixed"/>
        <w:tblCellMar>
          <w:top w:w="0" w:type="dxa"/>
          <w:left w:w="0" w:type="dxa"/>
          <w:bottom w:w="0" w:type="dxa"/>
          <w:right w:w="0" w:type="dxa"/>
        </w:tblCellMar>
      </w:tblPr>
      <w:tblGrid>
        <w:gridCol w:w="2791"/>
        <w:gridCol w:w="326"/>
        <w:gridCol w:w="717"/>
        <w:gridCol w:w="346"/>
        <w:gridCol w:w="717"/>
        <w:gridCol w:w="346"/>
        <w:gridCol w:w="542"/>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1772285" cy="175260"/>
                      <wp:effectExtent l="0" t="0" r="0" b="0"/>
                      <wp:wrapNone/>
                      <wp:docPr id="560" name="Frame557"/>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07010" cy="175260"/>
                      <wp:effectExtent l="0" t="0" r="0" b="0"/>
                      <wp:wrapNone/>
                      <wp:docPr id="561" name="Frame5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455295" cy="175260"/>
                      <wp:effectExtent l="0" t="0" r="0" b="0"/>
                      <wp:wrapNone/>
                      <wp:docPr id="562" name="Frame559"/>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19710" cy="175260"/>
                      <wp:effectExtent l="0" t="0" r="0" b="0"/>
                      <wp:wrapNone/>
                      <wp:docPr id="563" name="Frame5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455295" cy="175260"/>
                      <wp:effectExtent l="0" t="0" r="0" b="0"/>
                      <wp:wrapNone/>
                      <wp:docPr id="564" name="Frame561"/>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19710" cy="175260"/>
                      <wp:effectExtent l="0" t="0" r="0" b="0"/>
                      <wp:wrapNone/>
                      <wp:docPr id="565" name="Frame5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344170" cy="175260"/>
                      <wp:effectExtent l="0" t="0" r="0" b="0"/>
                      <wp:wrapNone/>
                      <wp:docPr id="566" name="Frame563"/>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6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27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1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vAlign w:val="center"/>
          </w:tcPr>
          <w:p>
            <w:pPr>
              <w:pStyle w:val="TableContents"/>
              <w:bidi w:val="0"/>
              <w:spacing w:before="0" w:after="1"/>
              <w:ind w:left="0" w:right="0" w:hanging="0"/>
              <w:jc w:val="center"/>
              <w:rPr/>
            </w:pPr>
            <w:r>
              <w:rPr/>
              <w:t>    </w:t>
            </w:r>
          </w:p>
        </w:tc>
        <w:tc>
          <w:tcPr>
            <w:tcW w:w="71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    </w:t>
            </w:r>
          </w:p>
        </w:tc>
        <w:tc>
          <w:tcPr>
            <w:tcW w:w="54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Huang River Investment Limited</w:t>
            </w:r>
          </w:p>
        </w:tc>
        <w:tc>
          <w:tcPr>
            <w:tcW w:w="326" w:type="dxa"/>
            <w:tcBorders/>
            <w:shd w:fill="CCEEFF" w:val="clear"/>
            <w:vAlign w:val="center"/>
          </w:tcPr>
          <w:p>
            <w:pPr>
              <w:pStyle w:val="TableContents"/>
              <w:bidi w:val="0"/>
              <w:spacing w:before="0" w:after="1"/>
              <w:ind w:left="0" w:right="0" w:hanging="0"/>
              <w:jc w:val="left"/>
              <w:rPr/>
            </w:pPr>
            <w:r>
              <w:rPr/>
              <w:t> </w:t>
            </w:r>
          </w:p>
        </w:tc>
        <w:tc>
          <w:tcPr>
            <w:tcW w:w="7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13,712</w:t>
            </w:r>
          </w:p>
        </w:tc>
        <w:tc>
          <w:tcPr>
            <w:tcW w:w="346" w:type="dxa"/>
            <w:tcBorders/>
            <w:shd w:fill="CCEEFF" w:val="clear"/>
            <w:vAlign w:val="center"/>
          </w:tcPr>
          <w:p>
            <w:pPr>
              <w:pStyle w:val="TableContents"/>
              <w:bidi w:val="0"/>
              <w:spacing w:before="0" w:after="1"/>
              <w:ind w:left="0" w:right="0" w:hanging="0"/>
              <w:jc w:val="left"/>
              <w:rPr/>
            </w:pPr>
            <w:r>
              <w:rPr/>
              <w:t>​</w:t>
            </w:r>
          </w:p>
        </w:tc>
        <w:tc>
          <w:tcPr>
            <w:tcW w:w="7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11,234</w:t>
            </w:r>
          </w:p>
        </w:tc>
        <w:tc>
          <w:tcPr>
            <w:tcW w:w="346" w:type="dxa"/>
            <w:tcBorders/>
            <w:shd w:fill="CCEEFF" w:val="clear"/>
            <w:vAlign w:val="center"/>
          </w:tcPr>
          <w:p>
            <w:pPr>
              <w:pStyle w:val="TableContents"/>
              <w:bidi w:val="0"/>
              <w:spacing w:before="0" w:after="1"/>
              <w:ind w:left="0" w:right="0" w:hanging="0"/>
              <w:jc w:val="left"/>
              <w:rPr/>
            </w:pPr>
            <w:r>
              <w:rPr/>
              <w:t>​</w:t>
            </w:r>
          </w:p>
        </w:tc>
        <w:tc>
          <w:tcPr>
            <w:tcW w:w="54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360" w:right="0" w:hanging="0"/>
        <w:jc w:val="left"/>
        <w:rPr>
          <w:rFonts w:ascii="Times New Roman;Times;serif" w:hAnsi="Times New Roman;Times;serif"/>
          <w:b/>
          <w:i/>
          <w:sz w:val="20"/>
        </w:rPr>
      </w:pPr>
      <w:bookmarkStart w:id="2169" w:name="Tc__k2RiBGIKEC7meUSv6UHkQ_5_4"/>
      <w:bookmarkStart w:id="2170" w:name="Tc_Ptw9sKAIGUG9kE4cjAN_6A_5_2"/>
      <w:bookmarkStart w:id="2171" w:name="Tc_kAlXJd5OTUi4QQajfgIvuQ_5_0"/>
      <w:bookmarkStart w:id="2172" w:name="Tc_EihyG5lZPUKEPQ6LXk1VZg_4_2"/>
      <w:bookmarkStart w:id="2173" w:name="Tc_Pg59vKyLH0mbcAxIH8PZ_A_4_0"/>
      <w:bookmarkStart w:id="2174" w:name="Tc_HAd-LFuLBEOM1Wo4cXACFQ_3_2"/>
      <w:bookmarkStart w:id="2175" w:name="Tc_YR836ZmPsEy92O3uTOoQow_3_0"/>
      <w:bookmarkStart w:id="2176" w:name="Tc_C5J7sIcEFkemr3SspyQuow_2_4"/>
      <w:bookmarkStart w:id="2177" w:name="Tc_Ejxt88WW-E2mQh6kmurSSg_2_2"/>
      <w:bookmarkStart w:id="2178" w:name="Tc_cufPXBNGREq1o2n731djmw_1_4"/>
      <w:bookmarkStart w:id="2179" w:name="Tc_JG0i_ebOb0qYEf-9iD5_5g_1_2"/>
      <w:bookmarkStart w:id="2180" w:name="_78845c46_521d_4efa_ac1f_1753e52e71c2"/>
      <w:bookmarkStart w:id="2181" w:name="Tc_hFSws0iLYUqunWmYMe8dgA_3_4"/>
      <w:bookmarkStart w:id="2182" w:name="Tc_KHh9CckADEqq2VZen1mjsA_3_0"/>
      <w:bookmarkStart w:id="2183" w:name="Tc__ELC6AVZK0uS-YuF8ycL3A_2_4"/>
      <w:bookmarkStart w:id="2184" w:name="Tc_JZiCGlltH0SNabsPWmUDOQ_2_2"/>
      <w:bookmarkStart w:id="2185" w:name="Tc_6aWy7CVN4UeaWX-7pac30w_1_4"/>
      <w:bookmarkStart w:id="2186" w:name="Tc_Hc-HIK3zBUuNQmr9n0IM3g_1_2"/>
      <w:bookmarkStart w:id="2187" w:name="_73e88add_36dd_4e4c_ae42_22cf53afd0b5"/>
      <w:bookmarkStart w:id="2188" w:name="Tc_RiwvIDmIZ0WYGDEsiZUwZg_13_2"/>
      <w:bookmarkStart w:id="2189" w:name="Tc_4UvgWBGgjEW5mpln9LROWg_13_0"/>
      <w:bookmarkStart w:id="2190" w:name="Tc_etXOiUPQ_EWzD3xALqRTuA_12_0"/>
      <w:bookmarkStart w:id="2191" w:name="Tc_dzmEcubTbE26SlKx1pfKDQ_11_0"/>
      <w:bookmarkStart w:id="2192" w:name="Tc_SiRnIc7X60-rTy2b-L0WiQ_10_2"/>
      <w:bookmarkStart w:id="2193" w:name="Tc_KlKiKnHx3kepnEFsStGRjw_10_0"/>
      <w:bookmarkStart w:id="2194" w:name="Tc__eXHx5VHYEGLeNp36Hnl1Q_9_0"/>
      <w:bookmarkStart w:id="2195" w:name="Tc_sgbhaxDobEOXriEDmT1neQ_8_0"/>
      <w:bookmarkStart w:id="2196" w:name="Tc_XfCa0tbMEUGdMuMZyiZnKA_7_0"/>
      <w:bookmarkStart w:id="2197" w:name="Tc_uFmcpwnSUE-TqS5f7XtPMg_6_0"/>
      <w:bookmarkStart w:id="2198" w:name="Tc_hPFnAMW9EUS7V4zfeZOWNA_5_0"/>
      <w:bookmarkStart w:id="2199" w:name="Tc_BRKkNg00ykC_rSq1sBBKLg_4_0"/>
      <w:bookmarkStart w:id="2200" w:name="Tc_mI40SfUolESz8dFGGtPfsQ_3_2"/>
      <w:bookmarkStart w:id="2201" w:name="Tc_51rVEeM34EiBI5Rrj-mUEA_3_0"/>
      <w:bookmarkStart w:id="2202" w:name="Tc_1ZdKhpRbMU6MklamNoxBGA_2_4"/>
      <w:bookmarkStart w:id="2203" w:name="Tc_h1SjAxndu02ACClNZu9E4g_2_2"/>
      <w:bookmarkStart w:id="2204" w:name="Tc_o3gIIQR_30a53lL69aKaXw_1_4"/>
      <w:bookmarkStart w:id="2205" w:name="Tc__FdNeJost0-2JjNHYPhRcw_1_2"/>
      <w:bookmarkStart w:id="2206" w:name="_c376b1bf_92ee_4358_b71d_c4ecc03a8f58"/>
      <w:bookmarkStart w:id="2207" w:name="Tc_tBzrWD3s5kCpd7KqvUVl7Q_9_0"/>
      <w:bookmarkStart w:id="2208" w:name="Tc_8DORJjZxJ0iv6kbnwamqUg_8_0"/>
      <w:bookmarkStart w:id="2209" w:name="Tc_iwQVzCWwPk6B9905Ta_ysA_7_0"/>
      <w:bookmarkStart w:id="2210" w:name="Tc_VGsjuBBdukuJJypcewutyg_6_0"/>
      <w:bookmarkStart w:id="2211" w:name="Tc_N5Mrs7vPKk6erKpcIXmP-g_5_2"/>
      <w:bookmarkStart w:id="2212" w:name="Tc_GeNA4nZZaEOOaOenXSA1eQ_5_0"/>
      <w:bookmarkStart w:id="2213" w:name="Tc_AOGixRp_tEWYlk9CH5Ea3w_4_2"/>
      <w:bookmarkStart w:id="2214" w:name="Tc_K4Gcq2jgIkyXnZHp5NHe0A_4_0"/>
      <w:bookmarkStart w:id="2215" w:name="Tc_RzV6RpQ4jEOcIamP8OH8Tw_3_0"/>
      <w:bookmarkStart w:id="2216" w:name="Tc_u0hZhyWQ802F8mg1XdxK1w_2_4"/>
      <w:bookmarkStart w:id="2217" w:name="Tc_Pm_XlIuEPUe5P3duKCNCug_2_2"/>
      <w:bookmarkStart w:id="2218" w:name="Tc_R60A9YrczUm8jQYAqb0RAQ_1_4"/>
      <w:bookmarkStart w:id="2219" w:name="Tc_cjJCCZyme0epGsXcziRB_Q_1_2"/>
      <w:bookmarkStart w:id="2220" w:name="_18cabaed_374f_4dfc_9d5c_95f980413e93"/>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r>
        <w:rPr>
          <w:rFonts w:ascii="Times New Roman;Times;serif" w:hAnsi="Times New Roman;Times;serif"/>
          <w:b/>
          <w:i/>
          <w:sz w:val="20"/>
        </w:rPr>
        <w:t>(b) The Group had the following significant related party balances:</w:t>
      </w:r>
    </w:p>
    <w:p>
      <w:pPr>
        <w:pStyle w:val="TextBody"/>
        <w:bidi w:val="0"/>
        <w:spacing w:before="0" w:after="0"/>
        <w:ind w:left="360" w:right="0" w:hanging="0"/>
        <w:jc w:val="left"/>
        <w:rPr>
          <w:rFonts w:ascii="Times New Roman;Times;serif" w:hAnsi="Times New Roman;Times;serif"/>
          <w:b w:val="false"/>
          <w:i/>
          <w:sz w:val="20"/>
        </w:rPr>
      </w:pPr>
      <w:r>
        <w:rPr>
          <w:rFonts w:ascii="Times New Roman;Times;serif" w:hAnsi="Times New Roman;Times;serif"/>
          <w:b w:val="false"/>
          <w:i/>
          <w:sz w:val="20"/>
        </w:rPr>
        <w:t>(i) Amounts due from related parties</w:t>
      </w:r>
    </w:p>
    <w:p>
      <w:pPr>
        <w:pStyle w:val="TextBody"/>
        <w:bidi w:val="0"/>
        <w:spacing w:before="0" w:after="240"/>
        <w:ind w:left="0" w:right="0" w:firstLine="360"/>
        <w:jc w:val="both"/>
        <w:rPr/>
      </w:pPr>
      <w:r>
        <w:rPr/>
        <w:t>​</w:t>
      </w:r>
    </w:p>
    <w:tbl>
      <w:tblPr>
        <w:tblW w:w="7885" w:type="dxa"/>
        <w:jc w:val="left"/>
        <w:tblInd w:w="0" w:type="dxa"/>
        <w:tblLayout w:type="fixed"/>
        <w:tblCellMar>
          <w:top w:w="0" w:type="dxa"/>
          <w:left w:w="0" w:type="dxa"/>
          <w:bottom w:w="0" w:type="dxa"/>
          <w:right w:w="0" w:type="dxa"/>
        </w:tblCellMar>
      </w:tblPr>
      <w:tblGrid>
        <w:gridCol w:w="4906"/>
        <w:gridCol w:w="326"/>
        <w:gridCol w:w="1141"/>
        <w:gridCol w:w="326"/>
        <w:gridCol w:w="1186"/>
      </w:tblGrid>
      <w:tr>
        <w:trPr/>
        <w:tc>
          <w:tcPr>
            <w:tcW w:w="4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3115310" cy="175260"/>
                      <wp:effectExtent l="0" t="0" r="0" b="0"/>
                      <wp:wrapNone/>
                      <wp:docPr id="567" name="Frame564"/>
                      <a:graphic xmlns:a="http://schemas.openxmlformats.org/drawingml/2006/main">
                        <a:graphicData uri="http://schemas.microsoft.com/office/word/2010/wordprocessingShape">
                          <wps:wsp>
                            <wps:cNvSpPr txBox="1"/>
                            <wps:spPr>
                              <a:xfrm>
                                <a:off x="0" y="0"/>
                                <a:ext cx="311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07010" cy="175260"/>
                      <wp:effectExtent l="0" t="0" r="0" b="0"/>
                      <wp:wrapNone/>
                      <wp:docPr id="568" name="Frame5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724535" cy="175260"/>
                      <wp:effectExtent l="0" t="0" r="0" b="0"/>
                      <wp:wrapNone/>
                      <wp:docPr id="569" name="Frame56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07010" cy="175260"/>
                      <wp:effectExtent l="0" t="0" r="0" b="0"/>
                      <wp:wrapNone/>
                      <wp:docPr id="570" name="Frame5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753110" cy="175260"/>
                      <wp:effectExtent l="0" t="0" r="0" b="0"/>
                      <wp:wrapNone/>
                      <wp:docPr id="571" name="Frame568"/>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9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Wuhan Weineng Battery Assets Co., Ltd. and its subsidiary</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1,714,659</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7,622,041</w:t>
            </w:r>
          </w:p>
        </w:tc>
      </w:tr>
      <w:tr>
        <w:trPr/>
        <w:tc>
          <w:tcPr>
            <w:tcW w:w="4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Blue Horizon Limited and its subsidiaries</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72,636</w:t>
            </w:r>
          </w:p>
        </w:tc>
      </w:tr>
      <w:tr>
        <w:trPr/>
        <w:tc>
          <w:tcPr>
            <w:tcW w:w="4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Forseven Limited and its affiliate</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11,749</w:t>
            </w:r>
          </w:p>
        </w:tc>
      </w:tr>
      <w:tr>
        <w:trPr/>
        <w:tc>
          <w:tcPr>
            <w:tcW w:w="4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Kunshan Siwopu Intelligent Equipment Co., Ltd.</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13,050</w:t>
            </w:r>
          </w:p>
        </w:tc>
        <w:tc>
          <w:tcPr>
            <w:tcW w:w="32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3,633</w:t>
            </w:r>
          </w:p>
        </w:tc>
      </w:tr>
      <w:tr>
        <w:trPr/>
        <w:tc>
          <w:tcPr>
            <w:tcW w:w="4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Hefei Chuang Wei Information Consultation Co., Ltd.</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2,249</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2,249</w:t>
            </w:r>
          </w:p>
        </w:tc>
      </w:tr>
      <w:tr>
        <w:trPr/>
        <w:tc>
          <w:tcPr>
            <w:tcW w:w="4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Nanjing Weibang Transmission Technology Co., Ltd.</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1,440</w:t>
            </w:r>
          </w:p>
        </w:tc>
        <w:tc>
          <w:tcPr>
            <w:tcW w:w="32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r>
      <w:tr>
        <w:trPr/>
        <w:tc>
          <w:tcPr>
            <w:tcW w:w="4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credit losses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(8,795)</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(10,142)</w:t>
            </w:r>
          </w:p>
        </w:tc>
      </w:tr>
      <w:tr>
        <w:trPr/>
        <w:tc>
          <w:tcPr>
            <w:tcW w:w="490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1,722,603</w:t>
            </w:r>
          </w:p>
        </w:tc>
        <w:tc>
          <w:tcPr>
            <w:tcW w:w="326" w:type="dxa"/>
            <w:tcBorders/>
            <w:vAlign w:val="center"/>
          </w:tcPr>
          <w:p>
            <w:pPr>
              <w:pStyle w:val="TableContents"/>
              <w:bidi w:val="0"/>
              <w:spacing w:before="0" w:after="1"/>
              <w:ind w:left="0" w:right="0" w:hanging="0"/>
              <w:jc w:val="left"/>
              <w:rPr/>
            </w:pPr>
            <w:r>
              <w:rPr/>
              <w:t>​</w:t>
            </w:r>
          </w:p>
        </w:tc>
        <w:tc>
          <w:tcPr>
            <w:tcW w:w="11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7,702,404</w:t>
            </w:r>
          </w:p>
        </w:tc>
      </w:tr>
    </w:tbl>
    <w:p>
      <w:pPr>
        <w:pStyle w:val="TextBody"/>
        <w:bidi w:val="0"/>
        <w:spacing w:before="0" w:after="240"/>
        <w:ind w:left="360" w:right="0" w:hanging="0"/>
        <w:jc w:val="left"/>
        <w:rPr/>
      </w:pPr>
      <w:r>
        <w:rPr/>
        <w:t>​</w:t>
      </w:r>
    </w:p>
    <w:p>
      <w:pPr>
        <w:pStyle w:val="TextBody"/>
        <w:bidi w:val="0"/>
        <w:spacing w:before="0" w:after="0"/>
        <w:ind w:left="360" w:right="0" w:hanging="0"/>
        <w:jc w:val="left"/>
        <w:rPr>
          <w:rFonts w:ascii="Times New Roman;Times;serif" w:hAnsi="Times New Roman;Times;serif"/>
          <w:b w:val="false"/>
          <w:i/>
          <w:sz w:val="20"/>
        </w:rPr>
      </w:pPr>
      <w:r>
        <w:rPr>
          <w:rFonts w:ascii="Times New Roman;Times;serif" w:hAnsi="Times New Roman;Times;serif"/>
          <w:b w:val="false"/>
          <w:i/>
          <w:sz w:val="20"/>
        </w:rPr>
        <w:t>(ii) Amounts due to related parties</w:t>
      </w:r>
    </w:p>
    <w:p>
      <w:pPr>
        <w:pStyle w:val="TextBody"/>
        <w:bidi w:val="0"/>
        <w:spacing w:before="0" w:after="240"/>
        <w:ind w:left="0" w:right="0" w:firstLine="360"/>
        <w:jc w:val="both"/>
        <w:rPr/>
      </w:pPr>
      <w:r>
        <w:rPr/>
        <w:t>​</w:t>
      </w:r>
    </w:p>
    <w:tbl>
      <w:tblPr>
        <w:tblW w:w="8335" w:type="dxa"/>
        <w:jc w:val="left"/>
        <w:tblInd w:w="0" w:type="dxa"/>
        <w:tblLayout w:type="fixed"/>
        <w:tblCellMar>
          <w:top w:w="0" w:type="dxa"/>
          <w:left w:w="0" w:type="dxa"/>
          <w:bottom w:w="0" w:type="dxa"/>
          <w:right w:w="0" w:type="dxa"/>
        </w:tblCellMar>
      </w:tblPr>
      <w:tblGrid>
        <w:gridCol w:w="5356"/>
        <w:gridCol w:w="326"/>
        <w:gridCol w:w="1141"/>
        <w:gridCol w:w="326"/>
        <w:gridCol w:w="1186"/>
      </w:tblGrid>
      <w:tr>
        <w:trPr/>
        <w:tc>
          <w:tcPr>
            <w:tcW w:w="5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3401060" cy="175260"/>
                      <wp:effectExtent l="0" t="0" r="0" b="0"/>
                      <wp:wrapNone/>
                      <wp:docPr id="572" name="Frame569"/>
                      <a:graphic xmlns:a="http://schemas.openxmlformats.org/drawingml/2006/main">
                        <a:graphicData uri="http://schemas.microsoft.com/office/word/2010/wordprocessingShape">
                          <wps:wsp>
                            <wps:cNvSpPr txBox="1"/>
                            <wps:spPr>
                              <a:xfrm>
                                <a:off x="0" y="0"/>
                                <a:ext cx="3401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07010" cy="175260"/>
                      <wp:effectExtent l="0" t="0" r="0" b="0"/>
                      <wp:wrapNone/>
                      <wp:docPr id="573" name="Frame5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724535" cy="175260"/>
                      <wp:effectExtent l="0" t="0" r="0" b="0"/>
                      <wp:wrapNone/>
                      <wp:docPr id="574" name="Frame57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07010" cy="175260"/>
                      <wp:effectExtent l="0" t="0" r="0" b="0"/>
                      <wp:wrapNone/>
                      <wp:docPr id="575" name="Frame5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753110" cy="175260"/>
                      <wp:effectExtent l="0" t="0" r="0" b="0"/>
                      <wp:wrapNone/>
                      <wp:docPr id="576" name="Frame57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Forseven Limited and its affiliate</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272,563</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WeLion New Energy Technology Co., Ltd.</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25,843</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66,477</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Kunshan Siwopu Intelligent Equipment Co., Ltd.</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358,083</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29,658</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Xunjie Energy (Wuhan) Co., Ltd.</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75,157</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17,409</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Wuhan Weineng Battery Assets Co., Ltd. and its subsidiary</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60,187</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9,634</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Tianjin Tengyi Information Technology Co., Ltd.</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6,200</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8,575</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Nanjing Weibang Transmission Technology Co., Ltd.</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16,099</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2,630</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VTA Technology Co., Ltd.</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Jianglai Advanced Manufacturing Technology (Anhui) Co., Ltd.</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19,869</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Weishang Business Consulting Co.,Ltd.</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5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Blue Horizon Limited and its subsidiaries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535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561,625</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409,363</w:t>
            </w:r>
          </w:p>
        </w:tc>
      </w:tr>
    </w:tbl>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b w:val="false"/>
          <w:i/>
          <w:sz w:val="20"/>
        </w:rPr>
      </w:pPr>
      <w:r>
        <w:rPr>
          <w:rFonts w:ascii="Times New Roman;Times;serif" w:hAnsi="Times New Roman;Times;serif"/>
          <w:b w:val="false"/>
          <w:i/>
          <w:sz w:val="20"/>
        </w:rPr>
        <w:t>(iii) Short-term borrowing and interest payable</w:t>
      </w:r>
    </w:p>
    <w:p>
      <w:pPr>
        <w:pStyle w:val="TextBody"/>
        <w:bidi w:val="0"/>
        <w:spacing w:before="0" w:after="240"/>
        <w:ind w:left="360" w:right="0" w:hanging="0"/>
        <w:jc w:val="left"/>
        <w:rPr/>
      </w:pPr>
      <w:r>
        <w:rPr/>
        <w:t>​</w:t>
      </w:r>
    </w:p>
    <w:tbl>
      <w:tblPr>
        <w:tblW w:w="5770" w:type="dxa"/>
        <w:jc w:val="left"/>
        <w:tblInd w:w="0" w:type="dxa"/>
        <w:tblLayout w:type="fixed"/>
        <w:tblCellMar>
          <w:top w:w="0" w:type="dxa"/>
          <w:left w:w="0" w:type="dxa"/>
          <w:bottom w:w="0" w:type="dxa"/>
          <w:right w:w="0" w:type="dxa"/>
        </w:tblCellMar>
      </w:tblPr>
      <w:tblGrid>
        <w:gridCol w:w="2791"/>
        <w:gridCol w:w="326"/>
        <w:gridCol w:w="1141"/>
        <w:gridCol w:w="326"/>
        <w:gridCol w:w="1186"/>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1772285" cy="175260"/>
                      <wp:effectExtent l="0" t="0" r="0" b="0"/>
                      <wp:wrapNone/>
                      <wp:docPr id="577" name="Frame574"/>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07010" cy="175260"/>
                      <wp:effectExtent l="0" t="0" r="0" b="0"/>
                      <wp:wrapNone/>
                      <wp:docPr id="578" name="Frame5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724535" cy="175260"/>
                      <wp:effectExtent l="0" t="0" r="0" b="0"/>
                      <wp:wrapNone/>
                      <wp:docPr id="579" name="Frame57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207010" cy="175260"/>
                      <wp:effectExtent l="0" t="0" r="0" b="0"/>
                      <wp:wrapNone/>
                      <wp:docPr id="580" name="Frame5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753110" cy="175260"/>
                      <wp:effectExtent l="0" t="0" r="0" b="0"/>
                      <wp:wrapNone/>
                      <wp:docPr id="581" name="Frame578"/>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7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Huang River Investment Limited</w:t>
            </w:r>
          </w:p>
        </w:tc>
        <w:tc>
          <w:tcPr>
            <w:tcW w:w="326" w:type="dxa"/>
            <w:tcBorders/>
            <w:shd w:fill="CCEEFF" w:val="clear"/>
            <w:vAlign w:val="center"/>
          </w:tcPr>
          <w:p>
            <w:pPr>
              <w:pStyle w:val="TableContents"/>
              <w:bidi w:val="0"/>
              <w:spacing w:before="0" w:after="1"/>
              <w:ind w:left="0" w:right="0" w:hanging="0"/>
              <w:jc w:val="center"/>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216,465</w:t>
            </w:r>
          </w:p>
        </w:tc>
        <w:tc>
          <w:tcPr>
            <w:tcW w:w="326" w:type="dxa"/>
            <w:tcBorders/>
            <w:shd w:fill="CCEEFF" w:val="clear"/>
            <w:vAlign w:val="center"/>
          </w:tcPr>
          <w:p>
            <w:pPr>
              <w:pStyle w:val="TableContents"/>
              <w:bidi w:val="0"/>
              <w:spacing w:before="0" w:after="1"/>
              <w:ind w:left="0" w:right="0" w:hanging="0"/>
              <w:jc w:val="center"/>
              <w:rPr/>
            </w:pPr>
            <w:r>
              <w:rPr/>
              <w:t>    </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(iv) Amount due to related parties, non-current</w:t>
      </w:r>
    </w:p>
    <w:p>
      <w:pPr>
        <w:pStyle w:val="TextBody"/>
        <w:bidi w:val="0"/>
        <w:spacing w:before="0" w:after="240"/>
        <w:ind w:left="0" w:right="0" w:firstLine="360"/>
        <w:jc w:val="both"/>
        <w:rPr/>
      </w:pPr>
      <w:r>
        <w:rPr/>
        <w:t>​</w:t>
      </w:r>
    </w:p>
    <w:tbl>
      <w:tblPr>
        <w:tblW w:w="7885" w:type="dxa"/>
        <w:jc w:val="left"/>
        <w:tblInd w:w="0" w:type="dxa"/>
        <w:tblLayout w:type="fixed"/>
        <w:tblCellMar>
          <w:top w:w="0" w:type="dxa"/>
          <w:left w:w="0" w:type="dxa"/>
          <w:bottom w:w="0" w:type="dxa"/>
          <w:right w:w="0" w:type="dxa"/>
        </w:tblCellMar>
      </w:tblPr>
      <w:tblGrid>
        <w:gridCol w:w="4906"/>
        <w:gridCol w:w="326"/>
        <w:gridCol w:w="1141"/>
        <w:gridCol w:w="326"/>
        <w:gridCol w:w="1186"/>
      </w:tblGrid>
      <w:tr>
        <w:trPr/>
        <w:tc>
          <w:tcPr>
            <w:tcW w:w="4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3115310" cy="175260"/>
                      <wp:effectExtent l="0" t="0" r="0" b="0"/>
                      <wp:wrapNone/>
                      <wp:docPr id="582" name="Frame579"/>
                      <a:graphic xmlns:a="http://schemas.openxmlformats.org/drawingml/2006/main">
                        <a:graphicData uri="http://schemas.microsoft.com/office/word/2010/wordprocessingShape">
                          <wps:wsp>
                            <wps:cNvSpPr txBox="1"/>
                            <wps:spPr>
                              <a:xfrm>
                                <a:off x="0" y="0"/>
                                <a:ext cx="311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207010" cy="175260"/>
                      <wp:effectExtent l="0" t="0" r="0" b="0"/>
                      <wp:wrapNone/>
                      <wp:docPr id="583" name="Frame5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724535" cy="175260"/>
                      <wp:effectExtent l="0" t="0" r="0" b="0"/>
                      <wp:wrapNone/>
                      <wp:docPr id="584" name="Frame58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07010" cy="175260"/>
                      <wp:effectExtent l="0" t="0" r="0" b="0"/>
                      <wp:wrapNone/>
                      <wp:docPr id="585" name="Frame5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753110" cy="175260"/>
                      <wp:effectExtent l="0" t="0" r="0" b="0"/>
                      <wp:wrapNone/>
                      <wp:docPr id="586" name="Frame58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9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Forseven Limited and its affiliate</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251,032</w:t>
            </w:r>
          </w:p>
        </w:tc>
      </w:tr>
      <w:tr>
        <w:trPr/>
        <w:tc>
          <w:tcPr>
            <w:tcW w:w="4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Wuhan Weineng Battery Assets Co., Ltd. and its subsidiary</w:t>
            </w:r>
          </w:p>
        </w:tc>
        <w:tc>
          <w:tcPr>
            <w:tcW w:w="32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78,460</w:t>
            </w:r>
          </w:p>
        </w:tc>
      </w:tr>
      <w:tr>
        <w:trPr/>
        <w:tc>
          <w:tcPr>
            <w:tcW w:w="4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329,492</w:t>
            </w:r>
          </w:p>
        </w:tc>
      </w:tr>
    </w:tbl>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left"/>
        <w:rPr>
          <w:rFonts w:ascii="Times New Roman;Times;serif" w:hAnsi="Times New Roman;Times;serif"/>
          <w:b/>
          <w:sz w:val="20"/>
        </w:rPr>
      </w:pPr>
      <w:bookmarkStart w:id="2221" w:name="Tc_F2hY0XCm40S4J9jEqLjUXg_5_0"/>
      <w:bookmarkStart w:id="2222" w:name="Tc_9i_IG_TtCUGJawJtXWED4Q_4_0"/>
      <w:bookmarkStart w:id="2223" w:name="Tc_kAd9VoeDykCDPK7cyRlu0A_3_0"/>
      <w:bookmarkStart w:id="2224" w:name="Tc_lzgnX8ZRC0eryWH05RQEbA_2_4"/>
      <w:bookmarkStart w:id="2225" w:name="Tc_N_dDVHMfgUqWA19wHkUHNA_2_2"/>
      <w:bookmarkStart w:id="2226" w:name="Tc_QMDiA5jCPEuaT_csUU-kVw_1_2"/>
      <w:bookmarkEnd w:id="2221"/>
      <w:bookmarkEnd w:id="2222"/>
      <w:bookmarkEnd w:id="2223"/>
      <w:bookmarkEnd w:id="2224"/>
      <w:bookmarkEnd w:id="2225"/>
      <w:bookmarkEnd w:id="2226"/>
      <w:r>
        <w:rPr>
          <w:rFonts w:ascii="Times New Roman;Times;serif" w:hAnsi="Times New Roman;Times;serif"/>
          <w:b/>
          <w:sz w:val="20"/>
        </w:rPr>
        <w:t>27.  Commitment and Contingencies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(a) Capital commitments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Capital expenditures contracted for at the balance sheet dates but not recognized in the Group’s consolidated financial statements are as follows:</w:t>
      </w:r>
    </w:p>
    <w:p>
      <w:pPr>
        <w:pStyle w:val="TextBody"/>
        <w:bidi w:val="0"/>
        <w:spacing w:before="0" w:after="240"/>
        <w:ind w:left="0" w:right="0" w:firstLine="360"/>
        <w:jc w:val="both"/>
        <w:rPr/>
      </w:pPr>
      <w:r>
        <w:rPr/>
        <w:t>​</w:t>
      </w:r>
    </w:p>
    <w:tbl>
      <w:tblPr>
        <w:tblW w:w="5200" w:type="dxa"/>
        <w:jc w:val="left"/>
        <w:tblInd w:w="0" w:type="dxa"/>
        <w:tblLayout w:type="fixed"/>
        <w:tblCellMar>
          <w:top w:w="0" w:type="dxa"/>
          <w:left w:w="0" w:type="dxa"/>
          <w:bottom w:w="0" w:type="dxa"/>
          <w:right w:w="0" w:type="dxa"/>
        </w:tblCellMar>
      </w:tblPr>
      <w:tblGrid>
        <w:gridCol w:w="2581"/>
        <w:gridCol w:w="326"/>
        <w:gridCol w:w="931"/>
        <w:gridCol w:w="326"/>
        <w:gridCol w:w="1036"/>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1638935" cy="175260"/>
                      <wp:effectExtent l="0" t="0" r="0" b="0"/>
                      <wp:wrapNone/>
                      <wp:docPr id="587" name="Frame584"/>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07010" cy="175260"/>
                      <wp:effectExtent l="0" t="0" r="0" b="0"/>
                      <wp:wrapNone/>
                      <wp:docPr id="588" name="Frame5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591185" cy="175260"/>
                      <wp:effectExtent l="0" t="0" r="0" b="0"/>
                      <wp:wrapNone/>
                      <wp:docPr id="589" name="Frame58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207010" cy="175260"/>
                      <wp:effectExtent l="0" t="0" r="0" b="0"/>
                      <wp:wrapNone/>
                      <wp:docPr id="590" name="Frame5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657860" cy="175260"/>
                      <wp:effectExtent l="0" t="0" r="0" b="0"/>
                      <wp:wrapNone/>
                      <wp:docPr id="591" name="Frame58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5,465,192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5,896,469</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552,626</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527,363</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6,017,818</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6,423,832</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(b) Contingencies</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Between March and July 2019, several securities class action lawsuits were filed against the Company, certain of the Group’s directors and officers, the underwriters in the IPO and the process agent. Some of these actions have been withdrawn, transferred, consolidated or dismissed. One action commenced during the aforementioned time period remains pending, under the caption In re NIO, Inc. Securities Litigation, 1:19-cv-01424, in the U.S. District Court for the Eastern District of New York (E.D.N.Y.). The plaintiffs in this case allege, in sum and substance, that the Group’s statements in the registration statement and/or other public statements were false or misleading and in violation of the U.S. federal securities laws. The Court denied the Group’s motion to dismiss in August 2021, and granted plaintiffs’ motion for class certification in August 2023. Fact discovery and expert disclosures remain ongoing. Summary judgment briefing is ongoing.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Between August and September 2022, two complaints were filed against the Company, its CEO and its CFO in the federal district court for the Southern District of New York (S.D.N.Y.), in the actions captioned Saye v. NIO Inc. et al., Case No. 1:22-cv-07252 (S.D.N.Y.) and Bohonok v. NIO Inc. et al., Case No. 1:22-cv-07666 (S.D.N.Y.). Relying on a short seller report, these complaints allege that certain of the Group’s public disclosures between August 2020 and July 2022 contained false statements or omissions in violation of the Securities Exchange Act of 1934. On December 14, 2022, the Court consolidated the two actions and appointed a lead plaintiff. Briefing on the Group’s motion to dismiss was completed on July 31, 2023. As of December 31, 2024, no decision was made on this motion.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aforementioned actions remain in their preliminary stages. The Group is currently unable to determine the outcomes of these actions or any estimate of the amount or range of any potential loss, if any, associated with resolution of such lawsuits, if they proceed.</w:t>
        <w:b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is subject to legal proceedings and regulatory actions in the ordinary course of business, such as disputes with landlords, suppliers, employees, etc. The results of such proceedings cannot be predicted with certainty, but the Group does not anticipate that the final outcome arising out of any of such matters will have a material adverse effect on the consolidated balance sheets, comprehensive loss or cash flows on an individual basis or in the aggregate. As of December 31, 2023 and 2024, other than as disclosed above, the Group is not a party to any material legal or administrative proceedings.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28. Subsequent Events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April 7, 2025, the Company has completed the offering of 136,800,000 class A ordinary shares of the Company at an offering price of HK$29.46 per share, with total offering consideration of HK$4,030.1 million.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29.  Parent Company (the “Company”) Only Financial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performed a test on the restricted net assets of its consolidated subsidiaries and VIEs in accordance with Securities and Exchange Commission Regulation S-X Rule 4-08 (e) (3), “General Notes to Financial Statements” and concluded that it was applicable for the Company to disclose the financial information for the Company only.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subsidiaries did not pay any dividends to the Company for the years presented. Certain information and footnote disclosures generally included in financial statements prepared in accordance with U.S. GAAP have been omitted. The footnote disclosures contain supplemental information relating to the operations of the Company, as such, these statements are not the general-purpose financial statements of the reporting entity and should be read in conjunction with the notes to the consolidated financial statements of the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did not have significant capital and other commitments, or guarantees as of December 31,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0"/>
        <w:ind w:left="360" w:right="0" w:hanging="0"/>
        <w:jc w:val="left"/>
        <w:rPr>
          <w:rFonts w:ascii="Times New Roman;Times;serif" w:hAnsi="Times New Roman;Times;serif"/>
          <w:b/>
          <w:i/>
          <w:sz w:val="20"/>
        </w:rPr>
      </w:pPr>
      <w:bookmarkStart w:id="2227" w:name="Tc_6GazlqVSokOTZHyuISmwbw_35_0"/>
      <w:bookmarkStart w:id="2228" w:name="Tc_WTeycRTMcUm0fuVAwi8eIA_34_0"/>
      <w:bookmarkStart w:id="2229" w:name="Tc_J2YFOz1VB0eeU4BvA8dC3A_33_0"/>
      <w:bookmarkStart w:id="2230" w:name="Tc_1KFgV_cN3ES5PqiE261_7A_32_0"/>
      <w:bookmarkStart w:id="2231" w:name="Tc_AAPVpoxpqkaBHaDCn7iZzw_31_0"/>
      <w:bookmarkStart w:id="2232" w:name="Tc_toA2T4Dfk0ay9V0mmRm8pw_30_0"/>
      <w:bookmarkStart w:id="2233" w:name="Tc_Yz_JYpDpQ0m5m-XAwacPHg_29_0"/>
      <w:bookmarkStart w:id="2234" w:name="Tc_Sx1CsYiXtEqQNnjchpWinA_28_0"/>
      <w:bookmarkStart w:id="2235" w:name="Tc_JooS32KvxkS0S-RjNFzVoQ_27_0"/>
      <w:bookmarkStart w:id="2236" w:name="Tc_k3VNqFr9TEKOJk1aBTb1KQ_26_0"/>
      <w:bookmarkStart w:id="2237" w:name="Tc_p3kwdSQ010e975-su40SGw_25_0"/>
      <w:bookmarkStart w:id="2238" w:name="Tc_K3Ova9SbFkCH6raf7Z6Upg_24_0"/>
      <w:bookmarkStart w:id="2239" w:name="Tc_ifNVfNSaz02gc1vntqWjEQ_23_2"/>
      <w:bookmarkStart w:id="2240" w:name="Tc_bp6ZFLGrQkKx6fZ0p65FZQ_23_0"/>
      <w:bookmarkStart w:id="2241" w:name="Tc_XEsPr6WAMkisUkqVXwRMHg_22_0"/>
      <w:bookmarkStart w:id="2242" w:name="Tc_xgU-kkHgEUa-Rm1MwbEZ7w_21_0"/>
      <w:bookmarkStart w:id="2243" w:name="Tc_L12J5n0VwkyFbC8GcLICWA_20_0"/>
      <w:bookmarkStart w:id="2244" w:name="Tc_cOFgIZMvNUikubFvX9lDgA_19_0"/>
      <w:bookmarkStart w:id="2245" w:name="Tc_QMyvMyQVFEyWiTgeTcO1sA_18_0"/>
      <w:bookmarkStart w:id="2246" w:name="Tc_FDXJkmx0C0mYGJlW_1T63A_17_0"/>
      <w:bookmarkStart w:id="2247" w:name="Tc_ZFJ_SR3t9EK_HS2iE9NHug_16_0"/>
      <w:bookmarkStart w:id="2248" w:name="Tc_K_BYmne4d0ae-HIHDh7B8w_15_6"/>
      <w:bookmarkStart w:id="2249" w:name="Tc_MtgQf-KqA0WwVewLUG7zCw_15_4"/>
      <w:bookmarkStart w:id="2250" w:name="Tc_iFmiH3shT0-qe-R3JT1B1Q_15_0"/>
      <w:bookmarkStart w:id="2251" w:name="Tc_CxUwx-FiXU281kJZMQm7yA_14_6"/>
      <w:bookmarkStart w:id="2252" w:name="Tc_Z2w7Ltmik0u_ffhrpBBGFQ_14_4"/>
      <w:bookmarkStart w:id="2253" w:name="Tc_oELVJX6-NUuNZrgKK6pGPQ_14_0"/>
      <w:bookmarkStart w:id="2254" w:name="Tc_USJvLqSQV0SxT8xtqHfz9Q_13_0"/>
      <w:bookmarkStart w:id="2255" w:name="Tc_2g2nkb9PWU6IgxRjcuciQQ_12_0"/>
      <w:bookmarkStart w:id="2256" w:name="Tc_ubfmgJ5lLUu22dzgbQqQ7w_11_0"/>
      <w:bookmarkStart w:id="2257" w:name="Tc_anyUY8PkEkqhrKv6q2w56A_10_0"/>
      <w:bookmarkStart w:id="2258" w:name="Tc_PjpNGuDKQ0WwN4RI8fUtQg_9_0"/>
      <w:bookmarkStart w:id="2259" w:name="Tc__zY7UHDbcE2x6ACAwFU1TQ_8_6"/>
      <w:bookmarkStart w:id="2260" w:name="Tc_w6VOcRcAXEiCygcMEBf5pA_8_4"/>
      <w:bookmarkStart w:id="2261" w:name="Tc_SDoMIO7HdESoGZS5tnPfog_8_0"/>
      <w:bookmarkStart w:id="2262" w:name="Tc_zgKPEjJeQ0Kp51asQ3A_KQ_7_0"/>
      <w:bookmarkStart w:id="2263" w:name="Tc_VPOjXlqg7069yGN8QrOiIQ_6_0"/>
      <w:bookmarkStart w:id="2264" w:name="Tc_BNBrXFiN1EGbd3Qs6HWziQ_5_0"/>
      <w:bookmarkStart w:id="2265" w:name="Tc_zSUJLKGkTk2uXpNOWqGiig_4_6"/>
      <w:bookmarkStart w:id="2266" w:name="Tc_O9ctEuIBKESFuwnVqlgsHA_3_6"/>
      <w:bookmarkStart w:id="2267" w:name="Tc_PoKqTx32W06pabJqFhOX4g_3_4"/>
      <w:bookmarkStart w:id="2268" w:name="Tc_x9e-vP2STUameNKyMv036A_3_2"/>
      <w:bookmarkStart w:id="2269" w:name="Tc_zH1caM33Zk6HZ01GfnnO5Q_2_6"/>
      <w:bookmarkStart w:id="2270" w:name="Tc_A6IB6WfpfUqnR8C7q9aBTg_2_4"/>
      <w:bookmarkStart w:id="2271" w:name="Tc_t7RXB5vfIUiOBc-WFdPEfA_2_2"/>
      <w:bookmarkStart w:id="2272" w:name="Tc_Dn93MvMrxkCzz-p4k4nDmQ_1_2"/>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r>
        <w:rPr>
          <w:rFonts w:ascii="Times New Roman;Times;serif" w:hAnsi="Times New Roman;Times;serif"/>
          <w:b/>
          <w:i/>
          <w:sz w:val="20"/>
        </w:rPr>
        <w:t>Condensed Balance Sheets</w:t>
      </w:r>
    </w:p>
    <w:p>
      <w:pPr>
        <w:pStyle w:val="TextBody"/>
        <w:bidi w:val="0"/>
        <w:spacing w:before="0" w:after="240"/>
        <w:ind w:left="0" w:right="0" w:firstLine="360"/>
        <w:jc w:val="both"/>
        <w:rPr/>
      </w:pPr>
      <w:r>
        <w:rPr/>
        <w:t>​</w:t>
      </w:r>
    </w:p>
    <w:tbl>
      <w:tblPr>
        <w:tblW w:w="8572" w:type="dxa"/>
        <w:jc w:val="left"/>
        <w:tblInd w:w="0" w:type="dxa"/>
        <w:tblLayout w:type="fixed"/>
        <w:tblCellMar>
          <w:top w:w="0" w:type="dxa"/>
          <w:left w:w="0" w:type="dxa"/>
          <w:bottom w:w="0" w:type="dxa"/>
          <w:right w:w="0" w:type="dxa"/>
        </w:tblCellMar>
      </w:tblPr>
      <w:tblGrid>
        <w:gridCol w:w="3976"/>
        <w:gridCol w:w="326"/>
        <w:gridCol w:w="1156"/>
        <w:gridCol w:w="326"/>
        <w:gridCol w:w="1261"/>
        <w:gridCol w:w="326"/>
        <w:gridCol w:w="1201"/>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524760" cy="175260"/>
                      <wp:effectExtent l="0" t="0" r="0" b="0"/>
                      <wp:wrapNone/>
                      <wp:docPr id="592" name="Frame589"/>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207010" cy="175260"/>
                      <wp:effectExtent l="0" t="0" r="0" b="0"/>
                      <wp:wrapNone/>
                      <wp:docPr id="593" name="Frame5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734060" cy="175260"/>
                      <wp:effectExtent l="0" t="0" r="0" b="0"/>
                      <wp:wrapNone/>
                      <wp:docPr id="594" name="Frame591"/>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07010" cy="175260"/>
                      <wp:effectExtent l="0" t="0" r="0" b="0"/>
                      <wp:wrapNone/>
                      <wp:docPr id="595" name="Frame5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800735" cy="175260"/>
                      <wp:effectExtent l="0" t="0" r="0" b="0"/>
                      <wp:wrapNone/>
                      <wp:docPr id="596" name="Frame593"/>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207010" cy="175260"/>
                      <wp:effectExtent l="0" t="0" r="0" b="0"/>
                      <wp:wrapNone/>
                      <wp:docPr id="597" name="Frame5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762635" cy="175260"/>
                      <wp:effectExtent l="0" t="0" r="0" b="0"/>
                      <wp:wrapNone/>
                      <wp:docPr id="598" name="Frame595"/>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 2(e)</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  </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22,676,489</w:t>
            </w:r>
          </w:p>
        </w:tc>
        <w:tc>
          <w:tcPr>
            <w:tcW w:w="32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4,451,772</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609,890</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1,499,939</w:t>
            </w:r>
          </w:p>
        </w:tc>
        <w:tc>
          <w:tcPr>
            <w:tcW w:w="32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from subsidiaries of the Company</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15,453,012</w:t>
            </w:r>
          </w:p>
        </w:tc>
        <w:tc>
          <w:tcPr>
            <w:tcW w:w="32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20,952,738</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2,870,513</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from related parties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1,701</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Prepayments and other 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70,356</w:t>
            </w:r>
          </w:p>
        </w:tc>
        <w:tc>
          <w:tcPr>
            <w:tcW w:w="326" w:type="dxa"/>
            <w:tcBorders/>
            <w:shd w:fill="CCEEFF" w:val="clear"/>
            <w:vAlign w:val="center"/>
          </w:tcPr>
          <w:p>
            <w:pPr>
              <w:pStyle w:val="TableContents"/>
              <w:bidi w:val="0"/>
              <w:spacing w:before="0" w:after="0"/>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23,727</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3,251</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39,699,885</w:t>
            </w:r>
          </w:p>
        </w:tc>
        <w:tc>
          <w:tcPr>
            <w:tcW w:w="326" w:type="dxa"/>
            <w:tcBorders/>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25,429,938</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3,483,887</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in subsidiaries and VIEs</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2,783,143</w:t>
            </w:r>
          </w:p>
        </w:tc>
        <w:tc>
          <w:tcPr>
            <w:tcW w:w="326" w:type="dxa"/>
            <w:tcBorders/>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2,783,143</w:t>
            </w:r>
          </w:p>
        </w:tc>
        <w:tc>
          <w:tcPr>
            <w:tcW w:w="326" w:type="dxa"/>
            <w:tcBorders/>
            <w:shd w:fill="CCEEFF" w:val="clear"/>
            <w:vAlign w:val="center"/>
          </w:tcPr>
          <w:p>
            <w:pPr>
              <w:pStyle w:val="TableContents"/>
              <w:bidi w:val="0"/>
              <w:spacing w:before="0" w:after="0"/>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42,483,028</w:t>
            </w:r>
          </w:p>
        </w:tc>
        <w:tc>
          <w:tcPr>
            <w:tcW w:w="326" w:type="dxa"/>
            <w:tcBorders/>
            <w:vAlign w:val="center"/>
          </w:tcPr>
          <w:p>
            <w:pPr>
              <w:pStyle w:val="TableContents"/>
              <w:bidi w:val="0"/>
              <w:spacing w:before="0" w:after="0"/>
              <w:ind w:left="0" w:right="0" w:hanging="0"/>
              <w:jc w:val="left"/>
              <w:rPr/>
            </w:pPr>
            <w:r>
              <w:rPr/>
              <w:t>​</w:t>
            </w:r>
          </w:p>
        </w:tc>
        <w:tc>
          <w:tcPr>
            <w:tcW w:w="12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25,429,938</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3,483,887</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to subsidiaries of the Company</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1,928,100</w:t>
            </w:r>
          </w:p>
        </w:tc>
        <w:tc>
          <w:tcPr>
            <w:tcW w:w="32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1,620,646</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222,028</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borrowings</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3,286,640</w:t>
            </w:r>
          </w:p>
        </w:tc>
        <w:tc>
          <w:tcPr>
            <w:tcW w:w="32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2,706,285</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370,760</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Accruals and other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146,330</w:t>
            </w:r>
          </w:p>
        </w:tc>
        <w:tc>
          <w:tcPr>
            <w:tcW w:w="326" w:type="dxa"/>
            <w:tcBorders/>
            <w:shd w:fill="CCEEFF" w:val="clear"/>
            <w:vAlign w:val="center"/>
          </w:tcPr>
          <w:p>
            <w:pPr>
              <w:pStyle w:val="TableContents"/>
              <w:bidi w:val="0"/>
              <w:spacing w:before="0" w:after="0"/>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123,833</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16,965</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5,361,070</w:t>
            </w:r>
          </w:p>
        </w:tc>
        <w:tc>
          <w:tcPr>
            <w:tcW w:w="326" w:type="dxa"/>
            <w:tcBorders/>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4,450,764</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609,753</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Deficits of investments in subsidiaries and VIEs</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6,845,155</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937,782</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borrowings</w:t>
            </w:r>
          </w:p>
        </w:tc>
        <w:tc>
          <w:tcPr>
            <w:tcW w:w="326" w:type="dxa"/>
            <w:tcBorders/>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11,575,725</w:t>
            </w:r>
          </w:p>
        </w:tc>
        <w:tc>
          <w:tcPr>
            <w:tcW w:w="326" w:type="dxa"/>
            <w:tcBorders/>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8,166,996</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1,118,874</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11,575,725</w:t>
            </w:r>
          </w:p>
        </w:tc>
        <w:tc>
          <w:tcPr>
            <w:tcW w:w="326" w:type="dxa"/>
            <w:tcBorders/>
            <w:shd w:fill="CCEEFF" w:val="clear"/>
            <w:vAlign w:val="center"/>
          </w:tcPr>
          <w:p>
            <w:pPr>
              <w:pStyle w:val="TableContents"/>
              <w:bidi w:val="0"/>
              <w:spacing w:before="0" w:after="0"/>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15,012,151</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2,056,656</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16,936,795</w:t>
            </w:r>
          </w:p>
        </w:tc>
        <w:tc>
          <w:tcPr>
            <w:tcW w:w="326" w:type="dxa"/>
            <w:tcBorders/>
            <w:vAlign w:val="center"/>
          </w:tcPr>
          <w:p>
            <w:pPr>
              <w:pStyle w:val="TableContents"/>
              <w:bidi w:val="0"/>
              <w:spacing w:before="0" w:after="0"/>
              <w:ind w:left="0" w:right="0" w:hanging="0"/>
              <w:jc w:val="left"/>
              <w:rPr/>
            </w:pPr>
            <w:r>
              <w:rPr/>
              <w:t>​</w:t>
            </w:r>
          </w:p>
        </w:tc>
        <w:tc>
          <w:tcPr>
            <w:tcW w:w="12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19,462,915</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2,666,409</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SHAREHOLDERS’ EQUITY</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  </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Ordinary Shares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3,368</w:t>
            </w:r>
          </w:p>
        </w:tc>
        <w:tc>
          <w:tcPr>
            <w:tcW w:w="32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3,406</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C Ordinary Shares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shares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(1,849,600)</w:t>
            </w:r>
          </w:p>
        </w:tc>
        <w:tc>
          <w:tcPr>
            <w:tcW w:w="32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(239,328)</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(32,788)</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 in capital</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117,717,254</w:t>
            </w:r>
          </w:p>
        </w:tc>
        <w:tc>
          <w:tcPr>
            <w:tcW w:w="32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118,688,242</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16,260,222</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432,991</w:t>
            </w:r>
          </w:p>
        </w:tc>
        <w:tc>
          <w:tcPr>
            <w:tcW w:w="32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582,659</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79,823</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(90,758,034)</w:t>
            </w:r>
          </w:p>
        </w:tc>
        <w:tc>
          <w:tcPr>
            <w:tcW w:w="326" w:type="dxa"/>
            <w:tcBorders/>
            <w:shd w:fill="CCEEFF" w:val="clear"/>
            <w:vAlign w:val="center"/>
          </w:tcPr>
          <w:p>
            <w:pPr>
              <w:pStyle w:val="TableContents"/>
              <w:bidi w:val="0"/>
              <w:spacing w:before="0" w:after="0"/>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(113,068,210)</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(15,490,281)</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shareholders’ equity</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25,546,233</w:t>
            </w:r>
          </w:p>
        </w:tc>
        <w:tc>
          <w:tcPr>
            <w:tcW w:w="326" w:type="dxa"/>
            <w:tcBorders/>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5,967,023</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817,478</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shareholders’ equity</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42,483,028</w:t>
            </w:r>
          </w:p>
        </w:tc>
        <w:tc>
          <w:tcPr>
            <w:tcW w:w="326" w:type="dxa"/>
            <w:tcBorders/>
            <w:shd w:fill="CCEEFF" w:val="clear"/>
            <w:vAlign w:val="center"/>
          </w:tcPr>
          <w:p>
            <w:pPr>
              <w:pStyle w:val="TableContents"/>
              <w:bidi w:val="0"/>
              <w:spacing w:before="0" w:after="0"/>
              <w:ind w:left="0" w:right="0" w:hanging="0"/>
              <w:jc w:val="left"/>
              <w:rPr/>
            </w:pPr>
            <w:r>
              <w:rPr/>
              <w:t>​</w:t>
            </w:r>
          </w:p>
        </w:tc>
        <w:tc>
          <w:tcPr>
            <w:tcW w:w="12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25,429,938</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3,483,887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0"/>
        <w:ind w:left="360" w:right="0" w:hanging="0"/>
        <w:jc w:val="left"/>
        <w:rPr>
          <w:rFonts w:ascii="Times New Roman;Times;serif" w:hAnsi="Times New Roman;Times;serif"/>
          <w:b/>
          <w:i/>
          <w:sz w:val="20"/>
        </w:rPr>
      </w:pPr>
      <w:bookmarkStart w:id="2273" w:name="Tc_FTbKb9d70ECN_L4l6YbG6A_14_0"/>
      <w:bookmarkStart w:id="2274" w:name="Tc_GqIBK9cfwk2grTULpCWgZA_13_0"/>
      <w:bookmarkStart w:id="2275" w:name="Tc_ymkG5_Z380u9NOQvnwU7bQ_12_0"/>
      <w:bookmarkStart w:id="2276" w:name="Tc_LugWDYbbaUWCOjtmk3E-Vw_11_0"/>
      <w:bookmarkStart w:id="2277" w:name="Tc_33OvaaNoWECWUKRiAI88zA_10_0"/>
      <w:bookmarkStart w:id="2278" w:name="Tc_TAGzmY4Hv0urRFREXsb8mA_9_0"/>
      <w:bookmarkStart w:id="2279" w:name="Tc_Cyd4Y-CKd0OGbiaav4KAdw_8_0"/>
      <w:bookmarkStart w:id="2280" w:name="Tc_DT26QHR0VEGGo4nDAwJfpA_7_0"/>
      <w:bookmarkStart w:id="2281" w:name="Tc_yyBrVl2lX0C51v-DFlWJvQ_6_0"/>
      <w:bookmarkStart w:id="2282" w:name="Tc_WDHJWeoldEmGTNqPDDljzA_5_0"/>
      <w:bookmarkStart w:id="2283" w:name="Tc_IsDYzKy8mEyGWP5O0WNsdw_4_8"/>
      <w:bookmarkStart w:id="2284" w:name="Tc_uZM63EIo9E6m9xl0GAmvkA_3_8"/>
      <w:bookmarkStart w:id="2285" w:name="Tc_74DdKijio06JfvDRvxorQw_3_6"/>
      <w:bookmarkStart w:id="2286" w:name="Tc_QuNIrQdU_k-bAAcRpbYs_Q_3_4"/>
      <w:bookmarkStart w:id="2287" w:name="Tc_dKb7TZM_rky16ebrZ3KVhQ_3_2"/>
      <w:bookmarkStart w:id="2288" w:name="Tc_bK6VUSQ360iDO5bK3WQCTQ_2_8"/>
      <w:bookmarkStart w:id="2289" w:name="Tc_9vCs7qc8PkKynxGYe3BuFQ_2_6"/>
      <w:bookmarkStart w:id="2290" w:name="Tc_kfKFlbCMu0GQiTKpYM_eRw_2_4"/>
      <w:bookmarkStart w:id="2291" w:name="Tc_71a7zmVqt02mO6HXnmwBgw_2_2"/>
      <w:bookmarkStart w:id="2292" w:name="Tc_DvO91B-ReEGfExE-tql2_w_1_2"/>
      <w:bookmarkStart w:id="2293" w:name="Tc_6zjcJjXjrUuLHW_2_FeJeQ_22_0"/>
      <w:bookmarkStart w:id="2294" w:name="Tc_pjnkErgkHEOzW6Hr73RA3w_21_0"/>
      <w:bookmarkStart w:id="2295" w:name="Tc_MMOcNg5KokSBJ48gzRPyeA_20_0"/>
      <w:bookmarkStart w:id="2296" w:name="Tc_jCIW-q7ifkSE0guRnx_4Hw_19_0"/>
      <w:bookmarkStart w:id="2297" w:name="Tc_1c6B5jDHnUSXYQ44H7pFFA_18_0"/>
      <w:bookmarkStart w:id="2298" w:name="Tc_C4c-zMCI-UmoWwzm14XUyA_17_0"/>
      <w:bookmarkStart w:id="2299" w:name="Tc_D1bxGpvYjEuQnexnZBJ4lw_16_0"/>
      <w:bookmarkStart w:id="2300" w:name="Tc_1msud2VlQUKCmte6QMFsbA_15_0"/>
      <w:bookmarkStart w:id="2301" w:name="Tc_I6SKLxKO1ECgZ-im7PTIHw_14_0"/>
      <w:bookmarkStart w:id="2302" w:name="Tc_nGIjMABPgE-2ZyclRVFAuw_13_0"/>
      <w:bookmarkStart w:id="2303" w:name="Tc_qb8gL2i6mUWkMm3kqhUIVA_12_0"/>
      <w:bookmarkStart w:id="2304" w:name="Tc_70jdqWyEBECA3wYnLnO7jg_11_0"/>
      <w:bookmarkStart w:id="2305" w:name="Tc_gVlQzxwM9k2Uls9F2mQMgw_10_0"/>
      <w:bookmarkStart w:id="2306" w:name="Tc_HU6TbSiyg0eBhOyyAUMZlw_9_0"/>
      <w:bookmarkStart w:id="2307" w:name="Tc_UnBPRyODkEu7fLiPF8tqKg_8_0"/>
      <w:bookmarkStart w:id="2308" w:name="Tc_g42ixrD2LUC9A4dXEee0gA_7_0"/>
      <w:bookmarkStart w:id="2309" w:name="Tc_Xowe_qEUM0ipfyft_kG9Pg_6_0"/>
      <w:bookmarkStart w:id="2310" w:name="Tc_PQIigT5GHkGjrsnQcNmD7g_5_0"/>
      <w:bookmarkStart w:id="2311" w:name="Tc_MdijGrUIwUGc_lwS7A7PLg_4_8"/>
      <w:bookmarkStart w:id="2312" w:name="Tc_d9Oz6E8iGUiqSzZgYgWSsA_3_8"/>
      <w:bookmarkStart w:id="2313" w:name="Tc_UsrKHPs3VEK8luFqJmvCXw_3_6"/>
      <w:bookmarkStart w:id="2314" w:name="Tc_3OGoW5CWDECFxJszXYlyhA_3_4"/>
      <w:bookmarkStart w:id="2315" w:name="Tc_pFYvw32MjE-qVt_xCon8Dg_3_2"/>
      <w:bookmarkStart w:id="2316" w:name="Tc_c3HQcVxbvUapuZL7k97o_w_2_8"/>
      <w:bookmarkStart w:id="2317" w:name="Tc_BVrXPDGXf0Szc6OBfqBTpw_2_6"/>
      <w:bookmarkStart w:id="2318" w:name="Tc_dCKKNT_dxECHFGTaEFq7AA_2_4"/>
      <w:bookmarkStart w:id="2319" w:name="Tc_YeUgKZD_N0q2M7CUcrLaww_2_2"/>
      <w:bookmarkStart w:id="2320" w:name="Tc_9vH6Y_SuCUqnu4XLfl4yig_1_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r>
        <w:rPr>
          <w:rFonts w:ascii="Times New Roman;Times;serif" w:hAnsi="Times New Roman;Times;serif"/>
          <w:b/>
          <w:i/>
          <w:sz w:val="20"/>
        </w:rPr>
        <w:t>Condensed Statements of Comprehensive Loss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4419"/>
        <w:gridCol w:w="326"/>
        <w:gridCol w:w="1135"/>
        <w:gridCol w:w="326"/>
        <w:gridCol w:w="1135"/>
        <w:gridCol w:w="326"/>
        <w:gridCol w:w="1135"/>
        <w:gridCol w:w="326"/>
        <w:gridCol w:w="1077"/>
      </w:tblGrid>
      <w:tr>
        <w:trPr/>
        <w:tc>
          <w:tcPr>
            <w:tcW w:w="4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2806065" cy="175260"/>
                      <wp:effectExtent l="0" t="0" r="0" b="0"/>
                      <wp:wrapNone/>
                      <wp:docPr id="599" name="Frame596"/>
                      <a:graphic xmlns:a="http://schemas.openxmlformats.org/drawingml/2006/main">
                        <a:graphicData uri="http://schemas.microsoft.com/office/word/2010/wordprocessingShape">
                          <wps:wsp>
                            <wps:cNvSpPr txBox="1"/>
                            <wps:spPr>
                              <a:xfrm>
                                <a:off x="0" y="0"/>
                                <a:ext cx="2806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207010" cy="175260"/>
                      <wp:effectExtent l="0" t="0" r="0" b="0"/>
                      <wp:wrapNone/>
                      <wp:docPr id="600" name="Frame5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720725" cy="175260"/>
                      <wp:effectExtent l="0" t="0" r="0" b="0"/>
                      <wp:wrapNone/>
                      <wp:docPr id="601" name="Frame598"/>
                      <a:graphic xmlns:a="http://schemas.openxmlformats.org/drawingml/2006/main">
                        <a:graphicData uri="http://schemas.microsoft.com/office/word/2010/wordprocessingShape">
                          <wps:wsp>
                            <wps:cNvSpPr txBox="1"/>
                            <wps:spPr>
                              <a:xfrm>
                                <a:off x="0" y="0"/>
                                <a:ext cx="720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07010" cy="175260"/>
                      <wp:effectExtent l="0" t="0" r="0" b="0"/>
                      <wp:wrapNone/>
                      <wp:docPr id="602" name="Frame5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720725" cy="175260"/>
                      <wp:effectExtent l="0" t="0" r="0" b="0"/>
                      <wp:wrapNone/>
                      <wp:docPr id="603" name="Frame600"/>
                      <a:graphic xmlns:a="http://schemas.openxmlformats.org/drawingml/2006/main">
                        <a:graphicData uri="http://schemas.microsoft.com/office/word/2010/wordprocessingShape">
                          <wps:wsp>
                            <wps:cNvSpPr txBox="1"/>
                            <wps:spPr>
                              <a:xfrm>
                                <a:off x="0" y="0"/>
                                <a:ext cx="720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207010" cy="175260"/>
                      <wp:effectExtent l="0" t="0" r="0" b="0"/>
                      <wp:wrapNone/>
                      <wp:docPr id="604" name="Frame6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720725" cy="175260"/>
                      <wp:effectExtent l="0" t="0" r="0" b="0"/>
                      <wp:wrapNone/>
                      <wp:docPr id="605" name="Frame602"/>
                      <a:graphic xmlns:a="http://schemas.openxmlformats.org/drawingml/2006/main">
                        <a:graphicData uri="http://schemas.microsoft.com/office/word/2010/wordprocessingShape">
                          <wps:wsp>
                            <wps:cNvSpPr txBox="1"/>
                            <wps:spPr>
                              <a:xfrm>
                                <a:off x="0" y="0"/>
                                <a:ext cx="720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207010" cy="175260"/>
                      <wp:effectExtent l="0" t="0" r="0" b="0"/>
                      <wp:wrapNone/>
                      <wp:docPr id="606" name="Frame6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83895" cy="175260"/>
                      <wp:effectExtent l="0" t="0" r="0" b="0"/>
                      <wp:wrapNone/>
                      <wp:docPr id="607" name="Frame604"/>
                      <a:graphic xmlns:a="http://schemas.openxmlformats.org/drawingml/2006/main">
                        <a:graphicData uri="http://schemas.microsoft.com/office/word/2010/wordprocessingShape">
                          <wps:wsp>
                            <wps:cNvSpPr txBox="1"/>
                            <wps:spPr>
                              <a:xfrm>
                                <a:off x="0" y="0"/>
                                <a:ext cx="683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6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44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4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07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4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7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 2(e)</w:t>
            </w:r>
          </w:p>
        </w:tc>
      </w:tr>
      <w:tr>
        <w:trPr/>
        <w:tc>
          <w:tcPr>
            <w:tcW w:w="441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13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3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3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77" w:type="dxa"/>
            <w:tcBorders/>
            <w:shd w:fill="CCEEFF" w:val="clear"/>
            <w:vAlign w:val="center"/>
          </w:tcPr>
          <w:p>
            <w:pPr>
              <w:pStyle w:val="TableContents"/>
              <w:bidi w:val="0"/>
              <w:spacing w:before="0" w:after="0"/>
              <w:ind w:left="0" w:right="0" w:hanging="0"/>
              <w:jc w:val="right"/>
              <w:rPr/>
            </w:pPr>
            <w:r>
              <w:rPr/>
              <w:t>  </w:t>
            </w:r>
          </w:p>
        </w:tc>
      </w:tr>
      <w:tr>
        <w:trPr/>
        <w:tc>
          <w:tcPr>
            <w:tcW w:w="44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vAlign w:val="center"/>
          </w:tcPr>
          <w:p>
            <w:pPr>
              <w:pStyle w:val="TableContents"/>
              <w:bidi w:val="0"/>
              <w:spacing w:before="0" w:after="0"/>
              <w:ind w:left="0" w:right="0" w:hanging="0"/>
              <w:jc w:val="left"/>
              <w:rPr/>
            </w:pPr>
            <w:r>
              <w:rPr/>
              <w:t> </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(24,039)</w:t>
            </w:r>
          </w:p>
        </w:tc>
        <w:tc>
          <w:tcPr>
            <w:tcW w:w="326" w:type="dxa"/>
            <w:tcBorders/>
            <w:vAlign w:val="center"/>
          </w:tcPr>
          <w:p>
            <w:pPr>
              <w:pStyle w:val="TableContents"/>
              <w:bidi w:val="0"/>
              <w:spacing w:before="0" w:after="0"/>
              <w:ind w:left="0" w:right="0" w:hanging="0"/>
              <w:jc w:val="left"/>
              <w:rPr/>
            </w:pPr>
            <w:r>
              <w:rPr/>
              <w:t>​</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(99,587)</w:t>
            </w:r>
          </w:p>
        </w:tc>
        <w:tc>
          <w:tcPr>
            <w:tcW w:w="326" w:type="dxa"/>
            <w:tcBorders/>
            <w:vAlign w:val="center"/>
          </w:tcPr>
          <w:p>
            <w:pPr>
              <w:pStyle w:val="TableContents"/>
              <w:bidi w:val="0"/>
              <w:spacing w:before="0" w:after="0"/>
              <w:ind w:left="0" w:right="0" w:hanging="0"/>
              <w:jc w:val="left"/>
              <w:rPr/>
            </w:pPr>
            <w:r>
              <w:rPr/>
              <w:t>​</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(104,001)</w:t>
            </w:r>
          </w:p>
        </w:tc>
        <w:tc>
          <w:tcPr>
            <w:tcW w:w="326" w:type="dxa"/>
            <w:tcBorders/>
            <w:vAlign w:val="center"/>
          </w:tcPr>
          <w:p>
            <w:pPr>
              <w:pStyle w:val="TableContents"/>
              <w:bidi w:val="0"/>
              <w:spacing w:before="0" w:after="0"/>
              <w:ind w:left="0" w:right="0" w:hanging="0"/>
              <w:jc w:val="left"/>
              <w:rPr/>
            </w:pPr>
            <w:r>
              <w:rPr/>
              <w:t>​</w:t>
            </w:r>
          </w:p>
        </w:tc>
        <w:tc>
          <w:tcPr>
            <w:tcW w:w="10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(14,248)</w:t>
            </w:r>
          </w:p>
        </w:tc>
      </w:tr>
      <w:tr>
        <w:trPr/>
        <w:tc>
          <w:tcPr>
            <w:tcW w:w="441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(24,039)</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(99,587)</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(104,001)</w:t>
            </w:r>
          </w:p>
        </w:tc>
        <w:tc>
          <w:tcPr>
            <w:tcW w:w="326" w:type="dxa"/>
            <w:tcBorders/>
            <w:shd w:fill="CCEEFF" w:val="clear"/>
            <w:vAlign w:val="center"/>
          </w:tcPr>
          <w:p>
            <w:pPr>
              <w:pStyle w:val="TableContents"/>
              <w:bidi w:val="0"/>
              <w:spacing w:before="0" w:after="0"/>
              <w:ind w:left="0" w:right="0" w:hanging="0"/>
              <w:jc w:val="left"/>
              <w:rPr/>
            </w:pPr>
            <w:r>
              <w:rPr/>
              <w:t>​</w:t>
            </w:r>
          </w:p>
        </w:tc>
        <w:tc>
          <w:tcPr>
            <w:tcW w:w="10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(14,248)</w:t>
            </w:r>
          </w:p>
        </w:tc>
      </w:tr>
      <w:tr>
        <w:trPr/>
        <w:tc>
          <w:tcPr>
            <w:tcW w:w="441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26" w:type="dxa"/>
            <w:tcBorders/>
            <w:vAlign w:val="center"/>
          </w:tcPr>
          <w:p>
            <w:pPr>
              <w:pStyle w:val="TableContents"/>
              <w:bidi w:val="0"/>
              <w:spacing w:before="0" w:after="0"/>
              <w:ind w:left="0" w:right="0" w:hanging="0"/>
              <w:jc w:val="left"/>
              <w:rPr/>
            </w:pPr>
            <w:r>
              <w:rPr/>
              <w:t> </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(24,039)</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(99,587)</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(104,001)</w:t>
            </w:r>
          </w:p>
        </w:tc>
        <w:tc>
          <w:tcPr>
            <w:tcW w:w="326" w:type="dxa"/>
            <w:tcBorders/>
            <w:vAlign w:val="center"/>
          </w:tcPr>
          <w:p>
            <w:pPr>
              <w:pStyle w:val="TableContents"/>
              <w:bidi w:val="0"/>
              <w:spacing w:before="0" w:after="0"/>
              <w:ind w:left="0" w:right="0" w:hanging="0"/>
              <w:jc w:val="left"/>
              <w:rPr/>
            </w:pPr>
            <w:r>
              <w:rPr/>
              <w:t>​</w:t>
            </w:r>
          </w:p>
        </w:tc>
        <w:tc>
          <w:tcPr>
            <w:tcW w:w="10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(14,248)</w:t>
            </w:r>
          </w:p>
        </w:tc>
      </w:tr>
      <w:tr>
        <w:trPr/>
        <w:tc>
          <w:tcPr>
            <w:tcW w:w="44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207,057</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524,173</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522,799</w:t>
            </w:r>
          </w:p>
        </w:tc>
        <w:tc>
          <w:tcPr>
            <w:tcW w:w="326" w:type="dxa"/>
            <w:tcBorders/>
            <w:shd w:fill="CCEEFF" w:val="clear"/>
            <w:vAlign w:val="center"/>
          </w:tcPr>
          <w:p>
            <w:pPr>
              <w:pStyle w:val="TableContents"/>
              <w:bidi w:val="0"/>
              <w:spacing w:before="0" w:after="0"/>
              <w:ind w:left="0" w:right="0" w:hanging="0"/>
              <w:jc w:val="left"/>
              <w:rPr/>
            </w:pPr>
            <w:r>
              <w:rPr/>
              <w:t>​</w:t>
            </w:r>
          </w:p>
        </w:tc>
        <w:tc>
          <w:tcPr>
            <w:tcW w:w="10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71,623</w:t>
            </w:r>
          </w:p>
        </w:tc>
      </w:tr>
      <w:tr>
        <w:trPr/>
        <w:tc>
          <w:tcPr>
            <w:tcW w:w="44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 </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(113,277)</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(207,649)</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(392,179)</w:t>
            </w:r>
          </w:p>
        </w:tc>
        <w:tc>
          <w:tcPr>
            <w:tcW w:w="326" w:type="dxa"/>
            <w:tcBorders/>
            <w:vAlign w:val="center"/>
          </w:tcPr>
          <w:p>
            <w:pPr>
              <w:pStyle w:val="TableContents"/>
              <w:bidi w:val="0"/>
              <w:spacing w:before="0" w:after="0"/>
              <w:ind w:left="0" w:right="0" w:hanging="0"/>
              <w:jc w:val="left"/>
              <w:rPr/>
            </w:pPr>
            <w:r>
              <w:rPr/>
              <w:t>​</w:t>
            </w:r>
          </w:p>
        </w:tc>
        <w:tc>
          <w:tcPr>
            <w:tcW w:w="10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(53,728)</w:t>
            </w:r>
          </w:p>
        </w:tc>
      </w:tr>
      <w:tr>
        <w:trPr/>
        <w:tc>
          <w:tcPr>
            <w:tcW w:w="44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extinguishment of debt</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138,332</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170,193</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(4,480)</w:t>
            </w:r>
          </w:p>
        </w:tc>
        <w:tc>
          <w:tcPr>
            <w:tcW w:w="326" w:type="dxa"/>
            <w:tcBorders/>
            <w:shd w:fill="CCEEFF" w:val="clear"/>
            <w:vAlign w:val="center"/>
          </w:tcPr>
          <w:p>
            <w:pPr>
              <w:pStyle w:val="TableContents"/>
              <w:bidi w:val="0"/>
              <w:spacing w:before="0" w:after="0"/>
              <w:ind w:left="0" w:right="0" w:hanging="0"/>
              <w:jc w:val="left"/>
              <w:rPr/>
            </w:pPr>
            <w:r>
              <w:rPr/>
              <w:t>​</w:t>
            </w:r>
          </w:p>
        </w:tc>
        <w:tc>
          <w:tcPr>
            <w:tcW w:w="10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w:t>
            </w:r>
          </w:p>
        </w:tc>
      </w:tr>
      <w:tr>
        <w:trPr/>
        <w:tc>
          <w:tcPr>
            <w:tcW w:w="44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loss of subsidiaries and VIEs</w:t>
            </w:r>
          </w:p>
        </w:tc>
        <w:tc>
          <w:tcPr>
            <w:tcW w:w="326" w:type="dxa"/>
            <w:tcBorders/>
            <w:vAlign w:val="center"/>
          </w:tcPr>
          <w:p>
            <w:pPr>
              <w:pStyle w:val="TableContents"/>
              <w:bidi w:val="0"/>
              <w:spacing w:before="0" w:after="0"/>
              <w:ind w:left="0" w:right="0" w:hanging="0"/>
              <w:jc w:val="left"/>
              <w:rPr/>
            </w:pPr>
            <w:r>
              <w:rPr/>
              <w:t> </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(14,138,689)</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(21,349,555)</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(22,287,129)</w:t>
            </w:r>
          </w:p>
        </w:tc>
        <w:tc>
          <w:tcPr>
            <w:tcW w:w="326" w:type="dxa"/>
            <w:tcBorders/>
            <w:vAlign w:val="center"/>
          </w:tcPr>
          <w:p>
            <w:pPr>
              <w:pStyle w:val="TableContents"/>
              <w:bidi w:val="0"/>
              <w:spacing w:before="0" w:after="0"/>
              <w:ind w:left="0" w:right="0" w:hanging="0"/>
              <w:jc w:val="left"/>
              <w:rPr/>
            </w:pPr>
            <w:r>
              <w:rPr/>
              <w:t>​</w:t>
            </w:r>
          </w:p>
        </w:tc>
        <w:tc>
          <w:tcPr>
            <w:tcW w:w="10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(3,053,323)</w:t>
            </w:r>
          </w:p>
        </w:tc>
      </w:tr>
      <w:tr>
        <w:trPr/>
        <w:tc>
          <w:tcPr>
            <w:tcW w:w="44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income/(loss), net</w:t>
            </w:r>
          </w:p>
        </w:tc>
        <w:tc>
          <w:tcPr>
            <w:tcW w:w="326" w:type="dxa"/>
            <w:tcBorders/>
            <w:shd w:fill="CCEEFF" w:val="clear"/>
            <w:vAlign w:val="center"/>
          </w:tcPr>
          <w:p>
            <w:pPr>
              <w:pStyle w:val="TableContents"/>
              <w:bidi w:val="0"/>
              <w:spacing w:before="0" w:after="0"/>
              <w:ind w:left="0" w:right="0" w:hanging="0"/>
              <w:jc w:val="left"/>
              <w:rPr/>
            </w:pPr>
            <w:r>
              <w:rPr/>
              <w:t> </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(351,874)</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121,800</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(9,479)</w:t>
            </w:r>
          </w:p>
        </w:tc>
        <w:tc>
          <w:tcPr>
            <w:tcW w:w="326" w:type="dxa"/>
            <w:tcBorders/>
            <w:shd w:fill="CCEEFF" w:val="clear"/>
            <w:vAlign w:val="center"/>
          </w:tcPr>
          <w:p>
            <w:pPr>
              <w:pStyle w:val="TableContents"/>
              <w:bidi w:val="0"/>
              <w:spacing w:before="0" w:after="0"/>
              <w:ind w:left="0" w:right="0" w:hanging="0"/>
              <w:jc w:val="left"/>
              <w:rPr/>
            </w:pPr>
            <w:r>
              <w:rPr/>
              <w:t>​</w:t>
            </w:r>
          </w:p>
        </w:tc>
        <w:tc>
          <w:tcPr>
            <w:tcW w:w="10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r>
      <w:tr>
        <w:trPr/>
        <w:tc>
          <w:tcPr>
            <w:tcW w:w="441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before income tax expense</w:t>
            </w:r>
          </w:p>
        </w:tc>
        <w:tc>
          <w:tcPr>
            <w:tcW w:w="326" w:type="dxa"/>
            <w:tcBorders/>
            <w:vAlign w:val="center"/>
          </w:tcPr>
          <w:p>
            <w:pPr>
              <w:pStyle w:val="TableContents"/>
              <w:bidi w:val="0"/>
              <w:spacing w:before="0" w:after="0"/>
              <w:ind w:left="0" w:right="0" w:hanging="0"/>
              <w:jc w:val="left"/>
              <w:rPr/>
            </w:pPr>
            <w:r>
              <w:rPr/>
              <w:t> </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(14,282,490)</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(20,840,625)</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(22,274,469)</w:t>
            </w:r>
          </w:p>
        </w:tc>
        <w:tc>
          <w:tcPr>
            <w:tcW w:w="326" w:type="dxa"/>
            <w:tcBorders/>
            <w:vAlign w:val="center"/>
          </w:tcPr>
          <w:p>
            <w:pPr>
              <w:pStyle w:val="TableContents"/>
              <w:bidi w:val="0"/>
              <w:spacing w:before="0" w:after="0"/>
              <w:ind w:left="0" w:right="0" w:hanging="0"/>
              <w:jc w:val="left"/>
              <w:rPr/>
            </w:pPr>
            <w:r>
              <w:rPr/>
              <w:t>​</w:t>
            </w:r>
          </w:p>
        </w:tc>
        <w:tc>
          <w:tcPr>
            <w:tcW w:w="10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(3,051,590)</w:t>
            </w:r>
          </w:p>
        </w:tc>
      </w:tr>
      <w:tr>
        <w:trPr/>
        <w:tc>
          <w:tcPr>
            <w:tcW w:w="44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benefit/(expense)</w:t>
            </w:r>
          </w:p>
        </w:tc>
        <w:tc>
          <w:tcPr>
            <w:tcW w:w="326" w:type="dxa"/>
            <w:tcBorders/>
            <w:shd w:fill="CCEEFF" w:val="clear"/>
            <w:vAlign w:val="center"/>
          </w:tcPr>
          <w:p>
            <w:pPr>
              <w:pStyle w:val="TableContents"/>
              <w:bidi w:val="0"/>
              <w:spacing w:before="0" w:after="0"/>
              <w:ind w:left="0" w:right="0" w:hanging="0"/>
              <w:jc w:val="left"/>
              <w:rPr/>
            </w:pPr>
            <w:r>
              <w:rPr/>
              <w:t> </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(3,179)</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(35,707)</w:t>
            </w:r>
          </w:p>
        </w:tc>
        <w:tc>
          <w:tcPr>
            <w:tcW w:w="326" w:type="dxa"/>
            <w:tcBorders/>
            <w:shd w:fill="CCEEFF" w:val="clear"/>
            <w:vAlign w:val="center"/>
          </w:tcPr>
          <w:p>
            <w:pPr>
              <w:pStyle w:val="TableContents"/>
              <w:bidi w:val="0"/>
              <w:spacing w:before="0" w:after="0"/>
              <w:ind w:left="0" w:right="0" w:hanging="0"/>
              <w:jc w:val="left"/>
              <w:rPr/>
            </w:pPr>
            <w:r>
              <w:rPr/>
              <w:t>​</w:t>
            </w:r>
          </w:p>
        </w:tc>
        <w:tc>
          <w:tcPr>
            <w:tcW w:w="10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(4,892)</w:t>
            </w:r>
          </w:p>
        </w:tc>
      </w:tr>
      <w:tr>
        <w:trPr/>
        <w:tc>
          <w:tcPr>
            <w:tcW w:w="441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vAlign w:val="center"/>
          </w:tcPr>
          <w:p>
            <w:pPr>
              <w:pStyle w:val="TableContents"/>
              <w:bidi w:val="0"/>
              <w:spacing w:before="0" w:after="0"/>
              <w:ind w:left="0" w:right="0" w:hanging="0"/>
              <w:jc w:val="left"/>
              <w:rPr/>
            </w:pPr>
            <w:r>
              <w:rPr/>
              <w:t> </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(14,280,090)</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(20,843,804)</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(22,310,176)</w:t>
            </w:r>
          </w:p>
        </w:tc>
        <w:tc>
          <w:tcPr>
            <w:tcW w:w="326" w:type="dxa"/>
            <w:tcBorders/>
            <w:vAlign w:val="center"/>
          </w:tcPr>
          <w:p>
            <w:pPr>
              <w:pStyle w:val="TableContents"/>
              <w:bidi w:val="0"/>
              <w:spacing w:before="0" w:after="0"/>
              <w:ind w:left="0" w:right="0" w:hanging="0"/>
              <w:jc w:val="left"/>
              <w:rPr/>
            </w:pPr>
            <w:r>
              <w:rPr/>
              <w:t>​</w:t>
            </w:r>
          </w:p>
        </w:tc>
        <w:tc>
          <w:tcPr>
            <w:tcW w:w="10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(3,056,482)</w:t>
            </w:r>
          </w:p>
        </w:tc>
      </w:tr>
      <w:tr>
        <w:trPr/>
        <w:tc>
          <w:tcPr>
            <w:tcW w:w="44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on redeemable non-controlling interests to redemption value</w:t>
            </w:r>
          </w:p>
        </w:tc>
        <w:tc>
          <w:tcPr>
            <w:tcW w:w="326" w:type="dxa"/>
            <w:tcBorders/>
            <w:shd w:fill="CCEEFF" w:val="clear"/>
            <w:vAlign w:val="center"/>
          </w:tcPr>
          <w:p>
            <w:pPr>
              <w:pStyle w:val="TableContents"/>
              <w:bidi w:val="0"/>
              <w:spacing w:before="0" w:after="0"/>
              <w:ind w:left="0" w:right="0" w:hanging="0"/>
              <w:jc w:val="left"/>
              <w:rPr/>
            </w:pPr>
            <w:r>
              <w:rPr/>
              <w:t> </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(279,355)</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(303,163)</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(347,516)</w:t>
            </w:r>
          </w:p>
        </w:tc>
        <w:tc>
          <w:tcPr>
            <w:tcW w:w="326" w:type="dxa"/>
            <w:tcBorders/>
            <w:shd w:fill="CCEEFF" w:val="clear"/>
            <w:vAlign w:val="center"/>
          </w:tcPr>
          <w:p>
            <w:pPr>
              <w:pStyle w:val="TableContents"/>
              <w:bidi w:val="0"/>
              <w:spacing w:before="0" w:after="0"/>
              <w:ind w:left="0" w:right="0" w:hanging="0"/>
              <w:jc w:val="left"/>
              <w:rPr/>
            </w:pPr>
            <w:r>
              <w:rPr/>
              <w:t>​</w:t>
            </w:r>
          </w:p>
        </w:tc>
        <w:tc>
          <w:tcPr>
            <w:tcW w:w="10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(47,609)</w:t>
            </w:r>
          </w:p>
        </w:tc>
      </w:tr>
      <w:tr>
        <w:trPr/>
        <w:tc>
          <w:tcPr>
            <w:tcW w:w="441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attributable to ordinary shareholders of NIO Inc.</w:t>
            </w:r>
          </w:p>
        </w:tc>
        <w:tc>
          <w:tcPr>
            <w:tcW w:w="326" w:type="dxa"/>
            <w:tcBorders/>
            <w:vAlign w:val="center"/>
          </w:tcPr>
          <w:p>
            <w:pPr>
              <w:pStyle w:val="TableContents"/>
              <w:bidi w:val="0"/>
              <w:spacing w:before="0" w:after="0"/>
              <w:ind w:left="0" w:right="0" w:hanging="0"/>
              <w:jc w:val="left"/>
              <w:rPr/>
            </w:pPr>
            <w:r>
              <w:rPr/>
              <w:t> </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(14,559,445)</w:t>
            </w:r>
          </w:p>
        </w:tc>
        <w:tc>
          <w:tcPr>
            <w:tcW w:w="326" w:type="dxa"/>
            <w:tcBorders/>
            <w:vAlign w:val="center"/>
          </w:tcPr>
          <w:p>
            <w:pPr>
              <w:pStyle w:val="TableContents"/>
              <w:bidi w:val="0"/>
              <w:spacing w:before="0" w:after="0"/>
              <w:ind w:left="0" w:right="0" w:hanging="0"/>
              <w:jc w:val="left"/>
              <w:rPr/>
            </w:pPr>
            <w:r>
              <w:rPr/>
              <w:t>​</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(21,146,967)</w:t>
            </w:r>
          </w:p>
        </w:tc>
        <w:tc>
          <w:tcPr>
            <w:tcW w:w="326" w:type="dxa"/>
            <w:tcBorders/>
            <w:vAlign w:val="center"/>
          </w:tcPr>
          <w:p>
            <w:pPr>
              <w:pStyle w:val="TableContents"/>
              <w:bidi w:val="0"/>
              <w:spacing w:before="0" w:after="0"/>
              <w:ind w:left="0" w:right="0" w:hanging="0"/>
              <w:jc w:val="left"/>
              <w:rPr/>
            </w:pPr>
            <w:r>
              <w:rPr/>
              <w:t>​</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(22,657,692)</w:t>
            </w:r>
          </w:p>
        </w:tc>
        <w:tc>
          <w:tcPr>
            <w:tcW w:w="326" w:type="dxa"/>
            <w:tcBorders/>
            <w:vAlign w:val="center"/>
          </w:tcPr>
          <w:p>
            <w:pPr>
              <w:pStyle w:val="TableContents"/>
              <w:bidi w:val="0"/>
              <w:spacing w:before="0" w:after="0"/>
              <w:ind w:left="0" w:right="0" w:hanging="0"/>
              <w:jc w:val="left"/>
              <w:rPr/>
            </w:pPr>
            <w:r>
              <w:rPr/>
              <w:t>​</w:t>
            </w:r>
          </w:p>
        </w:tc>
        <w:tc>
          <w:tcPr>
            <w:tcW w:w="10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(3,104,091)</w:t>
            </w:r>
          </w:p>
        </w:tc>
      </w:tr>
      <w:tr>
        <w:trPr/>
        <w:tc>
          <w:tcPr>
            <w:tcW w:w="44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(14,280,090)</w:t>
            </w:r>
          </w:p>
        </w:tc>
        <w:tc>
          <w:tcPr>
            <w:tcW w:w="326" w:type="dxa"/>
            <w:tcBorders/>
            <w:shd w:fill="CCEEFF" w:val="clear"/>
            <w:vAlign w:val="center"/>
          </w:tcPr>
          <w:p>
            <w:pPr>
              <w:pStyle w:val="TableContents"/>
              <w:bidi w:val="0"/>
              <w:spacing w:before="0" w:after="0"/>
              <w:ind w:left="0" w:right="0" w:hanging="0"/>
              <w:jc w:val="right"/>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(20,843,804)</w:t>
            </w:r>
          </w:p>
        </w:tc>
        <w:tc>
          <w:tcPr>
            <w:tcW w:w="326" w:type="dxa"/>
            <w:tcBorders/>
            <w:shd w:fill="CCEEFF" w:val="clear"/>
            <w:vAlign w:val="center"/>
          </w:tcPr>
          <w:p>
            <w:pPr>
              <w:pStyle w:val="TableContents"/>
              <w:bidi w:val="0"/>
              <w:spacing w:before="0" w:after="0"/>
              <w:ind w:left="0" w:right="0" w:hanging="0"/>
              <w:jc w:val="right"/>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(22,310,176)</w:t>
            </w:r>
          </w:p>
        </w:tc>
        <w:tc>
          <w:tcPr>
            <w:tcW w:w="326" w:type="dxa"/>
            <w:tcBorders/>
            <w:shd w:fill="CCEEFF" w:val="clear"/>
            <w:vAlign w:val="center"/>
          </w:tcPr>
          <w:p>
            <w:pPr>
              <w:pStyle w:val="TableContents"/>
              <w:bidi w:val="0"/>
              <w:spacing w:before="0" w:after="0"/>
              <w:ind w:left="0" w:right="0" w:hanging="0"/>
              <w:jc w:val="right"/>
              <w:rPr/>
            </w:pPr>
            <w:r>
              <w:rPr/>
              <w:t>​</w:t>
            </w:r>
          </w:p>
        </w:tc>
        <w:tc>
          <w:tcPr>
            <w:tcW w:w="10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(3,056,482)</w:t>
            </w:r>
          </w:p>
        </w:tc>
      </w:tr>
      <w:tr>
        <w:trPr/>
        <w:tc>
          <w:tcPr>
            <w:tcW w:w="441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comprehensive loss</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(12,967,779)</w:t>
            </w:r>
          </w:p>
        </w:tc>
        <w:tc>
          <w:tcPr>
            <w:tcW w:w="326" w:type="dxa"/>
            <w:tcBorders/>
            <w:vAlign w:val="center"/>
          </w:tcPr>
          <w:p>
            <w:pPr>
              <w:pStyle w:val="TableContents"/>
              <w:bidi w:val="0"/>
              <w:spacing w:before="0" w:after="0"/>
              <w:ind w:left="0" w:right="0" w:hanging="0"/>
              <w:jc w:val="righ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(21,446,824)</w:t>
            </w:r>
          </w:p>
        </w:tc>
        <w:tc>
          <w:tcPr>
            <w:tcW w:w="326" w:type="dxa"/>
            <w:tcBorders/>
            <w:vAlign w:val="center"/>
          </w:tcPr>
          <w:p>
            <w:pPr>
              <w:pStyle w:val="TableContents"/>
              <w:bidi w:val="0"/>
              <w:spacing w:before="0" w:after="0"/>
              <w:ind w:left="0" w:right="0" w:hanging="0"/>
              <w:jc w:val="righ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(22,160,508)</w:t>
            </w:r>
          </w:p>
        </w:tc>
        <w:tc>
          <w:tcPr>
            <w:tcW w:w="326" w:type="dxa"/>
            <w:tcBorders/>
            <w:vAlign w:val="center"/>
          </w:tcPr>
          <w:p>
            <w:pPr>
              <w:pStyle w:val="TableContents"/>
              <w:bidi w:val="0"/>
              <w:spacing w:before="0" w:after="0"/>
              <w:ind w:left="0" w:right="0" w:hanging="0"/>
              <w:jc w:val="right"/>
              <w:rPr/>
            </w:pPr>
            <w:r>
              <w:rPr/>
              <w:t>​</w:t>
            </w:r>
          </w:p>
        </w:tc>
        <w:tc>
          <w:tcPr>
            <w:tcW w:w="10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(3,035,978)</w:t>
            </w:r>
          </w:p>
        </w:tc>
      </w:tr>
      <w:tr>
        <w:trPr/>
        <w:tc>
          <w:tcPr>
            <w:tcW w:w="44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on redeemable non-controlling interests to redemption value</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(279,355)</w:t>
            </w:r>
          </w:p>
        </w:tc>
        <w:tc>
          <w:tcPr>
            <w:tcW w:w="326" w:type="dxa"/>
            <w:tcBorders/>
            <w:shd w:fill="CCEEFF" w:val="clear"/>
            <w:vAlign w:val="center"/>
          </w:tcPr>
          <w:p>
            <w:pPr>
              <w:pStyle w:val="TableContents"/>
              <w:bidi w:val="0"/>
              <w:spacing w:before="0" w:after="0"/>
              <w:ind w:left="0" w:right="0" w:hanging="0"/>
              <w:jc w:val="righ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(303,163)</w:t>
            </w:r>
          </w:p>
        </w:tc>
        <w:tc>
          <w:tcPr>
            <w:tcW w:w="326" w:type="dxa"/>
            <w:tcBorders/>
            <w:shd w:fill="CCEEFF" w:val="clear"/>
            <w:vAlign w:val="center"/>
          </w:tcPr>
          <w:p>
            <w:pPr>
              <w:pStyle w:val="TableContents"/>
              <w:bidi w:val="0"/>
              <w:spacing w:before="0" w:after="0"/>
              <w:ind w:left="0" w:right="0" w:hanging="0"/>
              <w:jc w:val="righ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(347,516)</w:t>
            </w:r>
          </w:p>
        </w:tc>
        <w:tc>
          <w:tcPr>
            <w:tcW w:w="326" w:type="dxa"/>
            <w:tcBorders/>
            <w:shd w:fill="CCEEFF" w:val="clear"/>
            <w:vAlign w:val="center"/>
          </w:tcPr>
          <w:p>
            <w:pPr>
              <w:pStyle w:val="TableContents"/>
              <w:bidi w:val="0"/>
              <w:spacing w:before="0" w:after="0"/>
              <w:ind w:left="0" w:right="0" w:hanging="0"/>
              <w:jc w:val="right"/>
              <w:rPr/>
            </w:pPr>
            <w:r>
              <w:rPr/>
              <w:t>​</w:t>
            </w:r>
          </w:p>
        </w:tc>
        <w:tc>
          <w:tcPr>
            <w:tcW w:w="10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(47,609)</w:t>
            </w:r>
          </w:p>
        </w:tc>
      </w:tr>
      <w:tr>
        <w:trPr/>
        <w:tc>
          <w:tcPr>
            <w:tcW w:w="441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loss attributable to ordinary shareholders of NIO Inc.</w:t>
            </w:r>
          </w:p>
        </w:tc>
        <w:tc>
          <w:tcPr>
            <w:tcW w:w="326" w:type="dxa"/>
            <w:tcBorders/>
            <w:vAlign w:val="center"/>
          </w:tcPr>
          <w:p>
            <w:pPr>
              <w:pStyle w:val="TableContents"/>
              <w:bidi w:val="0"/>
              <w:spacing w:before="0" w:after="0"/>
              <w:ind w:left="0" w:right="0" w:hanging="0"/>
              <w:jc w:val="left"/>
              <w:rPr/>
            </w:pPr>
            <w:r>
              <w:rPr/>
              <w:t>​</w:t>
            </w:r>
          </w:p>
        </w:tc>
        <w:tc>
          <w:tcPr>
            <w:tcW w:w="11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(13,247,134)</w:t>
            </w:r>
          </w:p>
        </w:tc>
        <w:tc>
          <w:tcPr>
            <w:tcW w:w="326" w:type="dxa"/>
            <w:tcBorders/>
            <w:vAlign w:val="center"/>
          </w:tcPr>
          <w:p>
            <w:pPr>
              <w:pStyle w:val="TableContents"/>
              <w:bidi w:val="0"/>
              <w:spacing w:before="0" w:after="0"/>
              <w:ind w:left="0" w:right="0" w:hanging="0"/>
              <w:jc w:val="right"/>
              <w:rPr/>
            </w:pPr>
            <w:r>
              <w:rPr/>
              <w:t>​</w:t>
            </w:r>
          </w:p>
        </w:tc>
        <w:tc>
          <w:tcPr>
            <w:tcW w:w="11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(21,749,987)</w:t>
            </w:r>
          </w:p>
        </w:tc>
        <w:tc>
          <w:tcPr>
            <w:tcW w:w="326" w:type="dxa"/>
            <w:tcBorders/>
            <w:vAlign w:val="center"/>
          </w:tcPr>
          <w:p>
            <w:pPr>
              <w:pStyle w:val="TableContents"/>
              <w:bidi w:val="0"/>
              <w:spacing w:before="0" w:after="0"/>
              <w:ind w:left="0" w:right="0" w:hanging="0"/>
              <w:jc w:val="right"/>
              <w:rPr/>
            </w:pPr>
            <w:r>
              <w:rPr/>
              <w:t>​</w:t>
            </w:r>
          </w:p>
        </w:tc>
        <w:tc>
          <w:tcPr>
            <w:tcW w:w="11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(22,508,024)</w:t>
            </w:r>
          </w:p>
        </w:tc>
        <w:tc>
          <w:tcPr>
            <w:tcW w:w="326" w:type="dxa"/>
            <w:tcBorders/>
            <w:vAlign w:val="center"/>
          </w:tcPr>
          <w:p>
            <w:pPr>
              <w:pStyle w:val="TableContents"/>
              <w:bidi w:val="0"/>
              <w:spacing w:before="0" w:after="0"/>
              <w:ind w:left="0" w:right="0" w:hanging="0"/>
              <w:jc w:val="right"/>
              <w:rPr/>
            </w:pPr>
            <w:r>
              <w:rPr/>
              <w:t>​</w:t>
            </w:r>
          </w:p>
        </w:tc>
        <w:tc>
          <w:tcPr>
            <w:tcW w:w="10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(3,083,587)</w:t>
            </w:r>
          </w:p>
        </w:tc>
      </w:tr>
    </w:tbl>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b/>
          <w:i/>
          <w:sz w:val="20"/>
        </w:rPr>
      </w:pPr>
      <w:r>
        <w:rPr>
          <w:rFonts w:ascii="Times New Roman;Times;serif" w:hAnsi="Times New Roman;Times;serif"/>
          <w:b/>
          <w:i/>
          <w:sz w:val="20"/>
        </w:rPr>
        <w:t>Condensed Statements of Cash Flows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4648"/>
        <w:gridCol w:w="326"/>
        <w:gridCol w:w="1019"/>
        <w:gridCol w:w="326"/>
        <w:gridCol w:w="1043"/>
        <w:gridCol w:w="326"/>
        <w:gridCol w:w="1124"/>
        <w:gridCol w:w="326"/>
        <w:gridCol w:w="1067"/>
      </w:tblGrid>
      <w:tr>
        <w:trPr/>
        <w:tc>
          <w:tcPr>
            <w:tcW w:w="4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2951480" cy="175260"/>
                      <wp:effectExtent l="0" t="0" r="0" b="0"/>
                      <wp:wrapNone/>
                      <wp:docPr id="608" name="Frame605"/>
                      <a:graphic xmlns:a="http://schemas.openxmlformats.org/drawingml/2006/main">
                        <a:graphicData uri="http://schemas.microsoft.com/office/word/2010/wordprocessingShape">
                          <wps:wsp>
                            <wps:cNvSpPr txBox="1"/>
                            <wps:spPr>
                              <a:xfrm>
                                <a:off x="0" y="0"/>
                                <a:ext cx="295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07010" cy="175260"/>
                      <wp:effectExtent l="0" t="0" r="0" b="0"/>
                      <wp:wrapNone/>
                      <wp:docPr id="609" name="Frame6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647065" cy="175260"/>
                      <wp:effectExtent l="0" t="0" r="0" b="0"/>
                      <wp:wrapNone/>
                      <wp:docPr id="610" name="Frame607"/>
                      <a:graphic xmlns:a="http://schemas.openxmlformats.org/drawingml/2006/main">
                        <a:graphicData uri="http://schemas.microsoft.com/office/word/2010/wordprocessingShape">
                          <wps:wsp>
                            <wps:cNvSpPr txBox="1"/>
                            <wps:spPr>
                              <a:xfrm>
                                <a:off x="0" y="0"/>
                                <a:ext cx="647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07010" cy="175260"/>
                      <wp:effectExtent l="0" t="0" r="0" b="0"/>
                      <wp:wrapNone/>
                      <wp:docPr id="611" name="Frame6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662305" cy="175260"/>
                      <wp:effectExtent l="0" t="0" r="0" b="0"/>
                      <wp:wrapNone/>
                      <wp:docPr id="612" name="Frame609"/>
                      <a:graphic xmlns:a="http://schemas.openxmlformats.org/drawingml/2006/main">
                        <a:graphicData uri="http://schemas.microsoft.com/office/word/2010/wordprocessingShape">
                          <wps:wsp>
                            <wps:cNvSpPr txBox="1"/>
                            <wps:spPr>
                              <a:xfrm>
                                <a:off x="0" y="0"/>
                                <a:ext cx="662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207010" cy="175260"/>
                      <wp:effectExtent l="0" t="0" r="0" b="0"/>
                      <wp:wrapNone/>
                      <wp:docPr id="613" name="Frame6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713740" cy="175260"/>
                      <wp:effectExtent l="0" t="0" r="0" b="0"/>
                      <wp:wrapNone/>
                      <wp:docPr id="614" name="Frame611"/>
                      <a:graphic xmlns:a="http://schemas.openxmlformats.org/drawingml/2006/main">
                        <a:graphicData uri="http://schemas.microsoft.com/office/word/2010/wordprocessingShape">
                          <wps:wsp>
                            <wps:cNvSpPr txBox="1"/>
                            <wps:spPr>
                              <a:xfrm>
                                <a:off x="0" y="0"/>
                                <a:ext cx="713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207010" cy="175260"/>
                      <wp:effectExtent l="0" t="0" r="0" b="0"/>
                      <wp:wrapNone/>
                      <wp:docPr id="615" name="Frame6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677545" cy="175260"/>
                      <wp:effectExtent l="0" t="0" r="0" b="0"/>
                      <wp:wrapNone/>
                      <wp:docPr id="616" name="Frame613"/>
                      <a:graphic xmlns:a="http://schemas.openxmlformats.org/drawingml/2006/main">
                        <a:graphicData uri="http://schemas.microsoft.com/office/word/2010/wordprocessingShape">
                          <wps:wsp>
                            <wps:cNvSpPr txBox="1"/>
                            <wps:spPr>
                              <a:xfrm>
                                <a:off x="0" y="0"/>
                                <a:ext cx="677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31"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46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04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2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6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6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 2(e)</w:t>
            </w:r>
          </w:p>
        </w:tc>
      </w:tr>
      <w:tr>
        <w:trPr/>
        <w:tc>
          <w:tcPr>
            <w:tcW w:w="464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2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67" w:type="dxa"/>
            <w:tcBorders/>
            <w:shd w:fill="CCEEFF" w:val="clear"/>
            <w:vAlign w:val="center"/>
          </w:tcPr>
          <w:p>
            <w:pPr>
              <w:pStyle w:val="TableContents"/>
              <w:bidi w:val="0"/>
              <w:spacing w:before="0" w:after="0"/>
              <w:ind w:left="0" w:right="0" w:hanging="0"/>
              <w:jc w:val="right"/>
              <w:rPr/>
            </w:pPr>
            <w:r>
              <w:rPr/>
              <w:t>  </w:t>
            </w:r>
          </w:p>
        </w:tc>
      </w:tr>
      <w:tr>
        <w:trPr/>
        <w:tc>
          <w:tcPr>
            <w:tcW w:w="464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(4,949,308)</w:t>
            </w:r>
          </w:p>
        </w:tc>
        <w:tc>
          <w:tcPr>
            <w:tcW w:w="326" w:type="dxa"/>
            <w:tcBorders/>
            <w:vAlign w:val="center"/>
          </w:tcPr>
          <w:p>
            <w:pPr>
              <w:pStyle w:val="TableContents"/>
              <w:bidi w:val="0"/>
              <w:spacing w:before="0" w:after="0"/>
              <w:ind w:left="0" w:right="0" w:hanging="0"/>
              <w:jc w:val="left"/>
              <w:rPr/>
            </w:pPr>
            <w:r>
              <w:rPr/>
              <w:t>​</w:t>
            </w:r>
          </w:p>
        </w:tc>
        <w:tc>
          <w:tcPr>
            <w:tcW w:w="10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(8,262,167)</w:t>
            </w:r>
          </w:p>
        </w:tc>
        <w:tc>
          <w:tcPr>
            <w:tcW w:w="326" w:type="dxa"/>
            <w:tcBorders/>
            <w:vAlign w:val="center"/>
          </w:tcPr>
          <w:p>
            <w:pPr>
              <w:pStyle w:val="TableContents"/>
              <w:bidi w:val="0"/>
              <w:spacing w:before="0" w:after="0"/>
              <w:ind w:left="0" w:right="0" w:hanging="0"/>
              <w:jc w:val="left"/>
              <w:rPr/>
            </w:pPr>
            <w:r>
              <w:rPr/>
              <w:t>​</w:t>
            </w:r>
          </w:p>
        </w:tc>
        <w:tc>
          <w:tcPr>
            <w:tcW w:w="11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(5,348,151)</w:t>
            </w:r>
          </w:p>
        </w:tc>
        <w:tc>
          <w:tcPr>
            <w:tcW w:w="326" w:type="dxa"/>
            <w:tcBorders/>
            <w:vAlign w:val="center"/>
          </w:tcPr>
          <w:p>
            <w:pPr>
              <w:pStyle w:val="TableContents"/>
              <w:bidi w:val="0"/>
              <w:spacing w:before="0" w:after="0"/>
              <w:ind w:left="0" w:right="0" w:hanging="0"/>
              <w:jc w:val="left"/>
              <w:rPr/>
            </w:pPr>
            <w:r>
              <w:rPr/>
              <w:t>​</w:t>
            </w:r>
          </w:p>
        </w:tc>
        <w:tc>
          <w:tcPr>
            <w:tcW w:w="10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(732,694)</w:t>
            </w:r>
          </w:p>
        </w:tc>
      </w:tr>
      <w:tr>
        <w:trPr/>
        <w:tc>
          <w:tcPr>
            <w:tcW w:w="464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64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in)/provided by investing activities</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9,140,766</w:t>
            </w:r>
          </w:p>
        </w:tc>
        <w:tc>
          <w:tcPr>
            <w:tcW w:w="326" w:type="dxa"/>
            <w:tcBorders/>
            <w:vAlign w:val="center"/>
          </w:tcPr>
          <w:p>
            <w:pPr>
              <w:pStyle w:val="TableContents"/>
              <w:bidi w:val="0"/>
              <w:spacing w:before="0" w:after="0"/>
              <w:ind w:left="0" w:right="0" w:hanging="0"/>
              <w:jc w:val="left"/>
              <w:rPr/>
            </w:pPr>
            <w:r>
              <w:rPr/>
              <w:t>​</w:t>
            </w:r>
          </w:p>
        </w:tc>
        <w:tc>
          <w:tcPr>
            <w:tcW w:w="10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(1,972,672)</w:t>
            </w:r>
          </w:p>
        </w:tc>
        <w:tc>
          <w:tcPr>
            <w:tcW w:w="326" w:type="dxa"/>
            <w:tcBorders/>
            <w:vAlign w:val="center"/>
          </w:tcPr>
          <w:p>
            <w:pPr>
              <w:pStyle w:val="TableContents"/>
              <w:bidi w:val="0"/>
              <w:spacing w:before="0" w:after="0"/>
              <w:ind w:left="0" w:right="0" w:hanging="0"/>
              <w:jc w:val="left"/>
              <w:rPr/>
            </w:pPr>
            <w:r>
              <w:rPr/>
              <w:t>​</w:t>
            </w:r>
          </w:p>
        </w:tc>
        <w:tc>
          <w:tcPr>
            <w:tcW w:w="11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(9,838,095)</w:t>
            </w:r>
          </w:p>
        </w:tc>
        <w:tc>
          <w:tcPr>
            <w:tcW w:w="326" w:type="dxa"/>
            <w:tcBorders/>
            <w:vAlign w:val="center"/>
          </w:tcPr>
          <w:p>
            <w:pPr>
              <w:pStyle w:val="TableContents"/>
              <w:bidi w:val="0"/>
              <w:spacing w:before="0" w:after="0"/>
              <w:ind w:left="0" w:right="0" w:hanging="0"/>
              <w:jc w:val="left"/>
              <w:rPr/>
            </w:pPr>
            <w:r>
              <w:rPr/>
              <w:t>​</w:t>
            </w:r>
          </w:p>
        </w:tc>
        <w:tc>
          <w:tcPr>
            <w:tcW w:w="10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(1,347,813)</w:t>
            </w:r>
          </w:p>
        </w:tc>
      </w:tr>
      <w:tr>
        <w:trPr/>
        <w:tc>
          <w:tcPr>
            <w:tcW w:w="464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7" w:type="dxa"/>
            <w:tcBorders/>
            <w:shd w:fill="CCEEFF" w:val="clear"/>
            <w:vAlign w:val="center"/>
          </w:tcPr>
          <w:p>
            <w:pPr>
              <w:pStyle w:val="TableContents"/>
              <w:bidi w:val="0"/>
              <w:spacing w:before="0" w:after="0"/>
              <w:ind w:left="0" w:right="0" w:hanging="0"/>
              <w:jc w:val="right"/>
              <w:rPr/>
            </w:pPr>
            <w:r>
              <w:rPr/>
              <w:t>​</w:t>
            </w:r>
          </w:p>
        </w:tc>
      </w:tr>
      <w:tr>
        <w:trPr/>
        <w:tc>
          <w:tcPr>
            <w:tcW w:w="464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by/(used in) financing activities</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(1,135,316)</w:t>
            </w:r>
          </w:p>
        </w:tc>
        <w:tc>
          <w:tcPr>
            <w:tcW w:w="326" w:type="dxa"/>
            <w:tcBorders/>
            <w:vAlign w:val="center"/>
          </w:tcPr>
          <w:p>
            <w:pPr>
              <w:pStyle w:val="TableContents"/>
              <w:bidi w:val="0"/>
              <w:spacing w:before="0" w:after="0"/>
              <w:ind w:left="0" w:right="0" w:hanging="0"/>
              <w:jc w:val="left"/>
              <w:rPr/>
            </w:pPr>
            <w:r>
              <w:rPr/>
              <w:t>​</w:t>
            </w:r>
          </w:p>
        </w:tc>
        <w:tc>
          <w:tcPr>
            <w:tcW w:w="10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25,782,226</w:t>
            </w:r>
          </w:p>
        </w:tc>
        <w:tc>
          <w:tcPr>
            <w:tcW w:w="326" w:type="dxa"/>
            <w:tcBorders/>
            <w:vAlign w:val="center"/>
          </w:tcPr>
          <w:p>
            <w:pPr>
              <w:pStyle w:val="TableContents"/>
              <w:bidi w:val="0"/>
              <w:spacing w:before="0" w:after="0"/>
              <w:ind w:left="0" w:right="0" w:hanging="0"/>
              <w:jc w:val="left"/>
              <w:rPr/>
            </w:pPr>
            <w:r>
              <w:rPr/>
              <w:t>​</w:t>
            </w:r>
          </w:p>
        </w:tc>
        <w:tc>
          <w:tcPr>
            <w:tcW w:w="11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(3,190,866)</w:t>
            </w:r>
          </w:p>
        </w:tc>
        <w:tc>
          <w:tcPr>
            <w:tcW w:w="326" w:type="dxa"/>
            <w:tcBorders/>
            <w:vAlign w:val="center"/>
          </w:tcPr>
          <w:p>
            <w:pPr>
              <w:pStyle w:val="TableContents"/>
              <w:bidi w:val="0"/>
              <w:spacing w:before="0" w:after="0"/>
              <w:ind w:left="0" w:right="0" w:hanging="0"/>
              <w:jc w:val="left"/>
              <w:rPr/>
            </w:pPr>
            <w:r>
              <w:rPr/>
              <w:t>​</w:t>
            </w:r>
          </w:p>
        </w:tc>
        <w:tc>
          <w:tcPr>
            <w:tcW w:w="10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(437,147)</w:t>
            </w:r>
          </w:p>
        </w:tc>
      </w:tr>
      <w:tr>
        <w:trPr/>
        <w:tc>
          <w:tcPr>
            <w:tcW w:w="46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Effects of exchange rate changes on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689,465</w:t>
            </w:r>
          </w:p>
        </w:tc>
        <w:tc>
          <w:tcPr>
            <w:tcW w:w="326" w:type="dxa"/>
            <w:tcBorders/>
            <w:shd w:fill="CCEEFF" w:val="clear"/>
            <w:vAlign w:val="center"/>
          </w:tcPr>
          <w:p>
            <w:pPr>
              <w:pStyle w:val="TableContents"/>
              <w:bidi w:val="0"/>
              <w:spacing w:before="0" w:after="0"/>
              <w:ind w:left="0" w:right="0" w:hanging="0"/>
              <w:jc w:val="left"/>
              <w:rPr/>
            </w:pPr>
            <w:r>
              <w:rPr/>
              <w:t>​</w:t>
            </w:r>
          </w:p>
        </w:tc>
        <w:tc>
          <w:tcPr>
            <w:tcW w:w="10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52,552</w:t>
            </w:r>
          </w:p>
        </w:tc>
        <w:tc>
          <w:tcPr>
            <w:tcW w:w="326" w:type="dxa"/>
            <w:tcBorders/>
            <w:shd w:fill="CCEEFF" w:val="clear"/>
            <w:vAlign w:val="center"/>
          </w:tcPr>
          <w:p>
            <w:pPr>
              <w:pStyle w:val="TableContents"/>
              <w:bidi w:val="0"/>
              <w:spacing w:before="0" w:after="0"/>
              <w:ind w:left="0" w:right="0" w:hanging="0"/>
              <w:jc w:val="left"/>
              <w:rPr/>
            </w:pPr>
            <w:r>
              <w:rPr/>
              <w:t>​</w:t>
            </w:r>
          </w:p>
        </w:tc>
        <w:tc>
          <w:tcPr>
            <w:tcW w:w="11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152,395</w:t>
            </w:r>
          </w:p>
        </w:tc>
        <w:tc>
          <w:tcPr>
            <w:tcW w:w="326" w:type="dxa"/>
            <w:tcBorders/>
            <w:shd w:fill="CCEEFF" w:val="clear"/>
            <w:vAlign w:val="center"/>
          </w:tcPr>
          <w:p>
            <w:pPr>
              <w:pStyle w:val="TableContents"/>
              <w:bidi w:val="0"/>
              <w:spacing w:before="0" w:after="0"/>
              <w:ind w:left="0" w:right="0" w:hanging="0"/>
              <w:jc w:val="left"/>
              <w:rPr/>
            </w:pPr>
            <w:r>
              <w:rPr/>
              <w:t>​</w:t>
            </w:r>
          </w:p>
        </w:tc>
        <w:tc>
          <w:tcPr>
            <w:tcW w:w="10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20,878</w:t>
            </w:r>
          </w:p>
        </w:tc>
      </w:tr>
      <w:tr>
        <w:trPr/>
        <w:tc>
          <w:tcPr>
            <w:tcW w:w="464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(DECREASE)/INCREASE IN CASH, CASH EQUIVALENTS AND RESTRICTED CASH </w:t>
            </w:r>
          </w:p>
        </w:tc>
        <w:tc>
          <w:tcPr>
            <w:tcW w:w="326"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3,745,607</w:t>
            </w:r>
          </w:p>
        </w:tc>
        <w:tc>
          <w:tcPr>
            <w:tcW w:w="326"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15,599,939</w:t>
            </w:r>
          </w:p>
        </w:tc>
        <w:tc>
          <w:tcPr>
            <w:tcW w:w="32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(18,224,717)</w:t>
            </w:r>
          </w:p>
        </w:tc>
        <w:tc>
          <w:tcPr>
            <w:tcW w:w="326"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(2,496,776)</w:t>
            </w:r>
          </w:p>
        </w:tc>
      </w:tr>
      <w:tr>
        <w:trPr/>
        <w:tc>
          <w:tcPr>
            <w:tcW w:w="46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beginning of the year</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3,330,943</w:t>
            </w:r>
          </w:p>
        </w:tc>
        <w:tc>
          <w:tcPr>
            <w:tcW w:w="326" w:type="dxa"/>
            <w:tcBorders/>
            <w:shd w:fill="CCEEFF" w:val="clear"/>
            <w:vAlign w:val="center"/>
          </w:tcPr>
          <w:p>
            <w:pPr>
              <w:pStyle w:val="TableContents"/>
              <w:bidi w:val="0"/>
              <w:spacing w:before="0" w:after="0"/>
              <w:ind w:left="0" w:right="0" w:hanging="0"/>
              <w:jc w:val="left"/>
              <w:rPr/>
            </w:pPr>
            <w:r>
              <w:rPr/>
              <w:t>​</w:t>
            </w:r>
          </w:p>
        </w:tc>
        <w:tc>
          <w:tcPr>
            <w:tcW w:w="10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7,076,550</w:t>
            </w:r>
          </w:p>
        </w:tc>
        <w:tc>
          <w:tcPr>
            <w:tcW w:w="326" w:type="dxa"/>
            <w:tcBorders/>
            <w:shd w:fill="CCEEFF" w:val="clear"/>
            <w:vAlign w:val="center"/>
          </w:tcPr>
          <w:p>
            <w:pPr>
              <w:pStyle w:val="TableContents"/>
              <w:bidi w:val="0"/>
              <w:spacing w:before="0" w:after="0"/>
              <w:ind w:left="0" w:right="0" w:hanging="0"/>
              <w:jc w:val="left"/>
              <w:rPr/>
            </w:pPr>
            <w:r>
              <w:rPr/>
              <w:t>​</w:t>
            </w:r>
          </w:p>
        </w:tc>
        <w:tc>
          <w:tcPr>
            <w:tcW w:w="11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22,676,489</w:t>
            </w:r>
          </w:p>
        </w:tc>
        <w:tc>
          <w:tcPr>
            <w:tcW w:w="326" w:type="dxa"/>
            <w:tcBorders/>
            <w:shd w:fill="CCEEFF" w:val="clear"/>
            <w:vAlign w:val="center"/>
          </w:tcPr>
          <w:p>
            <w:pPr>
              <w:pStyle w:val="TableContents"/>
              <w:bidi w:val="0"/>
              <w:spacing w:before="0" w:after="0"/>
              <w:ind w:left="0" w:right="0" w:hanging="0"/>
              <w:jc w:val="left"/>
              <w:rPr/>
            </w:pPr>
            <w:r>
              <w:rPr/>
              <w:t>​</w:t>
            </w:r>
          </w:p>
        </w:tc>
        <w:tc>
          <w:tcPr>
            <w:tcW w:w="10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3,106,666</w:t>
            </w:r>
          </w:p>
        </w:tc>
      </w:tr>
      <w:tr>
        <w:trPr/>
        <w:tc>
          <w:tcPr>
            <w:tcW w:w="464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end of the year</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7,076,550</w:t>
            </w:r>
          </w:p>
        </w:tc>
        <w:tc>
          <w:tcPr>
            <w:tcW w:w="326" w:type="dxa"/>
            <w:tcBorders/>
            <w:vAlign w:val="center"/>
          </w:tcPr>
          <w:p>
            <w:pPr>
              <w:pStyle w:val="TableContents"/>
              <w:bidi w:val="0"/>
              <w:spacing w:before="0" w:after="0"/>
              <w:ind w:left="0" w:right="0" w:hanging="0"/>
              <w:jc w:val="left"/>
              <w:rPr/>
            </w:pPr>
            <w:r>
              <w:rPr/>
              <w:t>​</w:t>
            </w:r>
          </w:p>
        </w:tc>
        <w:tc>
          <w:tcPr>
            <w:tcW w:w="10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22,676,489</w:t>
            </w:r>
          </w:p>
        </w:tc>
        <w:tc>
          <w:tcPr>
            <w:tcW w:w="326" w:type="dxa"/>
            <w:tcBorders/>
            <w:vAlign w:val="center"/>
          </w:tcPr>
          <w:p>
            <w:pPr>
              <w:pStyle w:val="TableContents"/>
              <w:bidi w:val="0"/>
              <w:spacing w:before="0" w:after="0"/>
              <w:ind w:left="0" w:right="0" w:hanging="0"/>
              <w:jc w:val="left"/>
              <w:rPr/>
            </w:pPr>
            <w:r>
              <w:rPr/>
              <w:t>​</w:t>
            </w:r>
          </w:p>
        </w:tc>
        <w:tc>
          <w:tcPr>
            <w:tcW w:w="11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4,451,772</w:t>
            </w:r>
          </w:p>
        </w:tc>
        <w:tc>
          <w:tcPr>
            <w:tcW w:w="326" w:type="dxa"/>
            <w:tcBorders/>
            <w:vAlign w:val="center"/>
          </w:tcPr>
          <w:p>
            <w:pPr>
              <w:pStyle w:val="TableContents"/>
              <w:bidi w:val="0"/>
              <w:spacing w:before="0" w:after="0"/>
              <w:ind w:left="0" w:right="0" w:hanging="0"/>
              <w:jc w:val="left"/>
              <w:rPr/>
            </w:pPr>
            <w:r>
              <w:rPr/>
              <w:t>​</w:t>
            </w:r>
          </w:p>
        </w:tc>
        <w:tc>
          <w:tcPr>
            <w:tcW w:w="106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609,890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Basis of presentation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accounting policies are the same as the Group’s accounting policies with the exception of the accounting for the investments in subsidiaries and VIEs.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company only financial information, the Company records its investments in subsidiaries and VIEs under the equity method of accounting as prescribed in ASC 323, Investments—Equity Method and Joint Ventures.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Such investments are presented on the Balance Sheets as “Investments in subsidiaries and VIEs” and shares in the subsidiaries and VIEs’ loss are presented as “Equity in loss of subsidiaries and VIEs” on the Statements of Comprehensive Loss. The parent company only financial information should be read in conjunction with the Group’s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F-64</w:t>
      </w:r>
    </w:p>
    <w:p>
      <w:pPr>
        <w:pStyle w:val="TextBody"/>
        <w:bidi w:val="0"/>
        <w:spacing w:before="0" w:after="0"/>
        <w:ind w:left="0" w:right="0" w:hanging="0"/>
        <w:jc w:val="right"/>
        <w:rPr>
          <w:rFonts w:ascii="Times New Roman;Times;serif" w:hAnsi="Times New Roman;Times;serif"/>
          <w:b/>
          <w:sz w:val="20"/>
        </w:rPr>
      </w:pPr>
      <w:bookmarkStart w:id="2321" w:name="nio-20241231xex4d43.htm"/>
      <w:bookmarkStart w:id="2322" w:name="ksnio20241231xex4d43"/>
      <w:bookmarkEnd w:id="2321"/>
      <w:bookmarkEnd w:id="2322"/>
      <w:r>
        <w:rPr>
          <w:rFonts w:ascii="Times New Roman;Times;serif" w:hAnsi="Times New Roman;Times;serif"/>
          <w:b/>
          <w:sz w:val="20"/>
        </w:rPr>
        <w:t>Exhibit 4.43</w:t>
      </w:r>
      <w:r>
        <w:br w:type="page"/>
      </w:r>
    </w:p>
    <w:p>
      <w:pPr>
        <w:pStyle w:val="TextBody"/>
        <w:bidi w:val="0"/>
        <w:spacing w:before="0" w:after="0"/>
        <w:ind w:left="0" w:right="0" w:hanging="0"/>
        <w:jc w:val="right"/>
        <w:rPr/>
      </w:pPr>
      <w:r>
        <w:rPr/>
        <w:t>​</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NIO Inc.</w:t>
      </w:r>
    </w:p>
    <w:p>
      <w:pPr>
        <w:pStyle w:val="TextBody"/>
        <w:bidi w:val="0"/>
        <w:spacing w:before="0" w:after="200"/>
        <w:ind w:left="0" w:right="0" w:hanging="0"/>
        <w:jc w:val="center"/>
        <w:rPr>
          <w:rFonts w:ascii="Times New Roman;Times;serif" w:hAnsi="Times New Roman;Times;serif"/>
          <w:i/>
          <w:sz w:val="20"/>
        </w:rPr>
      </w:pPr>
      <w:r>
        <w:rPr>
          <w:rFonts w:ascii="Times New Roman;Times;serif" w:hAnsi="Times New Roman;Times;serif"/>
          <w:i/>
          <w:sz w:val="20"/>
        </w:rPr>
        <w:t>and</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Deutsche Bank Trust Company Americas, as Trustee</w:t>
      </w:r>
    </w:p>
    <w:p>
      <w:pPr>
        <w:pStyle w:val="TextBody"/>
        <w:bidi w:val="0"/>
        <w:spacing w:before="0" w:after="200"/>
        <w:ind w:left="0" w:right="0" w:hanging="0"/>
        <w:jc w:val="center"/>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INDENTURE</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dated as of September 22, 2023</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US$500,000,000 3.875% CONVERTIBLE SENIOR NOTES DUE 2029</w:t>
      </w:r>
    </w:p>
    <w:p>
      <w:pPr>
        <w:pStyle w:val="TextBody"/>
        <w:bidi w:val="0"/>
        <w:spacing w:before="0" w:after="200"/>
        <w:ind w:left="0" w:right="0" w:hanging="0"/>
        <w:jc w:val="center"/>
        <w:rPr/>
      </w:pPr>
      <w:r>
        <w:rPr/>
        <w:t>​</w:t>
      </w:r>
    </w:p>
    <w:p>
      <w:pPr>
        <w:pStyle w:val="TextBody"/>
        <w:bidi w:val="0"/>
        <w:spacing w:before="0" w:after="2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TABLE OF CONTENTS</w:t>
      </w:r>
    </w:p>
    <w:tbl>
      <w:tblPr>
        <w:tblW w:w="8913" w:type="dxa"/>
        <w:jc w:val="center"/>
        <w:tblInd w:w="0" w:type="dxa"/>
        <w:tblLayout w:type="fixed"/>
        <w:tblCellMar>
          <w:top w:w="0" w:type="dxa"/>
          <w:left w:w="0" w:type="dxa"/>
          <w:bottom w:w="0" w:type="dxa"/>
          <w:right w:w="0" w:type="dxa"/>
        </w:tblCellMar>
      </w:tblPr>
      <w:tblGrid>
        <w:gridCol w:w="1141"/>
        <w:gridCol w:w="7126"/>
        <w:gridCol w:w="646"/>
      </w:tblGrid>
      <w:tr>
        <w:trPr/>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724535" cy="175260"/>
                      <wp:effectExtent l="0" t="0" r="0" b="0"/>
                      <wp:wrapNone/>
                      <wp:docPr id="617" name="Frame61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4525010" cy="175260"/>
                      <wp:effectExtent l="0" t="0" r="0" b="0"/>
                      <wp:wrapNone/>
                      <wp:docPr id="618" name="Frame615"/>
                      <a:graphic xmlns:a="http://schemas.openxmlformats.org/drawingml/2006/main">
                        <a:graphicData uri="http://schemas.microsoft.com/office/word/2010/wordprocessingShape">
                          <wps:wsp>
                            <wps:cNvSpPr txBox="1"/>
                            <wps:spPr>
                              <a:xfrm>
                                <a:off x="0" y="0"/>
                                <a:ext cx="452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410210" cy="175260"/>
                      <wp:effectExtent l="0" t="0" r="0" b="0"/>
                      <wp:wrapNone/>
                      <wp:docPr id="619" name="Frame616"/>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41" w:type="dxa"/>
            <w:tcBorders/>
            <w:vAlign w:val="center"/>
          </w:tcPr>
          <w:p>
            <w:pPr>
              <w:pStyle w:val="TableContents"/>
              <w:bidi w:val="0"/>
              <w:spacing w:before="0" w:after="0"/>
              <w:ind w:left="0" w:right="0" w:hanging="0"/>
              <w:jc w:val="left"/>
              <w:rPr/>
            </w:pPr>
            <w:r>
              <w:rPr/>
              <w:t>​</w:t>
            </w:r>
          </w:p>
        </w:tc>
        <w:tc>
          <w:tcPr>
            <w:tcW w:w="7126" w:type="dxa"/>
            <w:tcBorders/>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1141" w:type="dxa"/>
            <w:tcBorders/>
            <w:vAlign w:val="center"/>
          </w:tcPr>
          <w:p>
            <w:pPr>
              <w:pStyle w:val="TableContents"/>
              <w:bidi w:val="0"/>
              <w:spacing w:before="0" w:after="0"/>
              <w:ind w:left="0" w:right="0" w:hanging="0"/>
              <w:jc w:val="left"/>
              <w:rPr/>
            </w:pPr>
            <w:r>
              <w:rPr/>
              <w:t>​</w:t>
            </w:r>
          </w:p>
        </w:tc>
        <w:tc>
          <w:tcPr>
            <w:tcW w:w="7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1</w:t>
            </w:r>
          </w:p>
        </w:tc>
        <w:tc>
          <w:tcPr>
            <w:tcW w:w="646"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bidi w:val="0"/>
              <w:spacing w:before="0" w:after="0"/>
              <w:ind w:left="0" w:right="0" w:hanging="0"/>
              <w:jc w:val="left"/>
              <w:rPr/>
            </w:pPr>
            <w:r>
              <w:rPr/>
              <w:t>​</w:t>
            </w:r>
          </w:p>
        </w:tc>
        <w:tc>
          <w:tcPr>
            <w:tcW w:w="7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DEFINITIONS</w:t>
            </w:r>
          </w:p>
        </w:tc>
        <w:tc>
          <w:tcPr>
            <w:tcW w:w="646"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bidi w:val="0"/>
              <w:spacing w:before="0" w:after="0"/>
              <w:ind w:left="0" w:right="0" w:hanging="0"/>
              <w:jc w:val="left"/>
              <w:rPr/>
            </w:pPr>
            <w:r>
              <w:rPr/>
              <w:t>​</w:t>
            </w:r>
          </w:p>
        </w:tc>
        <w:tc>
          <w:tcPr>
            <w:tcW w:w="712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1.01</w:t>
            </w:r>
          </w:p>
        </w:tc>
        <w:tc>
          <w:tcPr>
            <w:tcW w:w="712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Definitions</w:t>
            </w:r>
          </w:p>
        </w:tc>
        <w:tc>
          <w:tcPr>
            <w:tcW w:w="64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1.02</w:t>
            </w:r>
          </w:p>
        </w:tc>
        <w:tc>
          <w:tcPr>
            <w:tcW w:w="712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References to Interest</w:t>
            </w:r>
          </w:p>
        </w:tc>
        <w:tc>
          <w:tcPr>
            <w:tcW w:w="64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1141" w:type="dxa"/>
            <w:tcBorders/>
            <w:vAlign w:val="center"/>
          </w:tcPr>
          <w:p>
            <w:pPr>
              <w:pStyle w:val="TableContents"/>
              <w:bidi w:val="0"/>
              <w:spacing w:before="0" w:after="0"/>
              <w:ind w:left="0" w:right="0" w:hanging="0"/>
              <w:jc w:val="left"/>
              <w:rPr/>
            </w:pPr>
            <w:r>
              <w:rPr/>
              <w:t>​</w:t>
            </w:r>
          </w:p>
        </w:tc>
        <w:tc>
          <w:tcPr>
            <w:tcW w:w="7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2</w:t>
            </w:r>
          </w:p>
        </w:tc>
        <w:tc>
          <w:tcPr>
            <w:tcW w:w="646"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bidi w:val="0"/>
              <w:spacing w:before="0" w:after="0"/>
              <w:ind w:left="0" w:right="0" w:hanging="0"/>
              <w:jc w:val="left"/>
              <w:rPr/>
            </w:pPr>
            <w:r>
              <w:rPr/>
              <w:t>​</w:t>
            </w:r>
          </w:p>
        </w:tc>
        <w:tc>
          <w:tcPr>
            <w:tcW w:w="7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ISSUE, DESCRIPTION, EXECUTION, REGISTRATION AND EXCHANGE OF NOTES</w:t>
            </w:r>
          </w:p>
        </w:tc>
        <w:tc>
          <w:tcPr>
            <w:tcW w:w="646"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bidi w:val="0"/>
              <w:spacing w:before="0" w:after="0"/>
              <w:ind w:left="0" w:right="0" w:hanging="0"/>
              <w:jc w:val="left"/>
              <w:rPr/>
            </w:pPr>
            <w:r>
              <w:rPr/>
              <w:t>​</w:t>
            </w:r>
          </w:p>
        </w:tc>
        <w:tc>
          <w:tcPr>
            <w:tcW w:w="712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2.01</w:t>
            </w:r>
          </w:p>
        </w:tc>
        <w:tc>
          <w:tcPr>
            <w:tcW w:w="712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Designation and Amount</w:t>
            </w:r>
          </w:p>
        </w:tc>
        <w:tc>
          <w:tcPr>
            <w:tcW w:w="64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2.02</w:t>
            </w:r>
          </w:p>
        </w:tc>
        <w:tc>
          <w:tcPr>
            <w:tcW w:w="712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Form of Notes</w:t>
            </w:r>
          </w:p>
        </w:tc>
        <w:tc>
          <w:tcPr>
            <w:tcW w:w="64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2.03</w:t>
            </w:r>
          </w:p>
        </w:tc>
        <w:tc>
          <w:tcPr>
            <w:tcW w:w="712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Date and Denomination of Notes; Payments of Interest and Defaulted Amounts</w:t>
            </w:r>
          </w:p>
        </w:tc>
        <w:tc>
          <w:tcPr>
            <w:tcW w:w="64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2.04</w:t>
            </w:r>
          </w:p>
        </w:tc>
        <w:tc>
          <w:tcPr>
            <w:tcW w:w="712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Execution, Authentication and Delivery of Notes</w:t>
            </w:r>
          </w:p>
        </w:tc>
        <w:tc>
          <w:tcPr>
            <w:tcW w:w="64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2.05</w:t>
            </w:r>
          </w:p>
        </w:tc>
        <w:tc>
          <w:tcPr>
            <w:tcW w:w="712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Exchange and Registration of Transfer of Notes; Restrictions on Transfer; Depositary</w:t>
            </w:r>
          </w:p>
        </w:tc>
        <w:tc>
          <w:tcPr>
            <w:tcW w:w="64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2.06</w:t>
            </w:r>
          </w:p>
        </w:tc>
        <w:tc>
          <w:tcPr>
            <w:tcW w:w="712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Mutilated, Destroyed, Lost or Stolen Notes</w:t>
            </w:r>
          </w:p>
        </w:tc>
        <w:tc>
          <w:tcPr>
            <w:tcW w:w="64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2.07</w:t>
            </w:r>
          </w:p>
        </w:tc>
        <w:tc>
          <w:tcPr>
            <w:tcW w:w="712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Temporary Notes</w:t>
            </w:r>
          </w:p>
        </w:tc>
        <w:tc>
          <w:tcPr>
            <w:tcW w:w="64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2.08</w:t>
            </w:r>
          </w:p>
        </w:tc>
        <w:tc>
          <w:tcPr>
            <w:tcW w:w="712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Cancellation of Notes Paid, Converted, Etc.</w:t>
            </w:r>
          </w:p>
        </w:tc>
        <w:tc>
          <w:tcPr>
            <w:tcW w:w="64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2.09</w:t>
            </w:r>
          </w:p>
        </w:tc>
        <w:tc>
          <w:tcPr>
            <w:tcW w:w="712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CUSIP Numbers</w:t>
            </w:r>
          </w:p>
        </w:tc>
        <w:tc>
          <w:tcPr>
            <w:tcW w:w="64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2.10</w:t>
            </w:r>
          </w:p>
        </w:tc>
        <w:tc>
          <w:tcPr>
            <w:tcW w:w="712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Additional Notes; Repurchases</w:t>
            </w:r>
          </w:p>
        </w:tc>
        <w:tc>
          <w:tcPr>
            <w:tcW w:w="64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2.11</w:t>
            </w:r>
          </w:p>
        </w:tc>
        <w:tc>
          <w:tcPr>
            <w:tcW w:w="712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Appointment of Authenticating Agent</w:t>
            </w:r>
          </w:p>
        </w:tc>
        <w:tc>
          <w:tcPr>
            <w:tcW w:w="64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1141" w:type="dxa"/>
            <w:tcBorders/>
            <w:vAlign w:val="center"/>
          </w:tcPr>
          <w:p>
            <w:pPr>
              <w:pStyle w:val="TableContents"/>
              <w:bidi w:val="0"/>
              <w:spacing w:before="0" w:after="0"/>
              <w:ind w:left="0" w:right="0" w:hanging="0"/>
              <w:jc w:val="left"/>
              <w:rPr/>
            </w:pPr>
            <w:r>
              <w:rPr/>
              <w:t>​</w:t>
            </w:r>
          </w:p>
        </w:tc>
        <w:tc>
          <w:tcPr>
            <w:tcW w:w="7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ARTICLE 3 </w:t>
            </w:r>
          </w:p>
        </w:tc>
        <w:tc>
          <w:tcPr>
            <w:tcW w:w="646"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bidi w:val="0"/>
              <w:spacing w:before="0" w:after="0"/>
              <w:ind w:left="0" w:right="0" w:hanging="0"/>
              <w:jc w:val="left"/>
              <w:rPr/>
            </w:pPr>
            <w:r>
              <w:rPr/>
              <w:t>​</w:t>
            </w:r>
          </w:p>
        </w:tc>
        <w:tc>
          <w:tcPr>
            <w:tcW w:w="7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SATISFACTION AND DISCHARGE</w:t>
            </w:r>
          </w:p>
        </w:tc>
        <w:tc>
          <w:tcPr>
            <w:tcW w:w="646"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bidi w:val="0"/>
              <w:spacing w:before="0" w:after="0"/>
              <w:ind w:left="0" w:right="0" w:hanging="0"/>
              <w:jc w:val="left"/>
              <w:rPr/>
            </w:pPr>
            <w:r>
              <w:rPr/>
              <w:t>​</w:t>
            </w:r>
          </w:p>
        </w:tc>
        <w:tc>
          <w:tcPr>
            <w:tcW w:w="712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3.01</w:t>
            </w:r>
          </w:p>
        </w:tc>
        <w:tc>
          <w:tcPr>
            <w:tcW w:w="712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Satisfaction and Discharge</w:t>
            </w:r>
          </w:p>
        </w:tc>
        <w:tc>
          <w:tcPr>
            <w:tcW w:w="64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1141" w:type="dxa"/>
            <w:tcBorders/>
            <w:vAlign w:val="center"/>
          </w:tcPr>
          <w:p>
            <w:pPr>
              <w:pStyle w:val="TableContents"/>
              <w:bidi w:val="0"/>
              <w:spacing w:before="0" w:after="0"/>
              <w:ind w:left="0" w:right="0" w:hanging="0"/>
              <w:jc w:val="left"/>
              <w:rPr/>
            </w:pPr>
            <w:r>
              <w:rPr/>
              <w:t>​</w:t>
            </w:r>
          </w:p>
        </w:tc>
        <w:tc>
          <w:tcPr>
            <w:tcW w:w="7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4</w:t>
            </w:r>
          </w:p>
        </w:tc>
        <w:tc>
          <w:tcPr>
            <w:tcW w:w="646"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bidi w:val="0"/>
              <w:spacing w:before="0" w:after="0"/>
              <w:ind w:left="0" w:right="0" w:hanging="0"/>
              <w:jc w:val="left"/>
              <w:rPr/>
            </w:pPr>
            <w:r>
              <w:rPr/>
              <w:t>​</w:t>
            </w:r>
          </w:p>
        </w:tc>
        <w:tc>
          <w:tcPr>
            <w:tcW w:w="7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PARTICULAR COVENANTS OF THE COMPANY</w:t>
            </w:r>
          </w:p>
        </w:tc>
        <w:tc>
          <w:tcPr>
            <w:tcW w:w="646"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bidi w:val="0"/>
              <w:spacing w:before="0" w:after="0"/>
              <w:ind w:left="0" w:right="0" w:hanging="0"/>
              <w:jc w:val="left"/>
              <w:rPr/>
            </w:pPr>
            <w:r>
              <w:rPr/>
              <w:t>​</w:t>
            </w:r>
          </w:p>
        </w:tc>
        <w:tc>
          <w:tcPr>
            <w:tcW w:w="712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4.01</w:t>
            </w:r>
          </w:p>
        </w:tc>
        <w:tc>
          <w:tcPr>
            <w:tcW w:w="712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Payment of Principal and Interest</w:t>
            </w:r>
          </w:p>
        </w:tc>
        <w:tc>
          <w:tcPr>
            <w:tcW w:w="64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4.02</w:t>
            </w:r>
          </w:p>
        </w:tc>
        <w:tc>
          <w:tcPr>
            <w:tcW w:w="712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Maintenance of Office or Agency</w:t>
            </w:r>
          </w:p>
        </w:tc>
        <w:tc>
          <w:tcPr>
            <w:tcW w:w="64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4.03</w:t>
            </w:r>
          </w:p>
        </w:tc>
        <w:tc>
          <w:tcPr>
            <w:tcW w:w="712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Appointments to Fill Vacancies in Trustee’s Office</w:t>
            </w:r>
          </w:p>
        </w:tc>
        <w:tc>
          <w:tcPr>
            <w:tcW w:w="64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4.04</w:t>
            </w:r>
          </w:p>
        </w:tc>
        <w:tc>
          <w:tcPr>
            <w:tcW w:w="712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Provisions as to Paying Agent</w:t>
            </w:r>
          </w:p>
        </w:tc>
        <w:tc>
          <w:tcPr>
            <w:tcW w:w="64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4.05</w:t>
            </w:r>
          </w:p>
        </w:tc>
        <w:tc>
          <w:tcPr>
            <w:tcW w:w="712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Existence</w:t>
            </w:r>
          </w:p>
        </w:tc>
        <w:tc>
          <w:tcPr>
            <w:tcW w:w="64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4.06</w:t>
            </w:r>
          </w:p>
        </w:tc>
        <w:tc>
          <w:tcPr>
            <w:tcW w:w="712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Rule 144A Information Requirement and Annual Reports</w:t>
            </w:r>
          </w:p>
        </w:tc>
        <w:tc>
          <w:tcPr>
            <w:tcW w:w="64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33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193" w:type="dxa"/>
        <w:jc w:val="center"/>
        <w:tblInd w:w="0" w:type="dxa"/>
        <w:tblLayout w:type="fixed"/>
        <w:tblCellMar>
          <w:top w:w="0" w:type="dxa"/>
          <w:left w:w="0" w:type="dxa"/>
          <w:bottom w:w="0" w:type="dxa"/>
          <w:right w:w="0" w:type="dxa"/>
        </w:tblCellMar>
      </w:tblPr>
      <w:tblGrid>
        <w:gridCol w:w="1141"/>
        <w:gridCol w:w="6691"/>
        <w:gridCol w:w="361"/>
      </w:tblGrid>
      <w:tr>
        <w:trPr/>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724535" cy="175260"/>
                      <wp:effectExtent l="0" t="0" r="0" b="0"/>
                      <wp:wrapNone/>
                      <wp:docPr id="620" name="Frame61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4248785" cy="175260"/>
                      <wp:effectExtent l="0" t="0" r="0" b="0"/>
                      <wp:wrapNone/>
                      <wp:docPr id="621" name="Frame618"/>
                      <a:graphic xmlns:a="http://schemas.openxmlformats.org/drawingml/2006/main">
                        <a:graphicData uri="http://schemas.microsoft.com/office/word/2010/wordprocessingShape">
                          <wps:wsp>
                            <wps:cNvSpPr txBox="1"/>
                            <wps:spPr>
                              <a:xfrm>
                                <a:off x="0" y="0"/>
                                <a:ext cx="424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229235" cy="175260"/>
                      <wp:effectExtent l="0" t="0" r="0" b="0"/>
                      <wp:wrapNone/>
                      <wp:docPr id="622" name="Frame61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4.07</w:t>
            </w:r>
          </w:p>
        </w:tc>
        <w:tc>
          <w:tcPr>
            <w:tcW w:w="66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Additional Amounts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4.08</w:t>
            </w:r>
          </w:p>
        </w:tc>
        <w:tc>
          <w:tcPr>
            <w:tcW w:w="66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Stay, Extension and Usury Laws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4.09</w:t>
            </w:r>
          </w:p>
        </w:tc>
        <w:tc>
          <w:tcPr>
            <w:tcW w:w="66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Compliance Certificate; Statements as to Defaults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4.10</w:t>
            </w:r>
          </w:p>
        </w:tc>
        <w:tc>
          <w:tcPr>
            <w:tcW w:w="66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Further Instruments and Acts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141" w:type="dxa"/>
            <w:tcBorders/>
            <w:vAlign w:val="center"/>
          </w:tcPr>
          <w:p>
            <w:pPr>
              <w:pStyle w:val="TableContents"/>
              <w:bidi w:val="0"/>
              <w:spacing w:before="0" w:after="0"/>
              <w:ind w:left="0" w:right="0" w:hanging="0"/>
              <w:jc w:val="left"/>
              <w:rPr/>
            </w:pPr>
            <w:r>
              <w:rPr/>
              <w:t>​</w:t>
            </w:r>
          </w:p>
        </w:tc>
        <w:tc>
          <w:tcPr>
            <w:tcW w:w="6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5</w:t>
            </w:r>
          </w:p>
        </w:tc>
        <w:tc>
          <w:tcPr>
            <w:tcW w:w="361"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bidi w:val="0"/>
              <w:spacing w:before="0" w:after="0"/>
              <w:ind w:left="0" w:right="0" w:hanging="0"/>
              <w:jc w:val="left"/>
              <w:rPr/>
            </w:pPr>
            <w:r>
              <w:rPr/>
              <w:t>​</w:t>
            </w:r>
          </w:p>
        </w:tc>
        <w:tc>
          <w:tcPr>
            <w:tcW w:w="6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LISTS OF HOLDERS AND REPORTS BY THE COMPANY AND THE TRUSTEE</w:t>
            </w:r>
          </w:p>
        </w:tc>
        <w:tc>
          <w:tcPr>
            <w:tcW w:w="361"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bidi w:val="0"/>
              <w:spacing w:before="0" w:after="0"/>
              <w:ind w:left="0" w:right="0" w:hanging="0"/>
              <w:jc w:val="left"/>
              <w:rPr/>
            </w:pPr>
            <w:r>
              <w:rPr/>
              <w:t>​</w:t>
            </w:r>
          </w:p>
        </w:tc>
        <w:tc>
          <w:tcPr>
            <w:tcW w:w="669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5.01</w:t>
            </w:r>
          </w:p>
        </w:tc>
        <w:tc>
          <w:tcPr>
            <w:tcW w:w="66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Lists of Holders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5.02</w:t>
            </w:r>
          </w:p>
        </w:tc>
        <w:tc>
          <w:tcPr>
            <w:tcW w:w="66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Preservation and Disclosure of Lists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141" w:type="dxa"/>
            <w:tcBorders/>
            <w:vAlign w:val="center"/>
          </w:tcPr>
          <w:p>
            <w:pPr>
              <w:pStyle w:val="TableContents"/>
              <w:bidi w:val="0"/>
              <w:spacing w:before="0" w:after="0"/>
              <w:ind w:left="0" w:right="0" w:hanging="0"/>
              <w:jc w:val="left"/>
              <w:rPr/>
            </w:pPr>
            <w:r>
              <w:rPr/>
              <w:t>​</w:t>
            </w:r>
          </w:p>
        </w:tc>
        <w:tc>
          <w:tcPr>
            <w:tcW w:w="6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6</w:t>
            </w:r>
          </w:p>
        </w:tc>
        <w:tc>
          <w:tcPr>
            <w:tcW w:w="361"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bidi w:val="0"/>
              <w:spacing w:before="0" w:after="0"/>
              <w:ind w:left="0" w:right="0" w:hanging="0"/>
              <w:jc w:val="left"/>
              <w:rPr/>
            </w:pPr>
            <w:r>
              <w:rPr/>
              <w:t>​</w:t>
            </w:r>
          </w:p>
        </w:tc>
        <w:tc>
          <w:tcPr>
            <w:tcW w:w="6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DEFAULTS AND REMEDIES</w:t>
            </w:r>
          </w:p>
        </w:tc>
        <w:tc>
          <w:tcPr>
            <w:tcW w:w="361"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bidi w:val="0"/>
              <w:spacing w:before="0" w:after="0"/>
              <w:ind w:left="0" w:right="0" w:hanging="0"/>
              <w:jc w:val="left"/>
              <w:rPr/>
            </w:pPr>
            <w:r>
              <w:rPr/>
              <w:t>​</w:t>
            </w:r>
          </w:p>
        </w:tc>
        <w:tc>
          <w:tcPr>
            <w:tcW w:w="669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6.01</w:t>
            </w:r>
          </w:p>
        </w:tc>
        <w:tc>
          <w:tcPr>
            <w:tcW w:w="66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Events of Default</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6.02</w:t>
            </w:r>
          </w:p>
        </w:tc>
        <w:tc>
          <w:tcPr>
            <w:tcW w:w="66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Acceleration; Rescission and Annulment</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6.03</w:t>
            </w:r>
          </w:p>
        </w:tc>
        <w:tc>
          <w:tcPr>
            <w:tcW w:w="66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Additional Interest</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6.04</w:t>
            </w:r>
          </w:p>
        </w:tc>
        <w:tc>
          <w:tcPr>
            <w:tcW w:w="66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Payments of Notes on Default; Suit Therefor</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6.05</w:t>
            </w:r>
          </w:p>
        </w:tc>
        <w:tc>
          <w:tcPr>
            <w:tcW w:w="66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Application of Monies Collected by Trustee</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6.06</w:t>
            </w:r>
          </w:p>
        </w:tc>
        <w:tc>
          <w:tcPr>
            <w:tcW w:w="66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Proceedings by Holders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6.07</w:t>
            </w:r>
          </w:p>
        </w:tc>
        <w:tc>
          <w:tcPr>
            <w:tcW w:w="66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Proceedings by Trustee</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6.08</w:t>
            </w:r>
          </w:p>
        </w:tc>
        <w:tc>
          <w:tcPr>
            <w:tcW w:w="66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Remedies Cumulative and Continuing</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6.09</w:t>
            </w:r>
          </w:p>
        </w:tc>
        <w:tc>
          <w:tcPr>
            <w:tcW w:w="66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Direction of Proceedings and Waiver of Defaults by Majority of Holders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6.10</w:t>
            </w:r>
          </w:p>
        </w:tc>
        <w:tc>
          <w:tcPr>
            <w:tcW w:w="66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Notice of Defaults and Events of Default</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6.11</w:t>
            </w:r>
          </w:p>
        </w:tc>
        <w:tc>
          <w:tcPr>
            <w:tcW w:w="66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Undertaking to Pay Costs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1141" w:type="dxa"/>
            <w:tcBorders/>
            <w:vAlign w:val="center"/>
          </w:tcPr>
          <w:p>
            <w:pPr>
              <w:pStyle w:val="TableContents"/>
              <w:bidi w:val="0"/>
              <w:spacing w:before="0" w:after="0"/>
              <w:ind w:left="0" w:right="0" w:hanging="0"/>
              <w:jc w:val="left"/>
              <w:rPr/>
            </w:pPr>
            <w:r>
              <w:rPr/>
              <w:t>​</w:t>
            </w:r>
          </w:p>
        </w:tc>
        <w:tc>
          <w:tcPr>
            <w:tcW w:w="6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7</w:t>
            </w:r>
          </w:p>
        </w:tc>
        <w:tc>
          <w:tcPr>
            <w:tcW w:w="361"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bidi w:val="0"/>
              <w:spacing w:before="0" w:after="0"/>
              <w:ind w:left="0" w:right="0" w:hanging="0"/>
              <w:jc w:val="left"/>
              <w:rPr/>
            </w:pPr>
            <w:r>
              <w:rPr/>
              <w:t>​</w:t>
            </w:r>
          </w:p>
        </w:tc>
        <w:tc>
          <w:tcPr>
            <w:tcW w:w="6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CONCERNING THE TRUSTEE</w:t>
            </w:r>
          </w:p>
        </w:tc>
        <w:tc>
          <w:tcPr>
            <w:tcW w:w="361"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bidi w:val="0"/>
              <w:spacing w:before="0" w:after="0"/>
              <w:ind w:left="0" w:right="0" w:hanging="0"/>
              <w:jc w:val="left"/>
              <w:rPr/>
            </w:pPr>
            <w:r>
              <w:rPr/>
              <w:t>​</w:t>
            </w:r>
          </w:p>
        </w:tc>
        <w:tc>
          <w:tcPr>
            <w:tcW w:w="669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7.01</w:t>
            </w:r>
          </w:p>
        </w:tc>
        <w:tc>
          <w:tcPr>
            <w:tcW w:w="66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Duties and Responsibilities of Trustee</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7.02</w:t>
            </w:r>
          </w:p>
        </w:tc>
        <w:tc>
          <w:tcPr>
            <w:tcW w:w="66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Reliance on Documents, Opinions, Etc.</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7.03</w:t>
            </w:r>
          </w:p>
        </w:tc>
        <w:tc>
          <w:tcPr>
            <w:tcW w:w="66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No Responsibility for Recitals, Etc.</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7.04</w:t>
            </w:r>
          </w:p>
        </w:tc>
        <w:tc>
          <w:tcPr>
            <w:tcW w:w="66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Trustee, Paying Agents, Conversion Agents or Note Registrar May Own Notes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7.05</w:t>
            </w:r>
          </w:p>
        </w:tc>
        <w:tc>
          <w:tcPr>
            <w:tcW w:w="66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Monies and ADSs to Be Held in Trust</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7.06</w:t>
            </w:r>
          </w:p>
        </w:tc>
        <w:tc>
          <w:tcPr>
            <w:tcW w:w="66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Compensation, Expenses and Indemnification of Trustee and Agents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7.07</w:t>
            </w:r>
          </w:p>
        </w:tc>
        <w:tc>
          <w:tcPr>
            <w:tcW w:w="66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Officers’ Certificate as Evidence</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11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7.08</w:t>
            </w:r>
          </w:p>
        </w:tc>
        <w:tc>
          <w:tcPr>
            <w:tcW w:w="66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Eligibility of Trustee</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54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953" w:type="dxa"/>
        <w:jc w:val="center"/>
        <w:tblInd w:w="0" w:type="dxa"/>
        <w:tblLayout w:type="fixed"/>
        <w:tblCellMar>
          <w:top w:w="0" w:type="dxa"/>
          <w:left w:w="0" w:type="dxa"/>
          <w:bottom w:w="0" w:type="dxa"/>
          <w:right w:w="0" w:type="dxa"/>
        </w:tblCellMar>
      </w:tblPr>
      <w:tblGrid>
        <w:gridCol w:w="1291"/>
        <w:gridCol w:w="6301"/>
        <w:gridCol w:w="361"/>
      </w:tblGrid>
      <w:tr>
        <w:trPr/>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819785" cy="175260"/>
                      <wp:effectExtent l="0" t="0" r="0" b="0"/>
                      <wp:wrapNone/>
                      <wp:docPr id="623" name="Frame620"/>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4001135" cy="175260"/>
                      <wp:effectExtent l="0" t="0" r="0" b="0"/>
                      <wp:wrapNone/>
                      <wp:docPr id="624" name="Frame621"/>
                      <a:graphic xmlns:a="http://schemas.openxmlformats.org/drawingml/2006/main">
                        <a:graphicData uri="http://schemas.microsoft.com/office/word/2010/wordprocessingShape">
                          <wps:wsp>
                            <wps:cNvSpPr txBox="1"/>
                            <wps:spPr>
                              <a:xfrm>
                                <a:off x="0" y="0"/>
                                <a:ext cx="400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229235" cy="175260"/>
                      <wp:effectExtent l="0" t="0" r="0" b="0"/>
                      <wp:wrapNone/>
                      <wp:docPr id="625" name="Frame62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9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7.09</w:t>
            </w:r>
          </w:p>
        </w:tc>
        <w:tc>
          <w:tcPr>
            <w:tcW w:w="630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Resignation or Removal of Trustee</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129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7.10</w:t>
            </w:r>
          </w:p>
        </w:tc>
        <w:tc>
          <w:tcPr>
            <w:tcW w:w="630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Acceptance by Successor Trustee</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129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7.11</w:t>
            </w:r>
          </w:p>
        </w:tc>
        <w:tc>
          <w:tcPr>
            <w:tcW w:w="630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Succession by Merger, Etc.</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129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7.12</w:t>
            </w:r>
          </w:p>
        </w:tc>
        <w:tc>
          <w:tcPr>
            <w:tcW w:w="630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Trustee’s Application for Instructions from the Company</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1291" w:type="dxa"/>
            <w:tcBorders/>
            <w:vAlign w:val="center"/>
          </w:tcPr>
          <w:p>
            <w:pPr>
              <w:pStyle w:val="TableContents"/>
              <w:bidi w:val="0"/>
              <w:spacing w:before="0" w:after="0"/>
              <w:ind w:left="0" w:right="0" w:hanging="0"/>
              <w:jc w:val="left"/>
              <w:rPr/>
            </w:pPr>
            <w:r>
              <w:rPr/>
              <w:t>​</w:t>
            </w:r>
          </w:p>
        </w:tc>
        <w:tc>
          <w:tcPr>
            <w:tcW w:w="6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8</w:t>
            </w:r>
          </w:p>
        </w:tc>
        <w:tc>
          <w:tcPr>
            <w:tcW w:w="361" w:type="dxa"/>
            <w:tcBorders/>
            <w:vAlign w:val="center"/>
          </w:tcPr>
          <w:p>
            <w:pPr>
              <w:pStyle w:val="TableContents"/>
              <w:bidi w:val="0"/>
              <w:spacing w:before="0" w:after="0"/>
              <w:ind w:left="0" w:right="0" w:hanging="0"/>
              <w:jc w:val="right"/>
              <w:rPr/>
            </w:pPr>
            <w:r>
              <w:rPr/>
              <w:t>​</w:t>
            </w:r>
          </w:p>
        </w:tc>
      </w:tr>
      <w:tr>
        <w:trPr/>
        <w:tc>
          <w:tcPr>
            <w:tcW w:w="1291" w:type="dxa"/>
            <w:tcBorders/>
            <w:vAlign w:val="center"/>
          </w:tcPr>
          <w:p>
            <w:pPr>
              <w:pStyle w:val="TableContents"/>
              <w:bidi w:val="0"/>
              <w:spacing w:before="0" w:after="0"/>
              <w:ind w:left="0" w:right="0" w:hanging="0"/>
              <w:jc w:val="left"/>
              <w:rPr/>
            </w:pPr>
            <w:r>
              <w:rPr/>
              <w:t>​</w:t>
            </w:r>
          </w:p>
        </w:tc>
        <w:tc>
          <w:tcPr>
            <w:tcW w:w="6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CONCERNING THE HOLDERS</w:t>
            </w:r>
          </w:p>
        </w:tc>
        <w:tc>
          <w:tcPr>
            <w:tcW w:w="361" w:type="dxa"/>
            <w:tcBorders/>
            <w:vAlign w:val="center"/>
          </w:tcPr>
          <w:p>
            <w:pPr>
              <w:pStyle w:val="TableContents"/>
              <w:bidi w:val="0"/>
              <w:spacing w:before="0" w:after="0"/>
              <w:ind w:left="0" w:right="0" w:hanging="0"/>
              <w:jc w:val="right"/>
              <w:rPr/>
            </w:pPr>
            <w:r>
              <w:rPr/>
              <w:t>​</w:t>
            </w:r>
          </w:p>
        </w:tc>
      </w:tr>
      <w:tr>
        <w:trPr/>
        <w:tc>
          <w:tcPr>
            <w:tcW w:w="1291" w:type="dxa"/>
            <w:tcBorders/>
            <w:vAlign w:val="center"/>
          </w:tcPr>
          <w:p>
            <w:pPr>
              <w:pStyle w:val="TableContents"/>
              <w:bidi w:val="0"/>
              <w:spacing w:before="0" w:after="0"/>
              <w:ind w:left="0" w:right="0" w:hanging="0"/>
              <w:jc w:val="left"/>
              <w:rPr/>
            </w:pPr>
            <w:r>
              <w:rPr/>
              <w:t>​</w:t>
            </w:r>
          </w:p>
        </w:tc>
        <w:tc>
          <w:tcPr>
            <w:tcW w:w="630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29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8.01</w:t>
            </w:r>
          </w:p>
        </w:tc>
        <w:tc>
          <w:tcPr>
            <w:tcW w:w="630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Action by Holders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129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8.02</w:t>
            </w:r>
          </w:p>
        </w:tc>
        <w:tc>
          <w:tcPr>
            <w:tcW w:w="630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Proof of Execution by Holders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129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8.03</w:t>
            </w:r>
          </w:p>
        </w:tc>
        <w:tc>
          <w:tcPr>
            <w:tcW w:w="630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Who Are Deemed Absolute Owners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129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8.04</w:t>
            </w:r>
          </w:p>
        </w:tc>
        <w:tc>
          <w:tcPr>
            <w:tcW w:w="630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Company-Owned Notes Disregarded</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129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8.05</w:t>
            </w:r>
          </w:p>
        </w:tc>
        <w:tc>
          <w:tcPr>
            <w:tcW w:w="630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Revocation of Consents; Future Holders Bound</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1291" w:type="dxa"/>
            <w:tcBorders/>
            <w:vAlign w:val="center"/>
          </w:tcPr>
          <w:p>
            <w:pPr>
              <w:pStyle w:val="TableContents"/>
              <w:bidi w:val="0"/>
              <w:spacing w:before="0" w:after="0"/>
              <w:ind w:left="0" w:right="0" w:hanging="0"/>
              <w:jc w:val="left"/>
              <w:rPr/>
            </w:pPr>
            <w:r>
              <w:rPr/>
              <w:t>​</w:t>
            </w:r>
          </w:p>
        </w:tc>
        <w:tc>
          <w:tcPr>
            <w:tcW w:w="6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9</w:t>
            </w:r>
          </w:p>
        </w:tc>
        <w:tc>
          <w:tcPr>
            <w:tcW w:w="361" w:type="dxa"/>
            <w:tcBorders/>
            <w:vAlign w:val="center"/>
          </w:tcPr>
          <w:p>
            <w:pPr>
              <w:pStyle w:val="TableContents"/>
              <w:bidi w:val="0"/>
              <w:spacing w:before="0" w:after="0"/>
              <w:ind w:left="0" w:right="0" w:hanging="0"/>
              <w:jc w:val="right"/>
              <w:rPr/>
            </w:pPr>
            <w:r>
              <w:rPr/>
              <w:t>​</w:t>
            </w:r>
          </w:p>
        </w:tc>
      </w:tr>
      <w:tr>
        <w:trPr/>
        <w:tc>
          <w:tcPr>
            <w:tcW w:w="1291" w:type="dxa"/>
            <w:tcBorders/>
            <w:vAlign w:val="center"/>
          </w:tcPr>
          <w:p>
            <w:pPr>
              <w:pStyle w:val="TableContents"/>
              <w:bidi w:val="0"/>
              <w:spacing w:before="0" w:after="0"/>
              <w:ind w:left="0" w:right="0" w:hanging="0"/>
              <w:jc w:val="left"/>
              <w:rPr/>
            </w:pPr>
            <w:r>
              <w:rPr/>
              <w:t>​</w:t>
            </w:r>
          </w:p>
        </w:tc>
        <w:tc>
          <w:tcPr>
            <w:tcW w:w="6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HOLDERS’ MEETINGS</w:t>
            </w:r>
          </w:p>
        </w:tc>
        <w:tc>
          <w:tcPr>
            <w:tcW w:w="361" w:type="dxa"/>
            <w:tcBorders/>
            <w:vAlign w:val="center"/>
          </w:tcPr>
          <w:p>
            <w:pPr>
              <w:pStyle w:val="TableContents"/>
              <w:bidi w:val="0"/>
              <w:spacing w:before="0" w:after="0"/>
              <w:ind w:left="0" w:right="0" w:hanging="0"/>
              <w:jc w:val="right"/>
              <w:rPr/>
            </w:pPr>
            <w:r>
              <w:rPr/>
              <w:t>​</w:t>
            </w:r>
          </w:p>
        </w:tc>
      </w:tr>
      <w:tr>
        <w:trPr/>
        <w:tc>
          <w:tcPr>
            <w:tcW w:w="1291" w:type="dxa"/>
            <w:tcBorders/>
            <w:vAlign w:val="center"/>
          </w:tcPr>
          <w:p>
            <w:pPr>
              <w:pStyle w:val="TableContents"/>
              <w:bidi w:val="0"/>
              <w:spacing w:before="0" w:after="0"/>
              <w:ind w:left="0" w:right="0" w:hanging="0"/>
              <w:jc w:val="left"/>
              <w:rPr/>
            </w:pPr>
            <w:r>
              <w:rPr/>
              <w:t>​</w:t>
            </w:r>
          </w:p>
        </w:tc>
        <w:tc>
          <w:tcPr>
            <w:tcW w:w="630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29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9.01</w:t>
            </w:r>
          </w:p>
        </w:tc>
        <w:tc>
          <w:tcPr>
            <w:tcW w:w="630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Purpose of Meetings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129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9.02</w:t>
            </w:r>
          </w:p>
        </w:tc>
        <w:tc>
          <w:tcPr>
            <w:tcW w:w="630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Call of Meetings by Trustee</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129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9.03</w:t>
            </w:r>
          </w:p>
        </w:tc>
        <w:tc>
          <w:tcPr>
            <w:tcW w:w="630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Call of Meetings by Company or Holders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129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9.04</w:t>
            </w:r>
          </w:p>
        </w:tc>
        <w:tc>
          <w:tcPr>
            <w:tcW w:w="630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Qualifications for Voting</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129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9.05</w:t>
            </w:r>
          </w:p>
        </w:tc>
        <w:tc>
          <w:tcPr>
            <w:tcW w:w="630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Regulations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129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9.06</w:t>
            </w:r>
          </w:p>
        </w:tc>
        <w:tc>
          <w:tcPr>
            <w:tcW w:w="630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Voting</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129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Section 9.07</w:t>
            </w:r>
          </w:p>
        </w:tc>
        <w:tc>
          <w:tcPr>
            <w:tcW w:w="630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No Delay of Rights by Meeting</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1291" w:type="dxa"/>
            <w:tcBorders/>
            <w:vAlign w:val="center"/>
          </w:tcPr>
          <w:p>
            <w:pPr>
              <w:pStyle w:val="TableContents"/>
              <w:bidi w:val="0"/>
              <w:spacing w:before="0" w:after="0"/>
              <w:ind w:left="0" w:right="0" w:hanging="0"/>
              <w:jc w:val="left"/>
              <w:rPr/>
            </w:pPr>
            <w:r>
              <w:rPr/>
              <w:t>​</w:t>
            </w:r>
          </w:p>
        </w:tc>
        <w:tc>
          <w:tcPr>
            <w:tcW w:w="6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10 SUPPLEMENTAL INDENTURES</w:t>
            </w:r>
          </w:p>
        </w:tc>
        <w:tc>
          <w:tcPr>
            <w:tcW w:w="361" w:type="dxa"/>
            <w:tcBorders/>
            <w:vAlign w:val="center"/>
          </w:tcPr>
          <w:p>
            <w:pPr>
              <w:pStyle w:val="TableContents"/>
              <w:bidi w:val="0"/>
              <w:spacing w:before="0" w:after="0"/>
              <w:ind w:left="0" w:right="0" w:hanging="0"/>
              <w:jc w:val="right"/>
              <w:rPr/>
            </w:pPr>
            <w:r>
              <w:rPr/>
              <w:t>​</w:t>
            </w:r>
          </w:p>
        </w:tc>
      </w:tr>
      <w:tr>
        <w:trPr/>
        <w:tc>
          <w:tcPr>
            <w:tcW w:w="1291" w:type="dxa"/>
            <w:tcBorders/>
            <w:vAlign w:val="center"/>
          </w:tcPr>
          <w:p>
            <w:pPr>
              <w:pStyle w:val="TableContents"/>
              <w:bidi w:val="0"/>
              <w:spacing w:before="0" w:after="0"/>
              <w:ind w:left="0" w:right="0" w:hanging="0"/>
              <w:jc w:val="left"/>
              <w:rPr/>
            </w:pPr>
            <w:r>
              <w:rPr/>
              <w:t>​</w:t>
            </w:r>
          </w:p>
        </w:tc>
        <w:tc>
          <w:tcPr>
            <w:tcW w:w="630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29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10.01 </w:t>
            </w:r>
          </w:p>
        </w:tc>
        <w:tc>
          <w:tcPr>
            <w:tcW w:w="630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Supplemental Indentures Without Consent of Holders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129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10.02 </w:t>
            </w:r>
          </w:p>
        </w:tc>
        <w:tc>
          <w:tcPr>
            <w:tcW w:w="630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Supplemental Indentures with Consent of Holders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129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10.03 </w:t>
            </w:r>
          </w:p>
        </w:tc>
        <w:tc>
          <w:tcPr>
            <w:tcW w:w="630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Supplemental Indenture in respect of Fundamental Change</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129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10.04 </w:t>
            </w:r>
          </w:p>
        </w:tc>
        <w:tc>
          <w:tcPr>
            <w:tcW w:w="630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Effect of Supplemental Indentures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129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10.05 </w:t>
            </w:r>
          </w:p>
        </w:tc>
        <w:tc>
          <w:tcPr>
            <w:tcW w:w="630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Notation on Notes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129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10.06 </w:t>
            </w:r>
          </w:p>
        </w:tc>
        <w:tc>
          <w:tcPr>
            <w:tcW w:w="630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Evidence of Compliance of Supplemental Indenture to Be Furnished Trustee</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1291" w:type="dxa"/>
            <w:tcBorders/>
            <w:vAlign w:val="center"/>
          </w:tcPr>
          <w:p>
            <w:pPr>
              <w:pStyle w:val="TableContents"/>
              <w:bidi w:val="0"/>
              <w:spacing w:before="0" w:after="0"/>
              <w:ind w:left="0" w:right="0" w:hanging="0"/>
              <w:jc w:val="left"/>
              <w:rPr/>
            </w:pPr>
            <w:r>
              <w:rPr/>
              <w:t>​</w:t>
            </w:r>
          </w:p>
        </w:tc>
        <w:tc>
          <w:tcPr>
            <w:tcW w:w="6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11</w:t>
            </w:r>
          </w:p>
        </w:tc>
        <w:tc>
          <w:tcPr>
            <w:tcW w:w="361" w:type="dxa"/>
            <w:tcBorders/>
            <w:vAlign w:val="center"/>
          </w:tcPr>
          <w:p>
            <w:pPr>
              <w:pStyle w:val="TableContents"/>
              <w:bidi w:val="0"/>
              <w:spacing w:before="0" w:after="0"/>
              <w:ind w:left="0" w:right="0" w:hanging="0"/>
              <w:jc w:val="right"/>
              <w:rPr/>
            </w:pPr>
            <w:r>
              <w:rPr/>
              <w:t>​</w:t>
            </w:r>
          </w:p>
        </w:tc>
      </w:tr>
      <w:tr>
        <w:trPr/>
        <w:tc>
          <w:tcPr>
            <w:tcW w:w="1291" w:type="dxa"/>
            <w:tcBorders/>
            <w:vAlign w:val="center"/>
          </w:tcPr>
          <w:p>
            <w:pPr>
              <w:pStyle w:val="TableContents"/>
              <w:bidi w:val="0"/>
              <w:spacing w:before="0" w:after="0"/>
              <w:ind w:left="0" w:right="0" w:hanging="0"/>
              <w:jc w:val="left"/>
              <w:rPr/>
            </w:pPr>
            <w:r>
              <w:rPr/>
              <w:t>​</w:t>
            </w:r>
          </w:p>
        </w:tc>
        <w:tc>
          <w:tcPr>
            <w:tcW w:w="6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CONSOLIDATION, MERGER, SALE, CONVEYANCE AND LEASE</w:t>
            </w:r>
          </w:p>
        </w:tc>
        <w:tc>
          <w:tcPr>
            <w:tcW w:w="361" w:type="dxa"/>
            <w:tcBorders/>
            <w:vAlign w:val="center"/>
          </w:tcPr>
          <w:p>
            <w:pPr>
              <w:pStyle w:val="TableContents"/>
              <w:bidi w:val="0"/>
              <w:spacing w:before="0" w:after="0"/>
              <w:ind w:left="0" w:right="0" w:hanging="0"/>
              <w:jc w:val="right"/>
              <w:rPr/>
            </w:pPr>
            <w:r>
              <w:rPr/>
              <w:t>​</w:t>
            </w:r>
          </w:p>
        </w:tc>
      </w:tr>
      <w:tr>
        <w:trPr/>
        <w:tc>
          <w:tcPr>
            <w:tcW w:w="1291" w:type="dxa"/>
            <w:tcBorders/>
            <w:vAlign w:val="center"/>
          </w:tcPr>
          <w:p>
            <w:pPr>
              <w:pStyle w:val="TableContents"/>
              <w:bidi w:val="0"/>
              <w:spacing w:before="0" w:after="0"/>
              <w:ind w:left="0" w:right="0" w:hanging="0"/>
              <w:jc w:val="left"/>
              <w:rPr/>
            </w:pPr>
            <w:r>
              <w:rPr/>
              <w:t>​</w:t>
            </w:r>
          </w:p>
        </w:tc>
        <w:tc>
          <w:tcPr>
            <w:tcW w:w="630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29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11.01 </w:t>
            </w:r>
          </w:p>
        </w:tc>
        <w:tc>
          <w:tcPr>
            <w:tcW w:w="630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Company May Consolidate, Etc. on Certain Terms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64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89"/>
        <w:gridCol w:w="8654"/>
        <w:gridCol w:w="362"/>
      </w:tblGrid>
      <w:tr>
        <w:trPr/>
        <w:tc>
          <w:tcPr>
            <w:tcW w:w="118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11.02 </w:t>
            </w:r>
          </w:p>
        </w:tc>
        <w:tc>
          <w:tcPr>
            <w:tcW w:w="865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Successor Corporation to Be Substituted</w:t>
            </w:r>
          </w:p>
        </w:tc>
        <w:tc>
          <w:tcPr>
            <w:tcW w:w="362"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118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11.03 </w:t>
            </w:r>
          </w:p>
        </w:tc>
        <w:tc>
          <w:tcPr>
            <w:tcW w:w="865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Opinion of Counsel to Be Given to Trustee</w:t>
            </w:r>
          </w:p>
        </w:tc>
        <w:tc>
          <w:tcPr>
            <w:tcW w:w="362"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1189" w:type="dxa"/>
            <w:tcBorders/>
            <w:vAlign w:val="center"/>
          </w:tcPr>
          <w:p>
            <w:pPr>
              <w:pStyle w:val="TableContents"/>
              <w:bidi w:val="0"/>
              <w:spacing w:before="0" w:after="0"/>
              <w:ind w:left="0" w:right="0" w:hanging="0"/>
              <w:jc w:val="left"/>
              <w:rPr/>
            </w:pPr>
            <w:r>
              <w:rPr/>
              <w:t>​</w:t>
            </w:r>
          </w:p>
        </w:tc>
        <w:tc>
          <w:tcPr>
            <w:tcW w:w="86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12</w:t>
            </w:r>
          </w:p>
        </w:tc>
        <w:tc>
          <w:tcPr>
            <w:tcW w:w="362" w:type="dxa"/>
            <w:tcBorders/>
            <w:vAlign w:val="center"/>
          </w:tcPr>
          <w:p>
            <w:pPr>
              <w:pStyle w:val="TableContents"/>
              <w:bidi w:val="0"/>
              <w:spacing w:before="0" w:after="0"/>
              <w:ind w:left="0" w:right="0" w:hanging="0"/>
              <w:jc w:val="right"/>
              <w:rPr/>
            </w:pPr>
            <w:r>
              <w:rPr/>
              <w:t>​</w:t>
            </w:r>
          </w:p>
        </w:tc>
      </w:tr>
      <w:tr>
        <w:trPr/>
        <w:tc>
          <w:tcPr>
            <w:tcW w:w="1189" w:type="dxa"/>
            <w:tcBorders/>
            <w:vAlign w:val="center"/>
          </w:tcPr>
          <w:p>
            <w:pPr>
              <w:pStyle w:val="TableContents"/>
              <w:bidi w:val="0"/>
              <w:spacing w:before="0" w:after="0"/>
              <w:ind w:left="0" w:right="0" w:hanging="0"/>
              <w:jc w:val="left"/>
              <w:rPr/>
            </w:pPr>
            <w:r>
              <w:rPr/>
              <w:t>​</w:t>
            </w:r>
          </w:p>
        </w:tc>
        <w:tc>
          <w:tcPr>
            <w:tcW w:w="86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IMMUNITY OF INCORPORATORS, STOCKHOLDERS, OFFICERS AND DIRECTORS</w:t>
            </w:r>
          </w:p>
        </w:tc>
        <w:tc>
          <w:tcPr>
            <w:tcW w:w="362" w:type="dxa"/>
            <w:tcBorders/>
            <w:vAlign w:val="center"/>
          </w:tcPr>
          <w:p>
            <w:pPr>
              <w:pStyle w:val="TableContents"/>
              <w:bidi w:val="0"/>
              <w:spacing w:before="0" w:after="0"/>
              <w:ind w:left="0" w:right="0" w:hanging="0"/>
              <w:jc w:val="right"/>
              <w:rPr/>
            </w:pPr>
            <w:r>
              <w:rPr/>
              <w:t>​</w:t>
            </w:r>
          </w:p>
        </w:tc>
      </w:tr>
      <w:tr>
        <w:trPr/>
        <w:tc>
          <w:tcPr>
            <w:tcW w:w="1189" w:type="dxa"/>
            <w:tcBorders/>
            <w:vAlign w:val="center"/>
          </w:tcPr>
          <w:p>
            <w:pPr>
              <w:pStyle w:val="TableContents"/>
              <w:bidi w:val="0"/>
              <w:spacing w:before="0" w:after="0"/>
              <w:ind w:left="0" w:right="0" w:hanging="0"/>
              <w:jc w:val="left"/>
              <w:rPr/>
            </w:pPr>
            <w:r>
              <w:rPr/>
              <w:t>​</w:t>
            </w:r>
          </w:p>
        </w:tc>
        <w:tc>
          <w:tcPr>
            <w:tcW w:w="8654" w:type="dxa"/>
            <w:tcBorders/>
            <w:vAlign w:val="center"/>
          </w:tcPr>
          <w:p>
            <w:pPr>
              <w:pStyle w:val="TableContents"/>
              <w:bidi w:val="0"/>
              <w:spacing w:before="0" w:after="0"/>
              <w:ind w:left="0" w:right="0" w:hanging="0"/>
              <w:jc w:val="center"/>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118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12.01 </w:t>
            </w:r>
          </w:p>
        </w:tc>
        <w:tc>
          <w:tcPr>
            <w:tcW w:w="865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Indenture and Notes Solely Corporate Obligations</w:t>
            </w:r>
          </w:p>
        </w:tc>
        <w:tc>
          <w:tcPr>
            <w:tcW w:w="362"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1189" w:type="dxa"/>
            <w:tcBorders/>
            <w:vAlign w:val="center"/>
          </w:tcPr>
          <w:p>
            <w:pPr>
              <w:pStyle w:val="TableContents"/>
              <w:bidi w:val="0"/>
              <w:spacing w:before="0" w:after="0"/>
              <w:ind w:left="0" w:right="0" w:hanging="0"/>
              <w:jc w:val="left"/>
              <w:rPr/>
            </w:pPr>
            <w:r>
              <w:rPr/>
              <w:t>​</w:t>
            </w:r>
          </w:p>
        </w:tc>
        <w:tc>
          <w:tcPr>
            <w:tcW w:w="86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ARTICLE 13 </w:t>
            </w:r>
          </w:p>
        </w:tc>
        <w:tc>
          <w:tcPr>
            <w:tcW w:w="362" w:type="dxa"/>
            <w:tcBorders/>
            <w:vAlign w:val="center"/>
          </w:tcPr>
          <w:p>
            <w:pPr>
              <w:pStyle w:val="TableContents"/>
              <w:bidi w:val="0"/>
              <w:spacing w:before="0" w:after="0"/>
              <w:ind w:left="0" w:right="0" w:hanging="0"/>
              <w:jc w:val="right"/>
              <w:rPr/>
            </w:pPr>
            <w:r>
              <w:rPr/>
              <w:t>​</w:t>
            </w:r>
          </w:p>
        </w:tc>
      </w:tr>
      <w:tr>
        <w:trPr/>
        <w:tc>
          <w:tcPr>
            <w:tcW w:w="1189" w:type="dxa"/>
            <w:tcBorders/>
            <w:vAlign w:val="center"/>
          </w:tcPr>
          <w:p>
            <w:pPr>
              <w:pStyle w:val="TableContents"/>
              <w:bidi w:val="0"/>
              <w:spacing w:before="0" w:after="0"/>
              <w:ind w:left="0" w:right="0" w:hanging="0"/>
              <w:jc w:val="left"/>
              <w:rPr/>
            </w:pPr>
            <w:r>
              <w:rPr/>
              <w:t>​</w:t>
            </w:r>
          </w:p>
        </w:tc>
        <w:tc>
          <w:tcPr>
            <w:tcW w:w="86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INTENTIONALLY OMITTED</w:t>
            </w:r>
          </w:p>
        </w:tc>
        <w:tc>
          <w:tcPr>
            <w:tcW w:w="362" w:type="dxa"/>
            <w:tcBorders/>
            <w:vAlign w:val="center"/>
          </w:tcPr>
          <w:p>
            <w:pPr>
              <w:pStyle w:val="TableContents"/>
              <w:bidi w:val="0"/>
              <w:spacing w:before="0" w:after="0"/>
              <w:ind w:left="0" w:right="0" w:hanging="0"/>
              <w:jc w:val="right"/>
              <w:rPr/>
            </w:pPr>
            <w:r>
              <w:rPr/>
              <w:t>​</w:t>
            </w:r>
          </w:p>
        </w:tc>
      </w:tr>
      <w:tr>
        <w:trPr/>
        <w:tc>
          <w:tcPr>
            <w:tcW w:w="1189" w:type="dxa"/>
            <w:tcBorders/>
            <w:vAlign w:val="center"/>
          </w:tcPr>
          <w:p>
            <w:pPr>
              <w:pStyle w:val="TableContents"/>
              <w:bidi w:val="0"/>
              <w:spacing w:before="0" w:after="0"/>
              <w:ind w:left="0" w:right="0" w:hanging="0"/>
              <w:jc w:val="left"/>
              <w:rPr/>
            </w:pPr>
            <w:r>
              <w:rPr/>
              <w:t>​</w:t>
            </w:r>
          </w:p>
        </w:tc>
        <w:tc>
          <w:tcPr>
            <w:tcW w:w="8654" w:type="dxa"/>
            <w:tcBorders/>
            <w:vAlign w:val="center"/>
          </w:tcPr>
          <w:p>
            <w:pPr>
              <w:pStyle w:val="TableContents"/>
              <w:bidi w:val="0"/>
              <w:spacing w:before="0" w:after="0"/>
              <w:ind w:left="0" w:right="0" w:hanging="0"/>
              <w:jc w:val="center"/>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1189" w:type="dxa"/>
            <w:tcBorders/>
            <w:vAlign w:val="center"/>
          </w:tcPr>
          <w:p>
            <w:pPr>
              <w:pStyle w:val="TableContents"/>
              <w:bidi w:val="0"/>
              <w:spacing w:before="0" w:after="0"/>
              <w:ind w:left="0" w:right="0" w:hanging="0"/>
              <w:jc w:val="left"/>
              <w:rPr/>
            </w:pPr>
            <w:r>
              <w:rPr/>
              <w:t>​</w:t>
            </w:r>
          </w:p>
        </w:tc>
        <w:tc>
          <w:tcPr>
            <w:tcW w:w="86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ARTICLE 14 </w:t>
            </w:r>
          </w:p>
        </w:tc>
        <w:tc>
          <w:tcPr>
            <w:tcW w:w="362" w:type="dxa"/>
            <w:tcBorders/>
            <w:vAlign w:val="center"/>
          </w:tcPr>
          <w:p>
            <w:pPr>
              <w:pStyle w:val="TableContents"/>
              <w:bidi w:val="0"/>
              <w:spacing w:before="0" w:after="0"/>
              <w:ind w:left="0" w:right="0" w:hanging="0"/>
              <w:jc w:val="right"/>
              <w:rPr/>
            </w:pPr>
            <w:r>
              <w:rPr/>
              <w:t>​</w:t>
            </w:r>
          </w:p>
        </w:tc>
      </w:tr>
      <w:tr>
        <w:trPr/>
        <w:tc>
          <w:tcPr>
            <w:tcW w:w="1189" w:type="dxa"/>
            <w:tcBorders/>
            <w:vAlign w:val="center"/>
          </w:tcPr>
          <w:p>
            <w:pPr>
              <w:pStyle w:val="TableContents"/>
              <w:bidi w:val="0"/>
              <w:spacing w:before="0" w:after="0"/>
              <w:ind w:left="0" w:right="0" w:hanging="0"/>
              <w:jc w:val="left"/>
              <w:rPr/>
            </w:pPr>
            <w:r>
              <w:rPr/>
              <w:t>​</w:t>
            </w:r>
          </w:p>
        </w:tc>
        <w:tc>
          <w:tcPr>
            <w:tcW w:w="86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CONVERSION OF NOTES</w:t>
            </w:r>
          </w:p>
        </w:tc>
        <w:tc>
          <w:tcPr>
            <w:tcW w:w="362" w:type="dxa"/>
            <w:tcBorders/>
            <w:vAlign w:val="center"/>
          </w:tcPr>
          <w:p>
            <w:pPr>
              <w:pStyle w:val="TableContents"/>
              <w:bidi w:val="0"/>
              <w:spacing w:before="0" w:after="0"/>
              <w:ind w:left="0" w:right="0" w:hanging="0"/>
              <w:jc w:val="right"/>
              <w:rPr/>
            </w:pPr>
            <w:r>
              <w:rPr/>
              <w:t>​</w:t>
            </w:r>
          </w:p>
        </w:tc>
      </w:tr>
      <w:tr>
        <w:trPr/>
        <w:tc>
          <w:tcPr>
            <w:tcW w:w="1189" w:type="dxa"/>
            <w:tcBorders/>
            <w:vAlign w:val="center"/>
          </w:tcPr>
          <w:p>
            <w:pPr>
              <w:pStyle w:val="TableContents"/>
              <w:bidi w:val="0"/>
              <w:spacing w:before="0" w:after="0"/>
              <w:ind w:left="0" w:right="0" w:hanging="0"/>
              <w:jc w:val="left"/>
              <w:rPr/>
            </w:pPr>
            <w:r>
              <w:rPr/>
              <w:t>​</w:t>
            </w:r>
          </w:p>
        </w:tc>
        <w:tc>
          <w:tcPr>
            <w:tcW w:w="8654" w:type="dxa"/>
            <w:tcBorders/>
            <w:vAlign w:val="center"/>
          </w:tcPr>
          <w:p>
            <w:pPr>
              <w:pStyle w:val="TableContents"/>
              <w:bidi w:val="0"/>
              <w:spacing w:before="0" w:after="0"/>
              <w:ind w:left="0" w:right="0" w:hanging="0"/>
              <w:jc w:val="center"/>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118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14.01 </w:t>
            </w:r>
          </w:p>
        </w:tc>
        <w:tc>
          <w:tcPr>
            <w:tcW w:w="865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Conversion Privilege</w:t>
            </w:r>
          </w:p>
        </w:tc>
        <w:tc>
          <w:tcPr>
            <w:tcW w:w="362"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118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14.02 </w:t>
            </w:r>
          </w:p>
        </w:tc>
        <w:tc>
          <w:tcPr>
            <w:tcW w:w="865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Conversion Procedure; Settlement Upon Conversion</w:t>
            </w:r>
          </w:p>
        </w:tc>
        <w:tc>
          <w:tcPr>
            <w:tcW w:w="362"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118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14.03 </w:t>
            </w:r>
          </w:p>
        </w:tc>
        <w:tc>
          <w:tcPr>
            <w:tcW w:w="865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Increased Conversion Rate Applicable to Certain Notes Surrendered in Connection with Make-Whole Fundamental Changes</w:t>
            </w:r>
          </w:p>
        </w:tc>
        <w:tc>
          <w:tcPr>
            <w:tcW w:w="362"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118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14.04 </w:t>
            </w:r>
          </w:p>
        </w:tc>
        <w:tc>
          <w:tcPr>
            <w:tcW w:w="865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Adjustment of Conversion Rate</w:t>
            </w:r>
          </w:p>
        </w:tc>
        <w:tc>
          <w:tcPr>
            <w:tcW w:w="362"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118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14.05 </w:t>
            </w:r>
          </w:p>
        </w:tc>
        <w:tc>
          <w:tcPr>
            <w:tcW w:w="865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Adjustments of Prices</w:t>
            </w:r>
          </w:p>
        </w:tc>
        <w:tc>
          <w:tcPr>
            <w:tcW w:w="362"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118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14.06 </w:t>
            </w:r>
          </w:p>
        </w:tc>
        <w:tc>
          <w:tcPr>
            <w:tcW w:w="865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Ordinary Shares to Be Fully Paid</w:t>
            </w:r>
          </w:p>
        </w:tc>
        <w:tc>
          <w:tcPr>
            <w:tcW w:w="362"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118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14.07 </w:t>
            </w:r>
          </w:p>
        </w:tc>
        <w:tc>
          <w:tcPr>
            <w:tcW w:w="865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Effect of Recapitalizations, Reclassifications and Changes of the Ordinary Shares</w:t>
            </w:r>
          </w:p>
        </w:tc>
        <w:tc>
          <w:tcPr>
            <w:tcW w:w="362"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118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14.08 </w:t>
            </w:r>
          </w:p>
        </w:tc>
        <w:tc>
          <w:tcPr>
            <w:tcW w:w="865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Certain Covenants</w:t>
            </w:r>
          </w:p>
        </w:tc>
        <w:tc>
          <w:tcPr>
            <w:tcW w:w="362"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118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14.09 </w:t>
            </w:r>
          </w:p>
        </w:tc>
        <w:tc>
          <w:tcPr>
            <w:tcW w:w="865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Responsibility of Trustee</w:t>
            </w:r>
          </w:p>
        </w:tc>
        <w:tc>
          <w:tcPr>
            <w:tcW w:w="362"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118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14.10 </w:t>
            </w:r>
          </w:p>
        </w:tc>
        <w:tc>
          <w:tcPr>
            <w:tcW w:w="865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Notice to Holders Prior to Certain Actions</w:t>
            </w:r>
          </w:p>
        </w:tc>
        <w:tc>
          <w:tcPr>
            <w:tcW w:w="362"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118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14.11 </w:t>
            </w:r>
          </w:p>
        </w:tc>
        <w:tc>
          <w:tcPr>
            <w:tcW w:w="865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Stockholder Rights Plans</w:t>
            </w:r>
          </w:p>
        </w:tc>
        <w:tc>
          <w:tcPr>
            <w:tcW w:w="362"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118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14.12 </w:t>
            </w:r>
          </w:p>
        </w:tc>
        <w:tc>
          <w:tcPr>
            <w:tcW w:w="865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Termination of Depositary Receipt Program</w:t>
            </w:r>
          </w:p>
        </w:tc>
        <w:tc>
          <w:tcPr>
            <w:tcW w:w="362"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118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14.13 </w:t>
            </w:r>
          </w:p>
        </w:tc>
        <w:tc>
          <w:tcPr>
            <w:tcW w:w="865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Exchange In Lieu Of Conversion</w:t>
            </w:r>
          </w:p>
        </w:tc>
        <w:tc>
          <w:tcPr>
            <w:tcW w:w="362"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1189" w:type="dxa"/>
            <w:tcBorders/>
            <w:vAlign w:val="center"/>
          </w:tcPr>
          <w:p>
            <w:pPr>
              <w:pStyle w:val="TableContents"/>
              <w:bidi w:val="0"/>
              <w:spacing w:before="0" w:after="0"/>
              <w:ind w:left="0" w:right="0" w:hanging="0"/>
              <w:jc w:val="left"/>
              <w:rPr/>
            </w:pPr>
            <w:r>
              <w:rPr/>
              <w:t>​</w:t>
            </w:r>
          </w:p>
        </w:tc>
        <w:tc>
          <w:tcPr>
            <w:tcW w:w="86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15</w:t>
            </w:r>
          </w:p>
        </w:tc>
        <w:tc>
          <w:tcPr>
            <w:tcW w:w="362" w:type="dxa"/>
            <w:tcBorders/>
            <w:vAlign w:val="center"/>
          </w:tcPr>
          <w:p>
            <w:pPr>
              <w:pStyle w:val="TableContents"/>
              <w:bidi w:val="0"/>
              <w:spacing w:before="0" w:after="0"/>
              <w:ind w:left="0" w:right="0" w:hanging="0"/>
              <w:jc w:val="right"/>
              <w:rPr/>
            </w:pPr>
            <w:r>
              <w:rPr/>
              <w:t>​</w:t>
            </w:r>
          </w:p>
        </w:tc>
      </w:tr>
      <w:tr>
        <w:trPr/>
        <w:tc>
          <w:tcPr>
            <w:tcW w:w="1189" w:type="dxa"/>
            <w:tcBorders/>
            <w:vAlign w:val="center"/>
          </w:tcPr>
          <w:p>
            <w:pPr>
              <w:pStyle w:val="TableContents"/>
              <w:bidi w:val="0"/>
              <w:spacing w:before="0" w:after="0"/>
              <w:ind w:left="0" w:right="0" w:hanging="0"/>
              <w:jc w:val="left"/>
              <w:rPr/>
            </w:pPr>
            <w:r>
              <w:rPr/>
              <w:t>​</w:t>
            </w:r>
          </w:p>
        </w:tc>
        <w:tc>
          <w:tcPr>
            <w:tcW w:w="86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REPURCHASE OF NOTES AT OPTION OF HOLDERS</w:t>
            </w:r>
          </w:p>
        </w:tc>
        <w:tc>
          <w:tcPr>
            <w:tcW w:w="362" w:type="dxa"/>
            <w:tcBorders/>
            <w:vAlign w:val="center"/>
          </w:tcPr>
          <w:p>
            <w:pPr>
              <w:pStyle w:val="TableContents"/>
              <w:bidi w:val="0"/>
              <w:spacing w:before="0" w:after="0"/>
              <w:ind w:left="0" w:right="0" w:hanging="0"/>
              <w:jc w:val="right"/>
              <w:rPr/>
            </w:pPr>
            <w:r>
              <w:rPr/>
              <w:t>​</w:t>
            </w:r>
          </w:p>
        </w:tc>
      </w:tr>
      <w:tr>
        <w:trPr/>
        <w:tc>
          <w:tcPr>
            <w:tcW w:w="1189" w:type="dxa"/>
            <w:tcBorders/>
            <w:vAlign w:val="center"/>
          </w:tcPr>
          <w:p>
            <w:pPr>
              <w:pStyle w:val="TableContents"/>
              <w:bidi w:val="0"/>
              <w:spacing w:before="0" w:after="0"/>
              <w:ind w:left="0" w:right="0" w:hanging="0"/>
              <w:jc w:val="left"/>
              <w:rPr/>
            </w:pPr>
            <w:r>
              <w:rPr/>
              <w:t>​</w:t>
            </w:r>
          </w:p>
        </w:tc>
        <w:tc>
          <w:tcPr>
            <w:tcW w:w="8654" w:type="dxa"/>
            <w:tcBorders/>
            <w:vAlign w:val="center"/>
          </w:tcPr>
          <w:p>
            <w:pPr>
              <w:pStyle w:val="TableContents"/>
              <w:bidi w:val="0"/>
              <w:spacing w:before="0" w:after="0"/>
              <w:ind w:left="0" w:right="0" w:hanging="0"/>
              <w:jc w:val="center"/>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118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15.01 </w:t>
            </w:r>
          </w:p>
        </w:tc>
        <w:tc>
          <w:tcPr>
            <w:tcW w:w="865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Repurchase at Option of Holders</w:t>
            </w:r>
          </w:p>
        </w:tc>
        <w:tc>
          <w:tcPr>
            <w:tcW w:w="362"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118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15.02 </w:t>
            </w:r>
          </w:p>
        </w:tc>
        <w:tc>
          <w:tcPr>
            <w:tcW w:w="865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Repurchase at Option of Holders Upon a Fundamental Change</w:t>
            </w:r>
          </w:p>
        </w:tc>
        <w:tc>
          <w:tcPr>
            <w:tcW w:w="362"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118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15.03 </w:t>
            </w:r>
          </w:p>
        </w:tc>
        <w:tc>
          <w:tcPr>
            <w:tcW w:w="865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Withdrawal of Repurchase Notice or Fundamental Change Repurchase Notice</w:t>
            </w:r>
          </w:p>
        </w:tc>
        <w:tc>
          <w:tcPr>
            <w:tcW w:w="362"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118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15.04 </w:t>
            </w:r>
          </w:p>
        </w:tc>
        <w:tc>
          <w:tcPr>
            <w:tcW w:w="865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Deposit of Repurchase Price or Fundamental Change Repurchase Price</w:t>
            </w:r>
          </w:p>
        </w:tc>
        <w:tc>
          <w:tcPr>
            <w:tcW w:w="362"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118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15.05 </w:t>
            </w:r>
          </w:p>
        </w:tc>
        <w:tc>
          <w:tcPr>
            <w:tcW w:w="865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Covenant to Comply with Applicable Laws Upon Repurchase of Notes</w:t>
            </w:r>
          </w:p>
        </w:tc>
        <w:tc>
          <w:tcPr>
            <w:tcW w:w="362"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1189" w:type="dxa"/>
            <w:tcBorders/>
            <w:vAlign w:val="center"/>
          </w:tcPr>
          <w:p>
            <w:pPr>
              <w:pStyle w:val="TableContents"/>
              <w:bidi w:val="0"/>
              <w:spacing w:before="0" w:after="0"/>
              <w:ind w:left="0" w:right="0" w:hanging="0"/>
              <w:jc w:val="left"/>
              <w:rPr/>
            </w:pPr>
            <w:r>
              <w:rPr/>
              <w:t>​</w:t>
            </w:r>
          </w:p>
        </w:tc>
        <w:tc>
          <w:tcPr>
            <w:tcW w:w="8654"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038" w:type="dxa"/>
        <w:jc w:val="left"/>
        <w:tblInd w:w="0" w:type="dxa"/>
        <w:tblLayout w:type="fixed"/>
        <w:tblCellMar>
          <w:top w:w="0" w:type="dxa"/>
          <w:left w:w="0" w:type="dxa"/>
          <w:bottom w:w="0" w:type="dxa"/>
          <w:right w:w="0" w:type="dxa"/>
        </w:tblCellMar>
      </w:tblPr>
      <w:tblGrid>
        <w:gridCol w:w="1291"/>
        <w:gridCol w:w="8281"/>
        <w:gridCol w:w="466"/>
      </w:tblGrid>
      <w:tr>
        <w:trPr/>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819785" cy="175260"/>
                      <wp:effectExtent l="0" t="0" r="0" b="0"/>
                      <wp:wrapNone/>
                      <wp:docPr id="626" name="Frame623"/>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5258435" cy="175260"/>
                      <wp:effectExtent l="0" t="0" r="0" b="0"/>
                      <wp:wrapNone/>
                      <wp:docPr id="627" name="Frame624"/>
                      <a:graphic xmlns:a="http://schemas.openxmlformats.org/drawingml/2006/main">
                        <a:graphicData uri="http://schemas.microsoft.com/office/word/2010/wordprocessingShape">
                          <wps:wsp>
                            <wps:cNvSpPr txBox="1"/>
                            <wps:spPr>
                              <a:xfrm>
                                <a:off x="0" y="0"/>
                                <a:ext cx="525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295910" cy="175260"/>
                      <wp:effectExtent l="0" t="0" r="0" b="0"/>
                      <wp:wrapNone/>
                      <wp:docPr id="628" name="Frame62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91" w:type="dxa"/>
            <w:tcBorders/>
            <w:vAlign w:val="center"/>
          </w:tcPr>
          <w:p>
            <w:pPr>
              <w:pStyle w:val="TableContents"/>
              <w:bidi w:val="0"/>
              <w:spacing w:before="0" w:after="0"/>
              <w:ind w:left="0" w:right="0" w:hanging="0"/>
              <w:jc w:val="left"/>
              <w:rPr/>
            </w:pPr>
            <w:r>
              <w:rPr/>
              <w:t>​</w:t>
            </w:r>
          </w:p>
        </w:tc>
        <w:tc>
          <w:tcPr>
            <w:tcW w:w="82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16</w:t>
            </w:r>
          </w:p>
        </w:tc>
        <w:tc>
          <w:tcPr>
            <w:tcW w:w="466" w:type="dxa"/>
            <w:tcBorders/>
            <w:vAlign w:val="center"/>
          </w:tcPr>
          <w:p>
            <w:pPr>
              <w:pStyle w:val="TableContents"/>
              <w:bidi w:val="0"/>
              <w:spacing w:before="0" w:after="0"/>
              <w:ind w:left="0" w:right="0" w:hanging="0"/>
              <w:jc w:val="right"/>
              <w:rPr/>
            </w:pPr>
            <w:r>
              <w:rPr/>
              <w:t>​</w:t>
            </w:r>
          </w:p>
        </w:tc>
      </w:tr>
      <w:tr>
        <w:trPr/>
        <w:tc>
          <w:tcPr>
            <w:tcW w:w="1291" w:type="dxa"/>
            <w:tcBorders/>
            <w:vAlign w:val="center"/>
          </w:tcPr>
          <w:p>
            <w:pPr>
              <w:pStyle w:val="TableContents"/>
              <w:bidi w:val="0"/>
              <w:spacing w:before="0" w:after="0"/>
              <w:ind w:left="0" w:right="0" w:hanging="0"/>
              <w:jc w:val="left"/>
              <w:rPr/>
            </w:pPr>
            <w:r>
              <w:rPr/>
              <w:t>​</w:t>
            </w:r>
          </w:p>
        </w:tc>
        <w:tc>
          <w:tcPr>
            <w:tcW w:w="82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OPTIONAL REDEMPTION</w:t>
            </w:r>
          </w:p>
        </w:tc>
        <w:tc>
          <w:tcPr>
            <w:tcW w:w="466" w:type="dxa"/>
            <w:tcBorders/>
            <w:vAlign w:val="center"/>
          </w:tcPr>
          <w:p>
            <w:pPr>
              <w:pStyle w:val="TableContents"/>
              <w:bidi w:val="0"/>
              <w:spacing w:before="0" w:after="0"/>
              <w:ind w:left="0" w:right="0" w:hanging="0"/>
              <w:jc w:val="right"/>
              <w:rPr/>
            </w:pPr>
            <w:r>
              <w:rPr/>
              <w:t>​</w:t>
            </w:r>
          </w:p>
        </w:tc>
      </w:tr>
      <w:tr>
        <w:trPr/>
        <w:tc>
          <w:tcPr>
            <w:tcW w:w="1291" w:type="dxa"/>
            <w:tcBorders/>
            <w:vAlign w:val="center"/>
          </w:tcPr>
          <w:p>
            <w:pPr>
              <w:pStyle w:val="TableContents"/>
              <w:bidi w:val="0"/>
              <w:spacing w:before="0" w:after="0"/>
              <w:ind w:left="0" w:right="0" w:hanging="0"/>
              <w:jc w:val="left"/>
              <w:rPr/>
            </w:pPr>
            <w:r>
              <w:rPr/>
              <w:t>​</w:t>
            </w:r>
          </w:p>
        </w:tc>
        <w:tc>
          <w:tcPr>
            <w:tcW w:w="8281"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12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16.01 </w:t>
            </w:r>
          </w:p>
        </w:tc>
        <w:tc>
          <w:tcPr>
            <w:tcW w:w="82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Optional Redemption for Changes in the Tax Law of the Relevant Jurisdiction</w:t>
            </w:r>
          </w:p>
        </w:tc>
        <w:tc>
          <w:tcPr>
            <w:tcW w:w="46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12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16.02 </w:t>
            </w:r>
          </w:p>
        </w:tc>
        <w:tc>
          <w:tcPr>
            <w:tcW w:w="82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Optional Redemption by the Company</w:t>
            </w:r>
          </w:p>
        </w:tc>
        <w:tc>
          <w:tcPr>
            <w:tcW w:w="46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12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16.03 </w:t>
            </w:r>
          </w:p>
        </w:tc>
        <w:tc>
          <w:tcPr>
            <w:tcW w:w="82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Cleanup Redemption</w:t>
            </w:r>
          </w:p>
        </w:tc>
        <w:tc>
          <w:tcPr>
            <w:tcW w:w="46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1291" w:type="dxa"/>
            <w:tcBorders/>
            <w:vAlign w:val="center"/>
          </w:tcPr>
          <w:p>
            <w:pPr>
              <w:pStyle w:val="TableContents"/>
              <w:bidi w:val="0"/>
              <w:spacing w:before="0" w:after="0"/>
              <w:ind w:left="0" w:right="0" w:hanging="0"/>
              <w:jc w:val="left"/>
              <w:rPr/>
            </w:pPr>
            <w:r>
              <w:rPr/>
              <w:t>​</w:t>
            </w:r>
          </w:p>
        </w:tc>
        <w:tc>
          <w:tcPr>
            <w:tcW w:w="82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17</w:t>
            </w:r>
          </w:p>
        </w:tc>
        <w:tc>
          <w:tcPr>
            <w:tcW w:w="466" w:type="dxa"/>
            <w:tcBorders/>
            <w:vAlign w:val="center"/>
          </w:tcPr>
          <w:p>
            <w:pPr>
              <w:pStyle w:val="TableContents"/>
              <w:bidi w:val="0"/>
              <w:spacing w:before="0" w:after="0"/>
              <w:ind w:left="0" w:right="0" w:hanging="0"/>
              <w:jc w:val="right"/>
              <w:rPr/>
            </w:pPr>
            <w:r>
              <w:rPr/>
              <w:t>​</w:t>
            </w:r>
          </w:p>
        </w:tc>
      </w:tr>
      <w:tr>
        <w:trPr/>
        <w:tc>
          <w:tcPr>
            <w:tcW w:w="1291" w:type="dxa"/>
            <w:tcBorders/>
            <w:vAlign w:val="center"/>
          </w:tcPr>
          <w:p>
            <w:pPr>
              <w:pStyle w:val="TableContents"/>
              <w:bidi w:val="0"/>
              <w:spacing w:before="0" w:after="0"/>
              <w:ind w:left="0" w:right="0" w:hanging="0"/>
              <w:jc w:val="left"/>
              <w:rPr/>
            </w:pPr>
            <w:r>
              <w:rPr/>
              <w:t>​</w:t>
            </w:r>
          </w:p>
        </w:tc>
        <w:tc>
          <w:tcPr>
            <w:tcW w:w="82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MISCELLANEOUS PROVISIONS</w:t>
            </w:r>
          </w:p>
        </w:tc>
        <w:tc>
          <w:tcPr>
            <w:tcW w:w="466" w:type="dxa"/>
            <w:tcBorders/>
            <w:vAlign w:val="center"/>
          </w:tcPr>
          <w:p>
            <w:pPr>
              <w:pStyle w:val="TableContents"/>
              <w:bidi w:val="0"/>
              <w:spacing w:before="0" w:after="0"/>
              <w:ind w:left="0" w:right="0" w:hanging="0"/>
              <w:jc w:val="right"/>
              <w:rPr/>
            </w:pPr>
            <w:r>
              <w:rPr/>
              <w:t>​</w:t>
            </w:r>
          </w:p>
        </w:tc>
      </w:tr>
      <w:tr>
        <w:trPr/>
        <w:tc>
          <w:tcPr>
            <w:tcW w:w="1291" w:type="dxa"/>
            <w:tcBorders/>
            <w:vAlign w:val="center"/>
          </w:tcPr>
          <w:p>
            <w:pPr>
              <w:pStyle w:val="TableContents"/>
              <w:bidi w:val="0"/>
              <w:spacing w:before="0" w:after="0"/>
              <w:ind w:left="0" w:right="0" w:hanging="0"/>
              <w:jc w:val="left"/>
              <w:rPr/>
            </w:pPr>
            <w:r>
              <w:rPr/>
              <w:t>​</w:t>
            </w:r>
          </w:p>
        </w:tc>
        <w:tc>
          <w:tcPr>
            <w:tcW w:w="8281"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12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17.01 </w:t>
            </w:r>
          </w:p>
        </w:tc>
        <w:tc>
          <w:tcPr>
            <w:tcW w:w="82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Provisions Binding on Company’s Successors</w:t>
            </w:r>
          </w:p>
        </w:tc>
        <w:tc>
          <w:tcPr>
            <w:tcW w:w="46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12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17.02 </w:t>
            </w:r>
          </w:p>
        </w:tc>
        <w:tc>
          <w:tcPr>
            <w:tcW w:w="82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Official Acts by Successor Corporation</w:t>
            </w:r>
          </w:p>
        </w:tc>
        <w:tc>
          <w:tcPr>
            <w:tcW w:w="46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12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17.03 </w:t>
            </w:r>
          </w:p>
        </w:tc>
        <w:tc>
          <w:tcPr>
            <w:tcW w:w="82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Addresses for Notices, Etc.</w:t>
            </w:r>
          </w:p>
        </w:tc>
        <w:tc>
          <w:tcPr>
            <w:tcW w:w="46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12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17.04 </w:t>
            </w:r>
          </w:p>
        </w:tc>
        <w:tc>
          <w:tcPr>
            <w:tcW w:w="82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Governing Law; Jurisdiction</w:t>
            </w:r>
          </w:p>
        </w:tc>
        <w:tc>
          <w:tcPr>
            <w:tcW w:w="46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12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17.05 </w:t>
            </w:r>
          </w:p>
        </w:tc>
        <w:tc>
          <w:tcPr>
            <w:tcW w:w="82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Submission to Jurisdiction; Service of Process</w:t>
            </w:r>
          </w:p>
        </w:tc>
        <w:tc>
          <w:tcPr>
            <w:tcW w:w="46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12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17.06 </w:t>
            </w:r>
          </w:p>
        </w:tc>
        <w:tc>
          <w:tcPr>
            <w:tcW w:w="82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Evidence of Compliance with Conditions Precedent; Certificates and Opinions of Counsel to Trustee</w:t>
            </w:r>
          </w:p>
        </w:tc>
        <w:tc>
          <w:tcPr>
            <w:tcW w:w="46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12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17.07 </w:t>
            </w:r>
          </w:p>
        </w:tc>
        <w:tc>
          <w:tcPr>
            <w:tcW w:w="82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Legal Holidays</w:t>
            </w:r>
          </w:p>
        </w:tc>
        <w:tc>
          <w:tcPr>
            <w:tcW w:w="46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12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17.08 </w:t>
            </w:r>
          </w:p>
        </w:tc>
        <w:tc>
          <w:tcPr>
            <w:tcW w:w="82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No Security Interest Created</w:t>
            </w:r>
          </w:p>
        </w:tc>
        <w:tc>
          <w:tcPr>
            <w:tcW w:w="46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12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17.09 </w:t>
            </w:r>
          </w:p>
        </w:tc>
        <w:tc>
          <w:tcPr>
            <w:tcW w:w="82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Benefits of Indenture</w:t>
            </w:r>
          </w:p>
        </w:tc>
        <w:tc>
          <w:tcPr>
            <w:tcW w:w="46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12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17.10 </w:t>
            </w:r>
          </w:p>
        </w:tc>
        <w:tc>
          <w:tcPr>
            <w:tcW w:w="82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Table of Contents, Headings, Etc.</w:t>
            </w:r>
          </w:p>
        </w:tc>
        <w:tc>
          <w:tcPr>
            <w:tcW w:w="46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12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17.11 </w:t>
            </w:r>
          </w:p>
        </w:tc>
        <w:tc>
          <w:tcPr>
            <w:tcW w:w="82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Execution in Counterparts</w:t>
            </w:r>
          </w:p>
        </w:tc>
        <w:tc>
          <w:tcPr>
            <w:tcW w:w="46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12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17.12 </w:t>
            </w:r>
          </w:p>
        </w:tc>
        <w:tc>
          <w:tcPr>
            <w:tcW w:w="82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Severability</w:t>
            </w:r>
          </w:p>
        </w:tc>
        <w:tc>
          <w:tcPr>
            <w:tcW w:w="46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12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17.13 </w:t>
            </w:r>
          </w:p>
        </w:tc>
        <w:tc>
          <w:tcPr>
            <w:tcW w:w="82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Waiver of Jury Trial</w:t>
            </w:r>
          </w:p>
        </w:tc>
        <w:tc>
          <w:tcPr>
            <w:tcW w:w="46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12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17.14 </w:t>
            </w:r>
          </w:p>
        </w:tc>
        <w:tc>
          <w:tcPr>
            <w:tcW w:w="82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Force Majeure</w:t>
            </w:r>
          </w:p>
        </w:tc>
        <w:tc>
          <w:tcPr>
            <w:tcW w:w="46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12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17.15 </w:t>
            </w:r>
          </w:p>
        </w:tc>
        <w:tc>
          <w:tcPr>
            <w:tcW w:w="82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Calculations</w:t>
            </w:r>
          </w:p>
        </w:tc>
        <w:tc>
          <w:tcPr>
            <w:tcW w:w="46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12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Section 17.16 </w:t>
            </w:r>
          </w:p>
        </w:tc>
        <w:tc>
          <w:tcPr>
            <w:tcW w:w="82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Patriot Act</w:t>
            </w:r>
          </w:p>
        </w:tc>
        <w:tc>
          <w:tcPr>
            <w:tcW w:w="46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1291" w:type="dxa"/>
            <w:tcBorders/>
            <w:vAlign w:val="center"/>
          </w:tcPr>
          <w:p>
            <w:pPr>
              <w:pStyle w:val="TableContents"/>
              <w:bidi w:val="0"/>
              <w:spacing w:before="0" w:after="0"/>
              <w:ind w:left="0" w:right="0" w:hanging="0"/>
              <w:jc w:val="left"/>
              <w:rPr/>
            </w:pPr>
            <w:r>
              <w:rPr/>
              <w:t>​</w:t>
            </w:r>
          </w:p>
        </w:tc>
        <w:tc>
          <w:tcPr>
            <w:tcW w:w="828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1291" w:type="dxa"/>
            <w:tcBorders/>
            <w:vAlign w:val="center"/>
          </w:tcPr>
          <w:p>
            <w:pPr>
              <w:pStyle w:val="TableContents"/>
              <w:bidi w:val="0"/>
              <w:spacing w:before="0" w:after="0"/>
              <w:ind w:left="0" w:right="0" w:hanging="0"/>
              <w:jc w:val="left"/>
              <w:rPr/>
            </w:pPr>
            <w:r>
              <w:rPr/>
              <w:t>​</w:t>
            </w:r>
          </w:p>
        </w:tc>
        <w:tc>
          <w:tcPr>
            <w:tcW w:w="82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466" w:type="dxa"/>
            <w:tcBorders/>
            <w:vAlign w:val="center"/>
          </w:tcPr>
          <w:p>
            <w:pPr>
              <w:pStyle w:val="TableContents"/>
              <w:bidi w:val="0"/>
              <w:spacing w:before="0" w:after="0"/>
              <w:ind w:left="0" w:right="0" w:hanging="0"/>
              <w:jc w:val="right"/>
              <w:rPr/>
            </w:pPr>
            <w:r>
              <w:rPr/>
              <w:t>​</w:t>
            </w:r>
          </w:p>
        </w:tc>
      </w:tr>
      <w:tr>
        <w:trPr/>
        <w:tc>
          <w:tcPr>
            <w:tcW w:w="12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Exhibit A</w:t>
            </w:r>
          </w:p>
        </w:tc>
        <w:tc>
          <w:tcPr>
            <w:tcW w:w="82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Form of Note</w:t>
            </w:r>
          </w:p>
        </w:tc>
        <w:tc>
          <w:tcPr>
            <w:tcW w:w="46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A-1</w:t>
            </w:r>
          </w:p>
        </w:tc>
      </w:tr>
      <w:tr>
        <w:trPr/>
        <w:tc>
          <w:tcPr>
            <w:tcW w:w="129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Exhibit B</w:t>
            </w:r>
          </w:p>
        </w:tc>
        <w:tc>
          <w:tcPr>
            <w:tcW w:w="82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Form of Authorization Certificate</w:t>
            </w:r>
          </w:p>
        </w:tc>
        <w:tc>
          <w:tcPr>
            <w:tcW w:w="466"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B-1</w:t>
            </w:r>
          </w:p>
        </w:tc>
      </w:tr>
    </w:tbl>
    <w:p>
      <w:pPr>
        <w:pStyle w:val="TextBody"/>
        <w:bidi w:val="0"/>
        <w:spacing w:before="0" w:after="0"/>
        <w:ind w:left="0" w:right="0" w:hanging="0"/>
        <w:jc w:val="left"/>
        <w:rPr/>
      </w:pPr>
      <w:r>
        <w:rPr/>
        <w:t>​</w:t>
      </w:r>
    </w:p>
    <w:p>
      <w:pPr>
        <w:pStyle w:val="TextBody"/>
        <w:bidi w:val="0"/>
        <w:spacing w:before="0" w:after="200"/>
        <w:ind w:left="1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INDENTURE dated as of September 22, 2023 between NIO INC., a Cayman Islands exempted company, as issuer (the “</w:t>
      </w:r>
      <w:r>
        <w:rPr>
          <w:rFonts w:ascii="Times New Roman;Times;serif" w:hAnsi="Times New Roman;Times;serif"/>
          <w:b/>
          <w:sz w:val="20"/>
        </w:rPr>
        <w:t>Company</w:t>
      </w:r>
      <w:r>
        <w:rPr>
          <w:rFonts w:ascii="Times New Roman;Times;serif" w:hAnsi="Times New Roman;Times;serif"/>
          <w:sz w:val="20"/>
        </w:rPr>
        <w:t>,” as more fully set forth in Section 1.01) and DEUTSCHE BANK TRUST COMPANY AMERICAS, a New York banking corporation, as trustee (the “</w:t>
      </w:r>
      <w:r>
        <w:rPr>
          <w:rFonts w:ascii="Times New Roman;Times;serif" w:hAnsi="Times New Roman;Times;serif"/>
          <w:b/>
          <w:sz w:val="20"/>
        </w:rPr>
        <w:t>Trustee</w:t>
      </w:r>
      <w:r>
        <w:rPr>
          <w:rFonts w:ascii="Times New Roman;Times;serif" w:hAnsi="Times New Roman;Times;serif"/>
          <w:sz w:val="20"/>
        </w:rPr>
        <w:t>,” as more fully set forth in Section 1.01).</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W I T N E S S E T H:</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WHEREAS, for its lawful corporate purposes, the Company has duly authorized the issuance of its 3.875% Convertible Senior Notes due 2029 (the “</w:t>
      </w:r>
      <w:r>
        <w:rPr>
          <w:rFonts w:ascii="Times New Roman;Times;serif" w:hAnsi="Times New Roman;Times;serif"/>
          <w:b/>
          <w:sz w:val="20"/>
        </w:rPr>
        <w:t>Notes</w:t>
      </w:r>
      <w:r>
        <w:rPr>
          <w:rFonts w:ascii="Times New Roman;Times;serif" w:hAnsi="Times New Roman;Times;serif"/>
          <w:sz w:val="20"/>
        </w:rPr>
        <w:t>”), initially in an aggregate principal amount not to exceed US$500,000,000 (as increased by an amount equal to the aggregate principal amount of any additional Notes purchased by the Initial Purchasers pursuant to the exercise of their option to purchase additional Notes as set forth in the Purchase Agreement), subject to Section 2.10, and in order to provide the terms and conditions upon which the Notes are to be authenticated, issued and delivered, the Company has duly authorized the execution and delivery of this Indenture; and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WHEREAS, the Form of Note, the certificate of authentication to be borne by each Note, the Form of Notice of Conversion, the Form of Fundamental Change Repurchase Notice, the Form of Repurchase Notice and the Form of Assignment and Transfer to be borne by the Notes are to be substantially in the forms hereinafter provided; and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WHEREAS, all acts and things necessary to make the Notes, when executed by the Company and authenticated and delivered by the Trustee,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NOW, THEREFORE, THIS INDENTURE WITNESSETH:</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1</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DEFINITIONS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1.01</w:t>
      </w:r>
      <w:r>
        <w:rPr>
          <w:rFonts w:ascii="Times New Roman;Times;serif" w:hAnsi="Times New Roman;Times;serif"/>
          <w:i/>
          <w:sz w:val="20"/>
        </w:rPr>
        <w:t>Definitions</w:t>
      </w:r>
      <w:r>
        <w:rPr>
          <w:rFonts w:ascii="Times New Roman;Times;serif" w:hAnsi="Times New Roman;Times;serif"/>
          <w:sz w:val="20"/>
        </w:rPr>
        <w:t>.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pStyle w:val="TextBody"/>
        <w:bidi w:val="0"/>
        <w:spacing w:before="0" w:after="200"/>
        <w:ind w:left="720" w:right="0" w:hanging="0"/>
        <w:jc w:val="left"/>
        <w:rPr/>
      </w:pPr>
      <w:r>
        <w:rPr/>
        <w:t>“</w:t>
      </w:r>
      <w:r>
        <w:rPr>
          <w:rFonts w:ascii="Times New Roman;Times;serif" w:hAnsi="Times New Roman;Times;serif"/>
          <w:b/>
          <w:sz w:val="20"/>
        </w:rPr>
        <w:t>Additional ADSs</w:t>
      </w:r>
      <w:r>
        <w:rPr>
          <w:rFonts w:ascii="Times New Roman;Times;serif" w:hAnsi="Times New Roman;Times;serif"/>
          <w:sz w:val="20"/>
        </w:rPr>
        <w:t>” shall have the meaning specified in Section 14.03(a).</w:t>
      </w:r>
    </w:p>
    <w:p>
      <w:pPr>
        <w:pStyle w:val="TextBody"/>
        <w:bidi w:val="0"/>
        <w:spacing w:before="0" w:after="200"/>
        <w:ind w:left="720" w:right="0" w:hanging="0"/>
        <w:jc w:val="left"/>
        <w:rPr/>
      </w:pPr>
      <w:r>
        <w:rPr/>
        <w:t>“</w:t>
      </w:r>
      <w:r>
        <w:rPr>
          <w:rFonts w:ascii="Times New Roman;Times;serif" w:hAnsi="Times New Roman;Times;serif"/>
          <w:b/>
          <w:sz w:val="20"/>
        </w:rPr>
        <w:t>Additional Amounts</w:t>
      </w:r>
      <w:r>
        <w:rPr>
          <w:rFonts w:ascii="Times New Roman;Times;serif" w:hAnsi="Times New Roman;Times;serif"/>
          <w:sz w:val="20"/>
        </w:rPr>
        <w:t>” shall have the meaning specified in Section 4.07(a).</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firstLine="720"/>
        <w:jc w:val="left"/>
        <w:rPr/>
      </w:pPr>
      <w:r>
        <w:rPr/>
        <w:t>“</w:t>
      </w:r>
      <w:r>
        <w:rPr>
          <w:rFonts w:ascii="Times New Roman;Times;serif" w:hAnsi="Times New Roman;Times;serif"/>
          <w:b/>
          <w:sz w:val="20"/>
        </w:rPr>
        <w:t>Additional Interest</w:t>
      </w:r>
      <w:r>
        <w:rPr>
          <w:rFonts w:ascii="Times New Roman;Times;serif" w:hAnsi="Times New Roman;Times;serif"/>
          <w:sz w:val="20"/>
        </w:rPr>
        <w:t>” means all amounts, if any, payable pursuant to Section 4.06(d), Section 4.06(e) and Section 6.03, as applicable.</w:t>
      </w:r>
    </w:p>
    <w:p>
      <w:pPr>
        <w:pStyle w:val="TextBody"/>
        <w:bidi w:val="0"/>
        <w:spacing w:before="0" w:after="200"/>
        <w:ind w:left="0" w:right="0" w:firstLine="720"/>
        <w:jc w:val="left"/>
        <w:rPr/>
      </w:pPr>
      <w:r>
        <w:rPr/>
        <w:t>“</w:t>
      </w:r>
      <w:r>
        <w:rPr>
          <w:rFonts w:ascii="Times New Roman;Times;serif" w:hAnsi="Times New Roman;Times;serif"/>
          <w:b/>
          <w:sz w:val="20"/>
        </w:rPr>
        <w:t>ADS</w:t>
      </w:r>
      <w:r>
        <w:rPr>
          <w:rFonts w:ascii="Times New Roman;Times;serif" w:hAnsi="Times New Roman;Times;serif"/>
          <w:sz w:val="20"/>
        </w:rPr>
        <w:t>” means an American Depositary Share, issued pursuant to the Unrestricted Deposit Agreement or Restricted Deposit Agreement, as applicable, and the Procedures Letter representing one Ordinary Share of the Company as of the date of this Indenture, and deposited with the ADS Custodian.</w:t>
      </w:r>
    </w:p>
    <w:p>
      <w:pPr>
        <w:pStyle w:val="TextBody"/>
        <w:bidi w:val="0"/>
        <w:spacing w:before="0" w:after="200"/>
        <w:ind w:left="0" w:right="0" w:firstLine="720"/>
        <w:jc w:val="left"/>
        <w:rPr/>
      </w:pPr>
      <w:r>
        <w:rPr/>
        <w:t>“</w:t>
      </w:r>
      <w:r>
        <w:rPr>
          <w:rFonts w:ascii="Times New Roman;Times;serif" w:hAnsi="Times New Roman;Times;serif"/>
          <w:b/>
          <w:sz w:val="20"/>
        </w:rPr>
        <w:t>ADS Custodian</w:t>
      </w:r>
      <w:r>
        <w:rPr>
          <w:rFonts w:ascii="Times New Roman;Times;serif" w:hAnsi="Times New Roman;Times;serif"/>
          <w:sz w:val="20"/>
        </w:rPr>
        <w:t>” means Deutsche Bank AG, Hong Kong Branch, with respect to the ADSs delivered pursuant to the Unrestricted Deposit Agreement or the Restricted Deposit Agreement, as applicable, and the Procedures Letter or any successor entity thereto.</w:t>
      </w:r>
    </w:p>
    <w:p>
      <w:pPr>
        <w:pStyle w:val="TextBody"/>
        <w:bidi w:val="0"/>
        <w:spacing w:before="0" w:after="200"/>
        <w:ind w:left="0" w:right="0" w:firstLine="720"/>
        <w:jc w:val="left"/>
        <w:rPr/>
      </w:pPr>
      <w:r>
        <w:rPr/>
        <w:t>“</w:t>
      </w:r>
      <w:r>
        <w:rPr>
          <w:rFonts w:ascii="Times New Roman;Times;serif" w:hAnsi="Times New Roman;Times;serif"/>
          <w:b/>
          <w:sz w:val="20"/>
        </w:rPr>
        <w:t>ADS Depositary</w:t>
      </w:r>
      <w:r>
        <w:rPr>
          <w:rFonts w:ascii="Times New Roman;Times;serif" w:hAnsi="Times New Roman;Times;serif"/>
          <w:sz w:val="20"/>
        </w:rPr>
        <w:t>” means Deutsche Bank Trust Company Americas, as depositary for the ADSs, or any successor entity thereto.</w:t>
      </w:r>
    </w:p>
    <w:p>
      <w:pPr>
        <w:pStyle w:val="TextBody"/>
        <w:bidi w:val="0"/>
        <w:spacing w:before="0" w:after="200"/>
        <w:ind w:left="0" w:right="0" w:firstLine="720"/>
        <w:jc w:val="left"/>
        <w:rPr/>
      </w:pPr>
      <w:r>
        <w:rPr/>
        <w:t>“</w:t>
      </w:r>
      <w:r>
        <w:rPr>
          <w:rFonts w:ascii="Times New Roman;Times;serif" w:hAnsi="Times New Roman;Times;serif"/>
          <w:b/>
          <w:sz w:val="20"/>
        </w:rPr>
        <w:t>ADS Price</w:t>
      </w:r>
      <w:r>
        <w:rPr>
          <w:rFonts w:ascii="Times New Roman;Times;serif" w:hAnsi="Times New Roman;Times;serif"/>
          <w:sz w:val="20"/>
        </w:rPr>
        <w:t>” shall have the meaning specified in Section 14.03(c).</w:t>
      </w:r>
    </w:p>
    <w:p>
      <w:pPr>
        <w:pStyle w:val="TextBody"/>
        <w:bidi w:val="0"/>
        <w:spacing w:before="0" w:after="200"/>
        <w:ind w:left="0" w:right="0" w:firstLine="720"/>
        <w:jc w:val="left"/>
        <w:rPr/>
      </w:pPr>
      <w:r>
        <w:rPr/>
        <w:t>“</w:t>
      </w:r>
      <w:r>
        <w:rPr>
          <w:rFonts w:ascii="Times New Roman;Times;serif" w:hAnsi="Times New Roman;Times;serif"/>
          <w:b/>
          <w:sz w:val="20"/>
        </w:rPr>
        <w:t>Affiliate</w:t>
      </w:r>
      <w:r>
        <w:rPr>
          <w:rFonts w:ascii="Times New Roman;Times;serif" w:hAnsi="Times New Roman;Times;serif"/>
          <w:sz w:val="20"/>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before="0" w:after="200"/>
        <w:ind w:left="0" w:right="0" w:firstLine="720"/>
        <w:jc w:val="left"/>
        <w:rPr/>
      </w:pPr>
      <w:r>
        <w:rPr/>
        <w:t>“</w:t>
      </w:r>
      <w:r>
        <w:rPr>
          <w:rFonts w:ascii="Times New Roman;Times;serif" w:hAnsi="Times New Roman;Times;serif"/>
          <w:b/>
          <w:sz w:val="20"/>
        </w:rPr>
        <w:t>Agents</w:t>
      </w:r>
      <w:r>
        <w:rPr>
          <w:rFonts w:ascii="Times New Roman;Times;serif" w:hAnsi="Times New Roman;Times;serif"/>
          <w:sz w:val="20"/>
        </w:rPr>
        <w:t>” means the Paying Agent, the Transfer Agent, the Note Registrar and the Conversion Agent, in each case, unless the Company is acting in such capacity.</w:t>
      </w:r>
    </w:p>
    <w:p>
      <w:pPr>
        <w:pStyle w:val="TextBody"/>
        <w:bidi w:val="0"/>
        <w:spacing w:before="0" w:after="200"/>
        <w:ind w:left="0" w:right="0" w:firstLine="720"/>
        <w:jc w:val="left"/>
        <w:rPr/>
      </w:pPr>
      <w:r>
        <w:rPr/>
        <w:t>“</w:t>
      </w:r>
      <w:r>
        <w:rPr>
          <w:rFonts w:ascii="Times New Roman;Times;serif" w:hAnsi="Times New Roman;Times;serif"/>
          <w:b/>
          <w:sz w:val="20"/>
        </w:rPr>
        <w:t>Applicable PRC Rate</w:t>
      </w:r>
      <w:r>
        <w:rPr>
          <w:rFonts w:ascii="Times New Roman;Times;serif" w:hAnsi="Times New Roman;Times;serif"/>
          <w:sz w:val="20"/>
        </w:rPr>
        <w:t>” means (i) in the case of deduction or withholding of People’s Republic of China income tax, 10%, (ii) in the case of deduction or withholding of, or reduction for, People’s Republic of China value added tax (including any related local levies), 6.72%, or (iii) in the case of deduction or withholding of, or reduction for, both People’s Republic of China income tax and People’s Republic of China value added tax (including any related local levies), 16.72%.</w:t>
      </w:r>
    </w:p>
    <w:p>
      <w:pPr>
        <w:pStyle w:val="TextBody"/>
        <w:bidi w:val="0"/>
        <w:spacing w:before="0" w:after="200"/>
        <w:ind w:left="0" w:right="0" w:firstLine="720"/>
        <w:jc w:val="left"/>
        <w:rPr/>
      </w:pPr>
      <w:r>
        <w:rPr/>
        <w:t>“</w:t>
      </w:r>
      <w:r>
        <w:rPr>
          <w:rFonts w:ascii="Times New Roman;Times;serif" w:hAnsi="Times New Roman;Times;serif"/>
          <w:b/>
          <w:sz w:val="20"/>
        </w:rPr>
        <w:t>applicable taxes</w:t>
      </w:r>
      <w:r>
        <w:rPr>
          <w:rFonts w:ascii="Times New Roman;Times;serif" w:hAnsi="Times New Roman;Times;serif"/>
          <w:sz w:val="20"/>
        </w:rPr>
        <w:t>” shall have the meaning specified in Section 4.07(a).</w:t>
      </w:r>
    </w:p>
    <w:p>
      <w:pPr>
        <w:pStyle w:val="TextBody"/>
        <w:bidi w:val="0"/>
        <w:spacing w:before="0" w:after="200"/>
        <w:ind w:left="0" w:right="0" w:firstLine="720"/>
        <w:jc w:val="left"/>
        <w:rPr/>
      </w:pPr>
      <w:r>
        <w:rPr/>
        <w:t>“</w:t>
      </w:r>
      <w:r>
        <w:rPr>
          <w:rFonts w:ascii="Times New Roman;Times;serif" w:hAnsi="Times New Roman;Times;serif"/>
          <w:b/>
          <w:sz w:val="20"/>
        </w:rPr>
        <w:t>Authenticating Agent</w:t>
      </w:r>
      <w:r>
        <w:rPr>
          <w:rFonts w:ascii="Times New Roman;Times;serif" w:hAnsi="Times New Roman;Times;serif"/>
          <w:sz w:val="20"/>
        </w:rPr>
        <w:t>” shall have the meaning specified in Section 2.11.</w:t>
      </w:r>
    </w:p>
    <w:p>
      <w:pPr>
        <w:pStyle w:val="TextBody"/>
        <w:bidi w:val="0"/>
        <w:spacing w:before="0" w:after="200"/>
        <w:ind w:left="0" w:right="0" w:firstLine="720"/>
        <w:jc w:val="left"/>
        <w:rPr/>
      </w:pPr>
      <w:r>
        <w:rPr/>
        <w:t>“</w:t>
      </w:r>
      <w:r>
        <w:rPr>
          <w:rFonts w:ascii="Times New Roman;Times;serif" w:hAnsi="Times New Roman;Times;serif"/>
          <w:b/>
          <w:sz w:val="20"/>
        </w:rPr>
        <w:t>Board of Directors</w:t>
      </w:r>
      <w:r>
        <w:rPr>
          <w:rFonts w:ascii="Times New Roman;Times;serif" w:hAnsi="Times New Roman;Times;serif"/>
          <w:sz w:val="20"/>
        </w:rPr>
        <w:t>” means the board of directors of the Company or a committee of such board duly authorized to act for it hereunder.</w:t>
      </w:r>
    </w:p>
    <w:p>
      <w:pPr>
        <w:pStyle w:val="TextBody"/>
        <w:bidi w:val="0"/>
        <w:spacing w:before="0" w:after="200"/>
        <w:ind w:left="0" w:right="0" w:firstLine="720"/>
        <w:jc w:val="left"/>
        <w:rPr/>
      </w:pPr>
      <w:r>
        <w:rPr/>
        <w:t>“</w:t>
      </w:r>
      <w:r>
        <w:rPr>
          <w:rFonts w:ascii="Times New Roman;Times;serif" w:hAnsi="Times New Roman;Times;serif"/>
          <w:b/>
          <w:sz w:val="20"/>
        </w:rPr>
        <w:t>Board Resolution</w:t>
      </w:r>
      <w:r>
        <w:rPr>
          <w:rFonts w:ascii="Times New Roman;Times;serif" w:hAnsi="Times New Roman;Times;serif"/>
          <w:sz w:val="20"/>
        </w:rPr>
        <w:t>” means a copy of a resolution certified by the Secretary or an Assistant Secretary of the Company to have been duly adopted by the Board of Directors, and to be in full force and effect on the date of such certification, and delivered to the Trustee.</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firstLine="720"/>
        <w:jc w:val="left"/>
        <w:rPr/>
      </w:pPr>
      <w:r>
        <w:rPr/>
        <w:t>“</w:t>
      </w:r>
      <w:r>
        <w:rPr>
          <w:rFonts w:ascii="Times New Roman;Times;serif" w:hAnsi="Times New Roman;Times;serif"/>
          <w:b/>
          <w:sz w:val="20"/>
        </w:rPr>
        <w:t>Business Day</w:t>
      </w:r>
      <w:r>
        <w:rPr>
          <w:rFonts w:ascii="Times New Roman;Times;serif" w:hAnsi="Times New Roman;Times;serif"/>
          <w:sz w:val="20"/>
        </w:rPr>
        <w:t>” means, with respect to any Note, each Monday, Tuesday, Wednesday, Thursday and Friday that is not a day on which banking institutions in the State of New York are authorized or obligated by law or executive order to close.</w:t>
      </w:r>
    </w:p>
    <w:p>
      <w:pPr>
        <w:pStyle w:val="TextBody"/>
        <w:bidi w:val="0"/>
        <w:spacing w:before="0" w:after="200"/>
        <w:ind w:left="0" w:right="0" w:firstLine="720"/>
        <w:jc w:val="left"/>
        <w:rPr/>
      </w:pPr>
      <w:r>
        <w:rPr/>
        <w:t>“</w:t>
      </w:r>
      <w:r>
        <w:rPr>
          <w:rFonts w:ascii="Times New Roman;Times;serif" w:hAnsi="Times New Roman;Times;serif"/>
          <w:b/>
          <w:sz w:val="20"/>
        </w:rPr>
        <w:t>Capital Stock</w:t>
      </w:r>
      <w:r>
        <w:rPr>
          <w:rFonts w:ascii="Times New Roman;Times;serif" w:hAnsi="Times New Roman;Times;serif"/>
          <w:sz w:val="20"/>
        </w:rPr>
        <w:t>” means, for any entity, any and all shares, interests, rights to purchase, warrants, options, participations or other equivalents of or interests in (however designated) stock issued by that entity.</w:t>
      </w:r>
    </w:p>
    <w:p>
      <w:pPr>
        <w:pStyle w:val="TextBody"/>
        <w:bidi w:val="0"/>
        <w:spacing w:before="0" w:after="200"/>
        <w:ind w:left="0" w:right="0" w:firstLine="720"/>
        <w:jc w:val="left"/>
        <w:rPr/>
      </w:pPr>
      <w:r>
        <w:rPr/>
        <w:t>“</w:t>
      </w:r>
      <w:r>
        <w:rPr>
          <w:rFonts w:ascii="Times New Roman;Times;serif" w:hAnsi="Times New Roman;Times;serif"/>
          <w:b/>
          <w:sz w:val="20"/>
        </w:rPr>
        <w:t xml:space="preserve">Cash Settlement” </w:t>
      </w:r>
      <w:r>
        <w:rPr>
          <w:rFonts w:ascii="Times New Roman;Times;serif" w:hAnsi="Times New Roman;Times;serif"/>
          <w:sz w:val="20"/>
        </w:rPr>
        <w:t>shall have the meaning specified in Section 14.02(a).</w:t>
      </w:r>
    </w:p>
    <w:p>
      <w:pPr>
        <w:pStyle w:val="TextBody"/>
        <w:bidi w:val="0"/>
        <w:spacing w:before="0" w:after="200"/>
        <w:ind w:left="0" w:right="0" w:firstLine="720"/>
        <w:jc w:val="left"/>
        <w:rPr/>
      </w:pPr>
      <w:r>
        <w:rPr/>
        <w:t>“</w:t>
      </w:r>
      <w:r>
        <w:rPr>
          <w:rFonts w:ascii="Times New Roman;Times;serif" w:hAnsi="Times New Roman;Times;serif"/>
          <w:b/>
          <w:sz w:val="20"/>
        </w:rPr>
        <w:t>Change in Tax Law</w:t>
      </w:r>
      <w:r>
        <w:rPr>
          <w:rFonts w:ascii="Times New Roman;Times;serif" w:hAnsi="Times New Roman;Times;serif"/>
          <w:sz w:val="20"/>
        </w:rPr>
        <w:t>” shall have the meaning specified in Section 16.01.</w:t>
      </w:r>
    </w:p>
    <w:p>
      <w:pPr>
        <w:pStyle w:val="TextBody"/>
        <w:bidi w:val="0"/>
        <w:spacing w:before="0" w:after="200"/>
        <w:ind w:left="0" w:right="0" w:firstLine="720"/>
        <w:jc w:val="left"/>
        <w:rPr/>
      </w:pPr>
      <w:r>
        <w:rPr/>
        <w:t>“</w:t>
      </w:r>
      <w:r>
        <w:rPr>
          <w:rFonts w:ascii="Times New Roman;Times;serif" w:hAnsi="Times New Roman;Times;serif"/>
          <w:b/>
          <w:sz w:val="20"/>
        </w:rPr>
        <w:t>Clause A Distribution</w:t>
      </w:r>
      <w:r>
        <w:rPr>
          <w:rFonts w:ascii="Times New Roman;Times;serif" w:hAnsi="Times New Roman;Times;serif"/>
          <w:sz w:val="20"/>
        </w:rPr>
        <w:t xml:space="preserve">” shall have the meaning specified in Section 14.04(c). </w:t>
      </w:r>
    </w:p>
    <w:p>
      <w:pPr>
        <w:pStyle w:val="TextBody"/>
        <w:bidi w:val="0"/>
        <w:spacing w:before="0" w:after="200"/>
        <w:ind w:left="0" w:right="0" w:firstLine="720"/>
        <w:jc w:val="left"/>
        <w:rPr/>
      </w:pPr>
      <w:r>
        <w:rPr/>
        <w:t>“</w:t>
      </w:r>
      <w:r>
        <w:rPr>
          <w:rFonts w:ascii="Times New Roman;Times;serif" w:hAnsi="Times New Roman;Times;serif"/>
          <w:b/>
          <w:sz w:val="20"/>
        </w:rPr>
        <w:t>Clause B Distribution</w:t>
      </w:r>
      <w:r>
        <w:rPr>
          <w:rFonts w:ascii="Times New Roman;Times;serif" w:hAnsi="Times New Roman;Times;serif"/>
          <w:sz w:val="20"/>
        </w:rPr>
        <w:t xml:space="preserve">” shall have the meaning specified in Section 14.04(c). </w:t>
      </w:r>
    </w:p>
    <w:p>
      <w:pPr>
        <w:pStyle w:val="TextBody"/>
        <w:bidi w:val="0"/>
        <w:spacing w:before="0" w:after="200"/>
        <w:ind w:left="0" w:right="0" w:firstLine="720"/>
        <w:jc w:val="left"/>
        <w:rPr/>
      </w:pPr>
      <w:r>
        <w:rPr/>
        <w:t>“</w:t>
      </w:r>
      <w:r>
        <w:rPr>
          <w:rFonts w:ascii="Times New Roman;Times;serif" w:hAnsi="Times New Roman;Times;serif"/>
          <w:b/>
          <w:sz w:val="20"/>
        </w:rPr>
        <w:t>Clause C Distribution</w:t>
      </w:r>
      <w:r>
        <w:rPr>
          <w:rFonts w:ascii="Times New Roman;Times;serif" w:hAnsi="Times New Roman;Times;serif"/>
          <w:sz w:val="20"/>
        </w:rPr>
        <w:t>” shall have the meaning specified in Section 14.04(c).</w:t>
      </w:r>
    </w:p>
    <w:p>
      <w:pPr>
        <w:pStyle w:val="TextBody"/>
        <w:bidi w:val="0"/>
        <w:spacing w:before="0" w:after="200"/>
        <w:ind w:left="0" w:right="0" w:firstLine="720"/>
        <w:jc w:val="left"/>
        <w:rPr/>
      </w:pPr>
      <w:r>
        <w:rPr/>
        <w:t>“</w:t>
      </w:r>
      <w:r>
        <w:rPr>
          <w:rFonts w:ascii="Times New Roman;Times;serif" w:hAnsi="Times New Roman;Times;serif"/>
          <w:b/>
          <w:sz w:val="20"/>
        </w:rPr>
        <w:t>Cleanup Redemption</w:t>
      </w:r>
      <w:r>
        <w:rPr>
          <w:rFonts w:ascii="Times New Roman;Times;serif" w:hAnsi="Times New Roman;Times;serif"/>
          <w:sz w:val="20"/>
        </w:rPr>
        <w:t>” shall have the meaning specified in Section 16.03(a).</w:t>
      </w:r>
    </w:p>
    <w:p>
      <w:pPr>
        <w:pStyle w:val="TextBody"/>
        <w:bidi w:val="0"/>
        <w:spacing w:before="0" w:after="200"/>
        <w:ind w:left="0" w:right="0" w:firstLine="720"/>
        <w:jc w:val="left"/>
        <w:rPr/>
      </w:pPr>
      <w:r>
        <w:rPr/>
        <w:t>“</w:t>
      </w:r>
      <w:r>
        <w:rPr>
          <w:rFonts w:ascii="Times New Roman;Times;serif" w:hAnsi="Times New Roman;Times;serif"/>
          <w:b/>
          <w:sz w:val="20"/>
        </w:rPr>
        <w:t>Cleanup Redemption Date</w:t>
      </w:r>
      <w:r>
        <w:rPr>
          <w:rFonts w:ascii="Times New Roman;Times;serif" w:hAnsi="Times New Roman;Times;serif"/>
          <w:sz w:val="20"/>
        </w:rPr>
        <w:t>” shall have the meaning specified in Section 16.03(a).</w:t>
      </w:r>
    </w:p>
    <w:p>
      <w:pPr>
        <w:pStyle w:val="TextBody"/>
        <w:bidi w:val="0"/>
        <w:spacing w:before="0" w:after="200"/>
        <w:ind w:left="0" w:right="0" w:firstLine="720"/>
        <w:jc w:val="left"/>
        <w:rPr/>
      </w:pPr>
      <w:r>
        <w:rPr/>
        <w:t>“</w:t>
      </w:r>
      <w:r>
        <w:rPr>
          <w:rFonts w:ascii="Times New Roman;Times;serif" w:hAnsi="Times New Roman;Times;serif"/>
          <w:b/>
          <w:sz w:val="20"/>
        </w:rPr>
        <w:t>Cleanup Redemption Notice</w:t>
      </w:r>
      <w:r>
        <w:rPr>
          <w:rFonts w:ascii="Times New Roman;Times;serif" w:hAnsi="Times New Roman;Times;serif"/>
          <w:sz w:val="20"/>
        </w:rPr>
        <w:t>” shall have the meaning specified in Section 16.03(b).</w:t>
      </w:r>
    </w:p>
    <w:p>
      <w:pPr>
        <w:pStyle w:val="TextBody"/>
        <w:bidi w:val="0"/>
        <w:spacing w:before="0" w:after="200"/>
        <w:ind w:left="0" w:right="0" w:firstLine="720"/>
        <w:jc w:val="left"/>
        <w:rPr/>
      </w:pPr>
      <w:r>
        <w:rPr/>
        <w:t>“</w:t>
      </w:r>
      <w:r>
        <w:rPr>
          <w:rFonts w:ascii="Times New Roman;Times;serif" w:hAnsi="Times New Roman;Times;serif"/>
          <w:b/>
          <w:sz w:val="20"/>
        </w:rPr>
        <w:t>Cleanup Redemption Price</w:t>
      </w:r>
      <w:r>
        <w:rPr>
          <w:rFonts w:ascii="Times New Roman;Times;serif" w:hAnsi="Times New Roman;Times;serif"/>
          <w:sz w:val="20"/>
        </w:rPr>
        <w:t>” shall have the meaning specified in Section 16.03(b).</w:t>
      </w:r>
    </w:p>
    <w:p>
      <w:pPr>
        <w:pStyle w:val="TextBody"/>
        <w:bidi w:val="0"/>
        <w:spacing w:before="0" w:after="200"/>
        <w:ind w:left="0" w:right="0" w:firstLine="720"/>
        <w:jc w:val="left"/>
        <w:rPr/>
      </w:pPr>
      <w:r>
        <w:rPr/>
        <w:t>“</w:t>
      </w:r>
      <w:r>
        <w:rPr>
          <w:rFonts w:ascii="Times New Roman;Times;serif" w:hAnsi="Times New Roman;Times;serif"/>
          <w:b/>
          <w:sz w:val="20"/>
        </w:rPr>
        <w:t>close of business</w:t>
      </w:r>
      <w:r>
        <w:rPr>
          <w:rFonts w:ascii="Times New Roman;Times;serif" w:hAnsi="Times New Roman;Times;serif"/>
          <w:sz w:val="20"/>
        </w:rPr>
        <w:t>” means 5:00 p.m. (New York City time).</w:t>
      </w:r>
    </w:p>
    <w:p>
      <w:pPr>
        <w:pStyle w:val="TextBody"/>
        <w:bidi w:val="0"/>
        <w:spacing w:before="0" w:after="200"/>
        <w:ind w:left="0" w:right="0" w:firstLine="720"/>
        <w:jc w:val="left"/>
        <w:rPr/>
      </w:pPr>
      <w:r>
        <w:rPr/>
        <w:t>“</w:t>
      </w:r>
      <w:r>
        <w:rPr>
          <w:rFonts w:ascii="Times New Roman;Times;serif" w:hAnsi="Times New Roman;Times;serif"/>
          <w:b/>
          <w:sz w:val="20"/>
        </w:rPr>
        <w:t>Code</w:t>
      </w:r>
      <w:r>
        <w:rPr>
          <w:rFonts w:ascii="Times New Roman;Times;serif" w:hAnsi="Times New Roman;Times;serif"/>
          <w:sz w:val="20"/>
        </w:rPr>
        <w:t>” means the U.S. Internal Revenue Code of 1986, as amended.</w:t>
      </w:r>
    </w:p>
    <w:p>
      <w:pPr>
        <w:pStyle w:val="TextBody"/>
        <w:bidi w:val="0"/>
        <w:spacing w:before="0" w:after="200"/>
        <w:ind w:left="0" w:right="0" w:firstLine="720"/>
        <w:jc w:val="left"/>
        <w:rPr/>
      </w:pPr>
      <w:r>
        <w:rPr/>
        <w:t>“</w:t>
      </w:r>
      <w:r>
        <w:rPr>
          <w:rFonts w:ascii="Times New Roman;Times;serif" w:hAnsi="Times New Roman;Times;serif"/>
          <w:b/>
          <w:sz w:val="20"/>
        </w:rPr>
        <w:t>Combination Settlement</w:t>
      </w:r>
      <w:r>
        <w:rPr>
          <w:rFonts w:ascii="Times New Roman;Times;serif" w:hAnsi="Times New Roman;Times;serif"/>
          <w:sz w:val="20"/>
        </w:rPr>
        <w:t>” shall have the meaning specified in Section 14.02(a).</w:t>
      </w:r>
    </w:p>
    <w:p>
      <w:pPr>
        <w:pStyle w:val="TextBody"/>
        <w:bidi w:val="0"/>
        <w:spacing w:before="0" w:after="200"/>
        <w:ind w:left="0" w:right="0" w:firstLine="720"/>
        <w:jc w:val="left"/>
        <w:rPr/>
      </w:pPr>
      <w:r>
        <w:rPr/>
        <w:t>“</w:t>
      </w:r>
      <w:r>
        <w:rPr>
          <w:rFonts w:ascii="Times New Roman;Times;serif" w:hAnsi="Times New Roman;Times;serif"/>
          <w:b/>
          <w:sz w:val="20"/>
        </w:rPr>
        <w:t>Commission</w:t>
      </w:r>
      <w:r>
        <w:rPr>
          <w:rFonts w:ascii="Times New Roman;Times;serif" w:hAnsi="Times New Roman;Times;serif"/>
          <w:sz w:val="20"/>
        </w:rPr>
        <w:t>” means the U.S. Securities and Exchange Commission.</w:t>
      </w:r>
    </w:p>
    <w:p>
      <w:pPr>
        <w:pStyle w:val="TextBody"/>
        <w:bidi w:val="0"/>
        <w:spacing w:before="0" w:after="200"/>
        <w:ind w:left="0" w:right="0" w:firstLine="720"/>
        <w:jc w:val="left"/>
        <w:rPr/>
      </w:pPr>
      <w:r>
        <w:rPr/>
        <w:t>“</w:t>
      </w:r>
      <w:r>
        <w:rPr>
          <w:rFonts w:ascii="Times New Roman;Times;serif" w:hAnsi="Times New Roman;Times;serif"/>
          <w:b/>
          <w:sz w:val="20"/>
        </w:rPr>
        <w:t>Common Equity</w:t>
      </w:r>
      <w:r>
        <w:rPr>
          <w:rFonts w:ascii="Times New Roman;Times;serif" w:hAnsi="Times New Roman;Times;serif"/>
          <w:sz w:val="20"/>
        </w:rPr>
        <w:t>” of any Person means ordinary share capital or common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pStyle w:val="TextBody"/>
        <w:bidi w:val="0"/>
        <w:spacing w:before="0" w:after="200"/>
        <w:ind w:left="0" w:right="0" w:firstLine="720"/>
        <w:jc w:val="left"/>
        <w:rPr/>
      </w:pPr>
      <w:r>
        <w:rPr/>
        <w:t>“</w:t>
      </w:r>
      <w:r>
        <w:rPr>
          <w:rFonts w:ascii="Times New Roman;Times;serif" w:hAnsi="Times New Roman;Times;serif"/>
          <w:b/>
          <w:sz w:val="20"/>
        </w:rPr>
        <w:t>Company</w:t>
      </w:r>
      <w:r>
        <w:rPr>
          <w:rFonts w:ascii="Times New Roman;Times;serif" w:hAnsi="Times New Roman;Times;serif"/>
          <w:sz w:val="20"/>
        </w:rPr>
        <w:t>” shall have the meaning specified in the first paragraph of this Indenture, and subject to the provisions of Article 11, shall include its successors and assigns.</w:t>
      </w:r>
    </w:p>
    <w:p>
      <w:pPr>
        <w:pStyle w:val="TextBody"/>
        <w:bidi w:val="0"/>
        <w:spacing w:before="0" w:after="200"/>
        <w:ind w:left="0" w:right="0" w:firstLine="720"/>
        <w:jc w:val="left"/>
        <w:rPr/>
      </w:pPr>
      <w:r>
        <w:rPr/>
        <w:t>“</w:t>
      </w:r>
      <w:r>
        <w:rPr>
          <w:rFonts w:ascii="Times New Roman;Times;serif" w:hAnsi="Times New Roman;Times;serif"/>
          <w:b/>
          <w:sz w:val="20"/>
        </w:rPr>
        <w:t>Company Notice</w:t>
      </w:r>
      <w:r>
        <w:rPr>
          <w:rFonts w:ascii="Times New Roman;Times;serif" w:hAnsi="Times New Roman;Times;serif"/>
          <w:sz w:val="20"/>
        </w:rPr>
        <w:t>” shall have the meaning specified in Section 15.01(a).</w:t>
      </w:r>
    </w:p>
    <w:p>
      <w:pPr>
        <w:pStyle w:val="TextBody"/>
        <w:bidi w:val="0"/>
        <w:spacing w:before="0" w:after="200"/>
        <w:ind w:left="0" w:right="0" w:firstLine="720"/>
        <w:jc w:val="left"/>
        <w:rPr/>
      </w:pPr>
      <w:r>
        <w:rPr/>
        <w:t>“</w:t>
      </w:r>
      <w:r>
        <w:rPr>
          <w:rFonts w:ascii="Times New Roman;Times;serif" w:hAnsi="Times New Roman;Times;serif"/>
          <w:b/>
          <w:sz w:val="20"/>
        </w:rPr>
        <w:t>Company Order</w:t>
      </w:r>
      <w:r>
        <w:rPr>
          <w:rFonts w:ascii="Times New Roman;Times;serif" w:hAnsi="Times New Roman;Times;serif"/>
          <w:sz w:val="20"/>
        </w:rPr>
        <w:t>” means a written order of the Company, signed by an Officer of the Company and delivered to the Trustee.</w:t>
      </w:r>
    </w:p>
    <w:p>
      <w:pPr>
        <w:pStyle w:val="TextBody"/>
        <w:bidi w:val="0"/>
        <w:spacing w:before="0" w:after="200"/>
        <w:ind w:left="0" w:right="0" w:firstLine="720"/>
        <w:jc w:val="left"/>
        <w:rPr/>
      </w:pPr>
      <w:r>
        <w:rPr/>
        <w:t>“</w:t>
      </w:r>
      <w:r>
        <w:rPr>
          <w:rFonts w:ascii="Times New Roman;Times;serif" w:hAnsi="Times New Roman;Times;serif"/>
          <w:b/>
          <w:sz w:val="20"/>
        </w:rPr>
        <w:t>Consolidated Affiliated Entity</w:t>
      </w:r>
      <w:r>
        <w:rPr>
          <w:rFonts w:ascii="Times New Roman;Times;serif" w:hAnsi="Times New Roman;Times;serif"/>
          <w:sz w:val="20"/>
        </w:rPr>
        <w:t>” means, with respect to any Person, any corporation, association or other entity which is or is required to be consolidated with such Person under</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Accounting Standards Codification subtopic 810-10, Consolidation: Overall (including any changes, amendments or supplements thereto) or, if such person prepares its financial statements in accordance with accounting principles other than the accounting principles generally accepted in the United States of America, the equivalent of Accounting Standards Codification subtopic 810-10, Consolidation: Overall under such accounting principles.</w:t>
      </w:r>
    </w:p>
    <w:p>
      <w:pPr>
        <w:pStyle w:val="TextBody"/>
        <w:bidi w:val="0"/>
        <w:spacing w:before="0" w:after="200"/>
        <w:ind w:left="0" w:right="0" w:firstLine="720"/>
        <w:jc w:val="left"/>
        <w:rPr/>
      </w:pPr>
      <w:r>
        <w:rPr/>
        <w:t>“</w:t>
      </w:r>
      <w:r>
        <w:rPr>
          <w:rFonts w:ascii="Times New Roman;Times;serif" w:hAnsi="Times New Roman;Times;serif"/>
          <w:b/>
          <w:sz w:val="20"/>
        </w:rPr>
        <w:t>Conversion Agent</w:t>
      </w:r>
      <w:r>
        <w:rPr>
          <w:rFonts w:ascii="Times New Roman;Times;serif" w:hAnsi="Times New Roman;Times;serif"/>
          <w:sz w:val="20"/>
        </w:rPr>
        <w:t>” shall have the meaning specified in Section 4.02.</w:t>
      </w:r>
    </w:p>
    <w:p>
      <w:pPr>
        <w:pStyle w:val="TextBody"/>
        <w:bidi w:val="0"/>
        <w:spacing w:before="0" w:after="200"/>
        <w:ind w:left="0" w:right="0" w:firstLine="720"/>
        <w:jc w:val="left"/>
        <w:rPr/>
      </w:pPr>
      <w:r>
        <w:rPr/>
        <w:t>“</w:t>
      </w:r>
      <w:r>
        <w:rPr>
          <w:rFonts w:ascii="Times New Roman;Times;serif" w:hAnsi="Times New Roman;Times;serif"/>
          <w:b/>
          <w:sz w:val="20"/>
        </w:rPr>
        <w:t>Conversion Date</w:t>
      </w:r>
      <w:r>
        <w:rPr>
          <w:rFonts w:ascii="Times New Roman;Times;serif" w:hAnsi="Times New Roman;Times;serif"/>
          <w:sz w:val="20"/>
        </w:rPr>
        <w:t>” shall have the meaning specified in Section 14.02(c).</w:t>
      </w:r>
    </w:p>
    <w:p>
      <w:pPr>
        <w:pStyle w:val="TextBody"/>
        <w:bidi w:val="0"/>
        <w:spacing w:before="0" w:after="200"/>
        <w:ind w:left="0" w:right="0" w:firstLine="720"/>
        <w:jc w:val="left"/>
        <w:rPr/>
      </w:pPr>
      <w:r>
        <w:rPr/>
        <w:t>“</w:t>
      </w:r>
      <w:r>
        <w:rPr>
          <w:rFonts w:ascii="Times New Roman;Times;serif" w:hAnsi="Times New Roman;Times;serif"/>
          <w:b/>
          <w:sz w:val="20"/>
        </w:rPr>
        <w:t>Conversion Obligation</w:t>
      </w:r>
      <w:r>
        <w:rPr>
          <w:rFonts w:ascii="Times New Roman;Times;serif" w:hAnsi="Times New Roman;Times;serif"/>
          <w:sz w:val="20"/>
        </w:rPr>
        <w:t>” shall have the meaning specified in Section 14.01.</w:t>
      </w:r>
    </w:p>
    <w:p>
      <w:pPr>
        <w:pStyle w:val="TextBody"/>
        <w:bidi w:val="0"/>
        <w:spacing w:before="0" w:after="200"/>
        <w:ind w:left="0" w:right="0" w:firstLine="720"/>
        <w:jc w:val="left"/>
        <w:rPr/>
      </w:pPr>
      <w:r>
        <w:rPr/>
        <w:t>“</w:t>
      </w:r>
      <w:r>
        <w:rPr>
          <w:rFonts w:ascii="Times New Roman;Times;serif" w:hAnsi="Times New Roman;Times;serif"/>
          <w:b/>
          <w:sz w:val="20"/>
        </w:rPr>
        <w:t>Conversion Price</w:t>
      </w:r>
      <w:r>
        <w:rPr>
          <w:rFonts w:ascii="Times New Roman;Times;serif" w:hAnsi="Times New Roman;Times;serif"/>
          <w:sz w:val="20"/>
        </w:rPr>
        <w:t xml:space="preserve">” means as of any time, US$1,000, </w:t>
      </w:r>
      <w:r>
        <w:rPr>
          <w:rFonts w:ascii="Times New Roman;Times;serif" w:hAnsi="Times New Roman;Times;serif"/>
          <w:i/>
          <w:sz w:val="20"/>
        </w:rPr>
        <w:t xml:space="preserve">divided by </w:t>
      </w:r>
      <w:r>
        <w:rPr>
          <w:rFonts w:ascii="Times New Roman;Times;serif" w:hAnsi="Times New Roman;Times;serif"/>
          <w:sz w:val="20"/>
        </w:rPr>
        <w:t>the Conversion Rate as of such time.</w:t>
      </w:r>
    </w:p>
    <w:p>
      <w:pPr>
        <w:pStyle w:val="TextBody"/>
        <w:bidi w:val="0"/>
        <w:spacing w:before="0" w:after="200"/>
        <w:ind w:left="0" w:right="0" w:firstLine="720"/>
        <w:jc w:val="left"/>
        <w:rPr/>
      </w:pPr>
      <w:r>
        <w:rPr/>
        <w:t>“</w:t>
      </w:r>
      <w:r>
        <w:rPr>
          <w:rFonts w:ascii="Times New Roman;Times;serif" w:hAnsi="Times New Roman;Times;serif"/>
          <w:b/>
          <w:sz w:val="20"/>
        </w:rPr>
        <w:t>Conversion Rate</w:t>
      </w:r>
      <w:r>
        <w:rPr>
          <w:rFonts w:ascii="Times New Roman;Times;serif" w:hAnsi="Times New Roman;Times;serif"/>
          <w:sz w:val="20"/>
        </w:rPr>
        <w:t>” shall have the meaning specified in Section 14.01.</w:t>
      </w:r>
    </w:p>
    <w:p>
      <w:pPr>
        <w:pStyle w:val="TextBody"/>
        <w:bidi w:val="0"/>
        <w:spacing w:before="0" w:after="200"/>
        <w:ind w:left="0" w:right="0" w:firstLine="720"/>
        <w:jc w:val="left"/>
        <w:rPr/>
      </w:pPr>
      <w:r>
        <w:rPr/>
        <w:t>“</w:t>
      </w:r>
      <w:r>
        <w:rPr>
          <w:rFonts w:ascii="Times New Roman;Times;serif" w:hAnsi="Times New Roman;Times;serif"/>
          <w:b/>
          <w:sz w:val="20"/>
        </w:rPr>
        <w:t>Corporate Trust Office</w:t>
      </w:r>
      <w:r>
        <w:rPr>
          <w:rFonts w:ascii="Times New Roman;Times;serif" w:hAnsi="Times New Roman;Times;serif"/>
          <w:sz w:val="20"/>
        </w:rPr>
        <w:t>” means the corporate trust office of the Trustee at which at any time its corporate trust business shall be administered, which office at the date hereof is located at 1 Columbus Circle, 17th Floor, Mail Stop: NYC01-1710, New York, New York, 10019, Attention: Trust &amp; Agency Services, Corporates Team – NIO Inc. Deal ID – AA 5802, or such other address as the Trustee may designate from time to time by notice to the Holders and the Company, or the corporate trust office of any successor trustee (or such other address as such successor trustee may designate from time to time by notice to the Holders and the Company).</w:t>
      </w:r>
    </w:p>
    <w:p>
      <w:pPr>
        <w:pStyle w:val="TextBody"/>
        <w:bidi w:val="0"/>
        <w:spacing w:before="0" w:after="200"/>
        <w:ind w:left="0" w:right="0" w:firstLine="720"/>
        <w:jc w:val="both"/>
        <w:rPr/>
      </w:pPr>
      <w:r>
        <w:rPr/>
        <w:t>“</w:t>
      </w:r>
      <w:r>
        <w:rPr>
          <w:rFonts w:ascii="Times New Roman;Times;serif" w:hAnsi="Times New Roman;Times;serif"/>
          <w:b/>
          <w:sz w:val="20"/>
        </w:rPr>
        <w:t>Daily Conversion Value</w:t>
      </w:r>
      <w:r>
        <w:rPr>
          <w:rFonts w:ascii="Times New Roman;Times;serif" w:hAnsi="Times New Roman;Times;serif"/>
          <w:sz w:val="20"/>
        </w:rPr>
        <w:t>” means, for each of the 20 consecutive Trading Days during the Observation Period, 5% of the product of (a) the Conversion Rate on such Trading Day and (b) the Daily VWAP for such Trading Day.</w:t>
      </w:r>
    </w:p>
    <w:p>
      <w:pPr>
        <w:pStyle w:val="TextBody"/>
        <w:bidi w:val="0"/>
        <w:spacing w:before="0" w:after="200"/>
        <w:ind w:left="0" w:right="0" w:firstLine="720"/>
        <w:jc w:val="both"/>
        <w:rPr/>
      </w:pPr>
      <w:r>
        <w:rPr/>
        <w:t>“</w:t>
      </w:r>
      <w:r>
        <w:rPr>
          <w:rFonts w:ascii="Times New Roman;Times;serif" w:hAnsi="Times New Roman;Times;serif"/>
          <w:b/>
          <w:sz w:val="20"/>
        </w:rPr>
        <w:t>Daily Measurement Value</w:t>
      </w:r>
      <w:r>
        <w:rPr>
          <w:rFonts w:ascii="Times New Roman;Times;serif" w:hAnsi="Times New Roman;Times;serif"/>
          <w:sz w:val="20"/>
        </w:rPr>
        <w:t xml:space="preserve">” means the Specified Dollar Amount (if any), </w:t>
      </w:r>
      <w:r>
        <w:rPr>
          <w:rFonts w:ascii="Times New Roman;Times;serif" w:hAnsi="Times New Roman;Times;serif"/>
          <w:i/>
          <w:sz w:val="20"/>
        </w:rPr>
        <w:t xml:space="preserve">divided by </w:t>
      </w:r>
      <w:r>
        <w:rPr>
          <w:rFonts w:ascii="Times New Roman;Times;serif" w:hAnsi="Times New Roman;Times;serif"/>
          <w:sz w:val="20"/>
        </w:rPr>
        <w:t>20. “</w:t>
      </w:r>
      <w:r>
        <w:rPr>
          <w:rFonts w:ascii="Times New Roman;Times;serif" w:hAnsi="Times New Roman;Times;serif"/>
          <w:b/>
          <w:sz w:val="20"/>
        </w:rPr>
        <w:t>Daily Settlement Amount</w:t>
      </w:r>
      <w:r>
        <w:rPr>
          <w:rFonts w:ascii="Times New Roman;Times;serif" w:hAnsi="Times New Roman;Times;serif"/>
          <w:sz w:val="20"/>
        </w:rPr>
        <w:t>,” for each of the 20 consecutive Trading Days during the Observation Period, shall consist of:</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cash in an amount equal to the lesser of (i) the Daily Measurement Value and (ii) the Daily Conversion Value on such Trading Day; and</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if the Daily Conversion Value on such Trading Day exceeds the Daily Measurement Value, a number of ADSs equal to (i) the difference between the Daily Conversion Value and the Daily Measurement Value, </w:t>
      </w:r>
      <w:r>
        <w:rPr>
          <w:rFonts w:ascii="Times New Roman;Times;serif" w:hAnsi="Times New Roman;Times;serif"/>
          <w:i/>
          <w:sz w:val="20"/>
        </w:rPr>
        <w:t xml:space="preserve">divided by </w:t>
      </w:r>
      <w:r>
        <w:rPr>
          <w:rFonts w:ascii="Times New Roman;Times;serif" w:hAnsi="Times New Roman;Times;serif"/>
          <w:sz w:val="20"/>
        </w:rPr>
        <w:t>(ii) the Daily VWAP for such Trading Day.</w:t>
      </w:r>
    </w:p>
    <w:p>
      <w:pPr>
        <w:pStyle w:val="TextBody"/>
        <w:bidi w:val="0"/>
        <w:spacing w:before="0" w:after="200"/>
        <w:ind w:left="0" w:right="0" w:firstLine="720"/>
        <w:jc w:val="both"/>
        <w:rPr/>
      </w:pPr>
      <w:r>
        <w:rPr/>
        <w:t>“</w:t>
      </w:r>
      <w:r>
        <w:rPr>
          <w:rFonts w:ascii="Times New Roman;Times;serif" w:hAnsi="Times New Roman;Times;serif"/>
          <w:b/>
          <w:sz w:val="20"/>
        </w:rPr>
        <w:t>Daily VWAP</w:t>
      </w:r>
      <w:r>
        <w:rPr>
          <w:rFonts w:ascii="Times New Roman;Times;serif" w:hAnsi="Times New Roman;Times;serif"/>
          <w:sz w:val="20"/>
        </w:rPr>
        <w:t>” means, for each of the 20 consecutive Trading Days during the relevant Observation Period, the per ADS volume-weighted average price as displayed under the heading “Bloomberg VWAP” on Bloomberg page “NIO &lt;equity&gt; AQR” (or its equivalent successor if such page is not available) in respect of the period from the scheduled open of trading until the scheduled close of trading of the primary trading session on such Trading Day (or if such volume- weighted average price is unavailable, the market value of one ADS on such Trading Day</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determined, using a volume-weighted average method, by a nationally recognized independent investment banking firm retained for this purpose by the Company). The “</w:t>
      </w:r>
      <w:r>
        <w:rPr>
          <w:rFonts w:ascii="Times New Roman;Times;serif" w:hAnsi="Times New Roman;Times;serif"/>
          <w:b/>
          <w:sz w:val="20"/>
        </w:rPr>
        <w:t>Daily VWAP</w:t>
      </w:r>
      <w:r>
        <w:rPr>
          <w:rFonts w:ascii="Times New Roman;Times;serif" w:hAnsi="Times New Roman;Times;serif"/>
          <w:sz w:val="20"/>
        </w:rPr>
        <w:t>” shall be determined without regard to after-hours trading or any other trading outside of the regular trading session trading hours.</w:t>
      </w:r>
    </w:p>
    <w:p>
      <w:pPr>
        <w:pStyle w:val="TextBody"/>
        <w:bidi w:val="0"/>
        <w:spacing w:before="0" w:after="200"/>
        <w:ind w:left="0" w:right="0" w:firstLine="720"/>
        <w:jc w:val="left"/>
        <w:rPr/>
      </w:pPr>
      <w:r>
        <w:rPr/>
        <w:t>“</w:t>
      </w:r>
      <w:r>
        <w:rPr>
          <w:rFonts w:ascii="Times New Roman;Times;serif" w:hAnsi="Times New Roman;Times;serif"/>
          <w:b/>
          <w:sz w:val="20"/>
        </w:rPr>
        <w:t>Default</w:t>
      </w:r>
      <w:r>
        <w:rPr>
          <w:rFonts w:ascii="Times New Roman;Times;serif" w:hAnsi="Times New Roman;Times;serif"/>
          <w:sz w:val="20"/>
        </w:rPr>
        <w:t>” means any event that is, or after notice or passage of time, or both, would be, an Event of Default.</w:t>
      </w:r>
    </w:p>
    <w:p>
      <w:pPr>
        <w:pStyle w:val="TextBody"/>
        <w:bidi w:val="0"/>
        <w:spacing w:before="0" w:after="200"/>
        <w:ind w:left="0" w:right="0" w:firstLine="720"/>
        <w:jc w:val="left"/>
        <w:rPr/>
      </w:pPr>
      <w:r>
        <w:rPr/>
        <w:t>“</w:t>
      </w:r>
      <w:r>
        <w:rPr>
          <w:rFonts w:ascii="Times New Roman;Times;serif" w:hAnsi="Times New Roman;Times;serif"/>
          <w:b/>
          <w:sz w:val="20"/>
        </w:rPr>
        <w:t>Default Settlement Method</w:t>
      </w:r>
      <w:r>
        <w:rPr>
          <w:rFonts w:ascii="Times New Roman;Times;serif" w:hAnsi="Times New Roman;Times;serif"/>
          <w:sz w:val="20"/>
        </w:rPr>
        <w:t>” shall have the meaning specified in Section 14.02(a)(iii).</w:t>
      </w:r>
    </w:p>
    <w:p>
      <w:pPr>
        <w:pStyle w:val="TextBody"/>
        <w:bidi w:val="0"/>
        <w:spacing w:before="0" w:after="200"/>
        <w:ind w:left="0" w:right="0" w:firstLine="720"/>
        <w:jc w:val="left"/>
        <w:rPr/>
      </w:pPr>
      <w:r>
        <w:rPr/>
        <w:t>“</w:t>
      </w:r>
      <w:r>
        <w:rPr>
          <w:rFonts w:ascii="Times New Roman;Times;serif" w:hAnsi="Times New Roman;Times;serif"/>
          <w:b/>
          <w:sz w:val="20"/>
        </w:rPr>
        <w:t>Defaulted Amounts</w:t>
      </w:r>
      <w:r>
        <w:rPr>
          <w:rFonts w:ascii="Times New Roman;Times;serif" w:hAnsi="Times New Roman;Times;serif"/>
          <w:sz w:val="20"/>
        </w:rPr>
        <w:t>” means any amounts on any Note (including, without limitation, the Redemption Price, the Repurchase Price, the Fundamental Change Repurchase Price, principal and interest) that are payable but are not punctually paid or duly provided for.</w:t>
      </w:r>
    </w:p>
    <w:p>
      <w:pPr>
        <w:pStyle w:val="TextBody"/>
        <w:bidi w:val="0"/>
        <w:spacing w:before="0" w:after="200"/>
        <w:ind w:left="0" w:right="0" w:firstLine="720"/>
        <w:jc w:val="left"/>
        <w:rPr/>
      </w:pPr>
      <w:r>
        <w:rPr/>
        <w:t>“</w:t>
      </w:r>
      <w:r>
        <w:rPr>
          <w:rFonts w:ascii="Times New Roman;Times;serif" w:hAnsi="Times New Roman;Times;serif"/>
          <w:b/>
          <w:sz w:val="20"/>
        </w:rPr>
        <w:t>Depositary</w:t>
      </w:r>
      <w:r>
        <w:rPr>
          <w:rFonts w:ascii="Times New Roman;Times;serif" w:hAnsi="Times New Roman;Times;serif"/>
          <w:sz w:val="20"/>
        </w:rPr>
        <w:t>” means, with respect to each Global Note, the Person specified in Section 2.05(c) and Section 2.05(e) as the Depositary with respect to such Notes, until a successor shall have been appointed and become such pursuant to the applicable provisions of this Indenture, and thereafter, “</w:t>
      </w:r>
      <w:r>
        <w:rPr>
          <w:rFonts w:ascii="Times New Roman;Times;serif" w:hAnsi="Times New Roman;Times;serif"/>
          <w:b/>
          <w:sz w:val="20"/>
        </w:rPr>
        <w:t>Depositary</w:t>
      </w:r>
      <w:r>
        <w:rPr>
          <w:rFonts w:ascii="Times New Roman;Times;serif" w:hAnsi="Times New Roman;Times;serif"/>
          <w:sz w:val="20"/>
        </w:rPr>
        <w:t>” shall mean or include such successor.</w:t>
      </w:r>
    </w:p>
    <w:p>
      <w:pPr>
        <w:pStyle w:val="TextBody"/>
        <w:bidi w:val="0"/>
        <w:spacing w:before="0" w:after="200"/>
        <w:ind w:left="0" w:right="0" w:firstLine="720"/>
        <w:jc w:val="left"/>
        <w:rPr/>
      </w:pPr>
      <w:r>
        <w:rPr/>
        <w:t>“</w:t>
      </w:r>
      <w:r>
        <w:rPr>
          <w:rFonts w:ascii="Times New Roman;Times;serif" w:hAnsi="Times New Roman;Times;serif"/>
          <w:b/>
          <w:sz w:val="20"/>
        </w:rPr>
        <w:t>Designated Financial Institution</w:t>
      </w:r>
      <w:r>
        <w:rPr>
          <w:rFonts w:ascii="Times New Roman;Times;serif" w:hAnsi="Times New Roman;Times;serif"/>
          <w:sz w:val="20"/>
        </w:rPr>
        <w:t>” shall have the meaning specified in Section 14.13(a).</w:t>
      </w:r>
    </w:p>
    <w:p>
      <w:pPr>
        <w:pStyle w:val="TextBody"/>
        <w:bidi w:val="0"/>
        <w:spacing w:before="0" w:after="200"/>
        <w:ind w:left="0" w:right="0" w:firstLine="720"/>
        <w:jc w:val="left"/>
        <w:rPr/>
      </w:pPr>
      <w:r>
        <w:rPr/>
        <w:t>“</w:t>
      </w:r>
      <w:r>
        <w:rPr>
          <w:rFonts w:ascii="Times New Roman;Times;serif" w:hAnsi="Times New Roman;Times;serif"/>
          <w:b/>
          <w:sz w:val="20"/>
        </w:rPr>
        <w:t>Distributed Property</w:t>
      </w:r>
      <w:r>
        <w:rPr>
          <w:rFonts w:ascii="Times New Roman;Times;serif" w:hAnsi="Times New Roman;Times;serif"/>
          <w:sz w:val="20"/>
        </w:rPr>
        <w:t>” shall have the meaning specified in Section 14.04(c).</w:t>
      </w:r>
    </w:p>
    <w:p>
      <w:pPr>
        <w:pStyle w:val="TextBody"/>
        <w:bidi w:val="0"/>
        <w:spacing w:before="0" w:after="200"/>
        <w:ind w:left="0" w:right="0" w:firstLine="720"/>
        <w:jc w:val="left"/>
        <w:rPr/>
      </w:pPr>
      <w:r>
        <w:rPr/>
        <w:t>“</w:t>
      </w:r>
      <w:r>
        <w:rPr>
          <w:rFonts w:ascii="Times New Roman;Times;serif" w:hAnsi="Times New Roman;Times;serif"/>
          <w:b/>
          <w:sz w:val="20"/>
        </w:rPr>
        <w:t>DTC</w:t>
      </w:r>
      <w:r>
        <w:rPr>
          <w:rFonts w:ascii="Times New Roman;Times;serif" w:hAnsi="Times New Roman;Times;serif"/>
          <w:sz w:val="20"/>
        </w:rPr>
        <w:t>” means The Depository Trust Company, a New York corporation.</w:t>
      </w:r>
    </w:p>
    <w:p>
      <w:pPr>
        <w:pStyle w:val="TextBody"/>
        <w:bidi w:val="0"/>
        <w:spacing w:before="0" w:after="200"/>
        <w:ind w:left="0" w:right="0" w:firstLine="720"/>
        <w:jc w:val="left"/>
        <w:rPr/>
      </w:pPr>
      <w:r>
        <w:rPr/>
        <w:t>“</w:t>
      </w:r>
      <w:r>
        <w:rPr>
          <w:rFonts w:ascii="Times New Roman;Times;serif" w:hAnsi="Times New Roman;Times;serif"/>
          <w:b/>
          <w:sz w:val="20"/>
        </w:rPr>
        <w:t>Effective Date</w:t>
      </w:r>
      <w:r>
        <w:rPr>
          <w:rFonts w:ascii="Times New Roman;Times;serif" w:hAnsi="Times New Roman;Times;serif"/>
          <w:sz w:val="20"/>
        </w:rPr>
        <w:t>” shall have the meaning specified in Section 14.03(c), except that, as used in Section 14.04 and Section 14.05, “</w:t>
      </w:r>
      <w:r>
        <w:rPr>
          <w:rFonts w:ascii="Times New Roman;Times;serif" w:hAnsi="Times New Roman;Times;serif"/>
          <w:b/>
          <w:sz w:val="20"/>
        </w:rPr>
        <w:t>Effective Date</w:t>
      </w:r>
      <w:r>
        <w:rPr>
          <w:rFonts w:ascii="Times New Roman;Times;serif" w:hAnsi="Times New Roman;Times;serif"/>
          <w:sz w:val="20"/>
        </w:rPr>
        <w:t>” means the first date on which ADSs trade on the applicable exchange or in the applicable market, regular way, reflecting the relevant share split or share combination, as applicable.</w:t>
      </w:r>
    </w:p>
    <w:p>
      <w:pPr>
        <w:pStyle w:val="TextBody"/>
        <w:bidi w:val="0"/>
        <w:spacing w:before="0" w:after="200"/>
        <w:ind w:left="0" w:right="0" w:firstLine="720"/>
        <w:jc w:val="left"/>
        <w:rPr/>
      </w:pPr>
      <w:r>
        <w:rPr/>
        <w:t>“</w:t>
      </w:r>
      <w:r>
        <w:rPr>
          <w:rFonts w:ascii="Times New Roman;Times;serif" w:hAnsi="Times New Roman;Times;serif"/>
          <w:b/>
          <w:sz w:val="20"/>
        </w:rPr>
        <w:t>Event of Default</w:t>
      </w:r>
      <w:r>
        <w:rPr>
          <w:rFonts w:ascii="Times New Roman;Times;serif" w:hAnsi="Times New Roman;Times;serif"/>
          <w:sz w:val="20"/>
        </w:rPr>
        <w:t>” shall have the meaning specified in Section 6.01.</w:t>
      </w:r>
    </w:p>
    <w:p>
      <w:pPr>
        <w:pStyle w:val="TextBody"/>
        <w:bidi w:val="0"/>
        <w:spacing w:before="0" w:after="200"/>
        <w:ind w:left="0" w:right="0" w:firstLine="720"/>
        <w:jc w:val="left"/>
        <w:rPr/>
      </w:pPr>
      <w:r>
        <w:rPr/>
        <w:t>“</w:t>
      </w:r>
      <w:r>
        <w:rPr>
          <w:rFonts w:ascii="Times New Roman;Times;serif" w:hAnsi="Times New Roman;Times;serif"/>
          <w:b/>
          <w:sz w:val="20"/>
        </w:rPr>
        <w:t>Ex-Dividend Date</w:t>
      </w:r>
      <w:r>
        <w:rPr>
          <w:rFonts w:ascii="Times New Roman;Times;serif" w:hAnsi="Times New Roman;Times;serif"/>
          <w:sz w:val="20"/>
        </w:rPr>
        <w:t>” means the first date on which the ADSs trade on the applicable exchange or in the applicable market, regular way, without the right to receive the issuance, dividend or distribution in question, from the Company or, if applicable, from the seller of the ADSs on such exchange or market (in the form of due bills or otherwise) as determined by such exchange or market.</w:t>
      </w:r>
    </w:p>
    <w:p>
      <w:pPr>
        <w:pStyle w:val="TextBody"/>
        <w:bidi w:val="0"/>
        <w:spacing w:before="0" w:after="200"/>
        <w:ind w:left="0" w:right="0" w:firstLine="720"/>
        <w:jc w:val="left"/>
        <w:rPr/>
      </w:pPr>
      <w:r>
        <w:rPr/>
        <w:t>“</w:t>
      </w:r>
      <w:r>
        <w:rPr>
          <w:rFonts w:ascii="Times New Roman;Times;serif" w:hAnsi="Times New Roman;Times;serif"/>
          <w:b/>
          <w:sz w:val="20"/>
        </w:rPr>
        <w:t>Exchange Act</w:t>
      </w:r>
      <w:r>
        <w:rPr>
          <w:rFonts w:ascii="Times New Roman;Times;serif" w:hAnsi="Times New Roman;Times;serif"/>
          <w:sz w:val="20"/>
        </w:rPr>
        <w:t>” means the Securities Exchange Act of 1934, as amended, and the rules and regulations promulgated thereunder.</w:t>
      </w:r>
    </w:p>
    <w:p>
      <w:pPr>
        <w:pStyle w:val="TextBody"/>
        <w:bidi w:val="0"/>
        <w:spacing w:before="0" w:after="200"/>
        <w:ind w:left="0" w:right="0" w:firstLine="720"/>
        <w:jc w:val="left"/>
        <w:rPr/>
      </w:pPr>
      <w:r>
        <w:rPr/>
        <w:t>“</w:t>
      </w:r>
      <w:r>
        <w:rPr>
          <w:rFonts w:ascii="Times New Roman;Times;serif" w:hAnsi="Times New Roman;Times;serif"/>
          <w:b/>
          <w:sz w:val="20"/>
        </w:rPr>
        <w:t>Exchange Election</w:t>
      </w:r>
      <w:r>
        <w:rPr>
          <w:rFonts w:ascii="Times New Roman;Times;serif" w:hAnsi="Times New Roman;Times;serif"/>
          <w:sz w:val="20"/>
        </w:rPr>
        <w:t>” shall have the meaning specified in Section 14.13(a).</w:t>
      </w:r>
    </w:p>
    <w:p>
      <w:pPr>
        <w:pStyle w:val="TextBody"/>
        <w:bidi w:val="0"/>
        <w:spacing w:before="0" w:after="200"/>
        <w:ind w:left="0" w:right="0" w:firstLine="720"/>
        <w:jc w:val="left"/>
        <w:rPr/>
      </w:pPr>
      <w:r>
        <w:rPr/>
        <w:t>“</w:t>
      </w:r>
      <w:r>
        <w:rPr>
          <w:rFonts w:ascii="Times New Roman;Times;serif" w:hAnsi="Times New Roman;Times;serif"/>
          <w:b/>
          <w:sz w:val="20"/>
        </w:rPr>
        <w:t>Expiring Rights</w:t>
      </w:r>
      <w:r>
        <w:rPr>
          <w:rFonts w:ascii="Times New Roman;Times;serif" w:hAnsi="Times New Roman;Times;serif"/>
          <w:sz w:val="20"/>
        </w:rPr>
        <w:t>” means any rights (other than in connection with a stockholders rights plan), options or warrants to purchase Ordinary Shares or ADSs that expire on or prior to the Maturity Date.</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firstLine="720"/>
        <w:jc w:val="left"/>
        <w:rPr/>
      </w:pPr>
      <w:r>
        <w:rPr/>
        <w:t>“</w:t>
      </w:r>
      <w:r>
        <w:rPr>
          <w:rFonts w:ascii="Times New Roman;Times;serif" w:hAnsi="Times New Roman;Times;serif"/>
          <w:b/>
          <w:sz w:val="20"/>
        </w:rPr>
        <w:t>FATCA</w:t>
      </w:r>
      <w:r>
        <w:rPr>
          <w:rFonts w:ascii="Times New Roman;Times;serif" w:hAnsi="Times New Roman;Times;serif"/>
          <w:sz w:val="20"/>
        </w:rPr>
        <w:t>” shall have the meaning specified in Section 4.07(a)(i)(D).</w:t>
      </w:r>
    </w:p>
    <w:p>
      <w:pPr>
        <w:pStyle w:val="TextBody"/>
        <w:bidi w:val="0"/>
        <w:spacing w:before="0" w:after="200"/>
        <w:ind w:left="0" w:right="0" w:firstLine="720"/>
        <w:jc w:val="left"/>
        <w:rPr/>
      </w:pPr>
      <w:r>
        <w:rPr/>
        <w:t>“</w:t>
      </w:r>
      <w:r>
        <w:rPr>
          <w:rFonts w:ascii="Times New Roman;Times;serif" w:hAnsi="Times New Roman;Times;serif"/>
          <w:b/>
          <w:sz w:val="20"/>
        </w:rPr>
        <w:t>Form of Assignment and Transfer</w:t>
      </w:r>
      <w:r>
        <w:rPr>
          <w:rFonts w:ascii="Times New Roman;Times;serif" w:hAnsi="Times New Roman;Times;serif"/>
          <w:sz w:val="20"/>
        </w:rPr>
        <w:t>” shall mean the “Form of Assignment and Transfer” attached as Attachment 4 to the Form of Note.</w:t>
      </w:r>
    </w:p>
    <w:p>
      <w:pPr>
        <w:pStyle w:val="TextBody"/>
        <w:bidi w:val="0"/>
        <w:spacing w:before="0" w:after="200"/>
        <w:ind w:left="0" w:right="0" w:firstLine="720"/>
        <w:jc w:val="left"/>
        <w:rPr/>
      </w:pPr>
      <w:r>
        <w:rPr/>
        <w:t>“</w:t>
      </w:r>
      <w:r>
        <w:rPr>
          <w:rFonts w:ascii="Times New Roman;Times;serif" w:hAnsi="Times New Roman;Times;serif"/>
          <w:b/>
          <w:sz w:val="20"/>
        </w:rPr>
        <w:t>Form of Fundamental Change Repurchase Notice</w:t>
      </w:r>
      <w:r>
        <w:rPr>
          <w:rFonts w:ascii="Times New Roman;Times;serif" w:hAnsi="Times New Roman;Times;serif"/>
          <w:sz w:val="20"/>
        </w:rPr>
        <w:t>” shall mean the “Form of Fundamental Change Repurchase Notice” attached as Attachment 2 to the Form of Note .</w:t>
      </w:r>
    </w:p>
    <w:p>
      <w:pPr>
        <w:pStyle w:val="TextBody"/>
        <w:bidi w:val="0"/>
        <w:spacing w:before="0" w:after="200"/>
        <w:ind w:left="0" w:right="0" w:firstLine="720"/>
        <w:jc w:val="left"/>
        <w:rPr/>
      </w:pPr>
      <w:r>
        <w:rPr/>
        <w:t>“</w:t>
      </w:r>
      <w:r>
        <w:rPr>
          <w:rFonts w:ascii="Times New Roman;Times;serif" w:hAnsi="Times New Roman;Times;serif"/>
          <w:b/>
          <w:sz w:val="20"/>
        </w:rPr>
        <w:t>Form of Note</w:t>
      </w:r>
      <w:r>
        <w:rPr>
          <w:rFonts w:ascii="Times New Roman;Times;serif" w:hAnsi="Times New Roman;Times;serif"/>
          <w:sz w:val="20"/>
        </w:rPr>
        <w:t>” shall mean the “Form of Note” attached hereto as Exhibit A.</w:t>
      </w:r>
    </w:p>
    <w:p>
      <w:pPr>
        <w:pStyle w:val="TextBody"/>
        <w:bidi w:val="0"/>
        <w:spacing w:before="0" w:after="200"/>
        <w:ind w:left="0" w:right="0" w:firstLine="720"/>
        <w:jc w:val="left"/>
        <w:rPr/>
      </w:pPr>
      <w:r>
        <w:rPr/>
        <w:t>“</w:t>
      </w:r>
      <w:r>
        <w:rPr>
          <w:rFonts w:ascii="Times New Roman;Times;serif" w:hAnsi="Times New Roman;Times;serif"/>
          <w:b/>
          <w:sz w:val="20"/>
        </w:rPr>
        <w:t>Form of Notice of Conversion</w:t>
      </w:r>
      <w:r>
        <w:rPr>
          <w:rFonts w:ascii="Times New Roman;Times;serif" w:hAnsi="Times New Roman;Times;serif"/>
          <w:sz w:val="20"/>
        </w:rPr>
        <w:t>” shall mean the “Form of Notice of Conversion” attached as Attachment 1 to the Form of Note .</w:t>
      </w:r>
    </w:p>
    <w:p>
      <w:pPr>
        <w:pStyle w:val="TextBody"/>
        <w:bidi w:val="0"/>
        <w:spacing w:before="0" w:after="200"/>
        <w:ind w:left="0" w:right="0" w:firstLine="720"/>
        <w:jc w:val="left"/>
        <w:rPr/>
      </w:pPr>
      <w:r>
        <w:rPr/>
        <w:t>“</w:t>
      </w:r>
      <w:r>
        <w:rPr>
          <w:rFonts w:ascii="Times New Roman;Times;serif" w:hAnsi="Times New Roman;Times;serif"/>
          <w:b/>
          <w:sz w:val="20"/>
        </w:rPr>
        <w:t>Form of Repurchase Notice</w:t>
      </w:r>
      <w:r>
        <w:rPr>
          <w:rFonts w:ascii="Times New Roman;Times;serif" w:hAnsi="Times New Roman;Times;serif"/>
          <w:sz w:val="20"/>
        </w:rPr>
        <w:t>” shall mean the “Form of Repurchase Notice” attached as Attachment 3 to the Form of Note .</w:t>
      </w:r>
    </w:p>
    <w:p>
      <w:pPr>
        <w:pStyle w:val="TextBody"/>
        <w:bidi w:val="0"/>
        <w:spacing w:before="0" w:after="200"/>
        <w:ind w:left="0" w:right="0" w:firstLine="720"/>
        <w:jc w:val="left"/>
        <w:rPr/>
      </w:pPr>
      <w:r>
        <w:rPr/>
        <w:t>“</w:t>
      </w:r>
      <w:r>
        <w:rPr>
          <w:rFonts w:ascii="Times New Roman;Times;serif" w:hAnsi="Times New Roman;Times;serif"/>
          <w:b/>
          <w:sz w:val="20"/>
        </w:rPr>
        <w:t>Fractional ADS</w:t>
      </w:r>
      <w:r>
        <w:rPr>
          <w:rFonts w:ascii="Times New Roman;Times;serif" w:hAnsi="Times New Roman;Times;serif"/>
          <w:sz w:val="20"/>
        </w:rPr>
        <w:t>” shall have the meaning specified in Section 14.02(a).</w:t>
      </w:r>
    </w:p>
    <w:p>
      <w:pPr>
        <w:pStyle w:val="TextBody"/>
        <w:bidi w:val="0"/>
        <w:spacing w:before="0" w:after="200"/>
        <w:ind w:left="0" w:right="0" w:firstLine="720"/>
        <w:jc w:val="left"/>
        <w:rPr/>
      </w:pPr>
      <w:r>
        <w:rPr/>
        <w:t>“</w:t>
      </w:r>
      <w:r>
        <w:rPr>
          <w:rFonts w:ascii="Times New Roman;Times;serif" w:hAnsi="Times New Roman;Times;serif"/>
          <w:b/>
          <w:sz w:val="20"/>
        </w:rPr>
        <w:t>Fundamental Change</w:t>
      </w:r>
      <w:r>
        <w:rPr>
          <w:rFonts w:ascii="Times New Roman;Times;serif" w:hAnsi="Times New Roman;Times;serif"/>
          <w:sz w:val="20"/>
        </w:rPr>
        <w:t>” shall be deemed to have occurred at the time after the Notes are originally issued if any of the following occurs:</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 a “person” or “group” within the meaning of Section 13(d) of the Exchange Act, other than the Company, its Subsidiaries, the employee benefit plans of the Company and its Subsidiaries and the Permitted Holder, files a Schedule TO or any schedule, form or report under the Exchange Act disclosing that such person or group has become the direct or indirect “beneficial owner,” as defined in Rule 13d-3 under the Exchange Act, of: (i) the Company’s ordinary share capital (including ordinary share capital held in the form of ADSs) representing more than 50% of the voting power of the Company’s ordinary share capital, or (ii) more than 50% of the then outstanding Ordinary Shares (including Ordinary Shares held in the form of ADSs), or (B) the Permitted Holder (together with any of its respective affiliates that directly or indirectly through one or more intermediaries is controlling, is controlled by, or is under common control with, the Permitted Holder) have become the direct or indirect “beneficial owner”, as defined in Rule 13d-3 under the Exchange Act, of Ordinary Shares (including Ordinary Shares held in the form of ADSs) representing, in the aggregate, more than 50% of the outstanding Ordinary Shares (including Ordinary Shares held in the form of ADSs), based on any Schedule TO or any schedule, form or report under the Exchange Act disclosing the same filed by the Permitted Holder (excluding in both numerator and denominator for such calculation, for the avoidance of doubt, any Ordinary Shares deemed to be “beneficially owned” by the Permitted Holder solely by virtue of the Permitted Holder’s ownership of any Ordinary Shares);</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consummation of (A) any recapitalization, reclassification or change of the Ordinary Shares or the ADSs (other than changes resulting from a subdivision or combination) as a result of which the Ordinary Shares or the ADSs would be converted into, or exchanged for, stock, other securities, other property or assets; (B) any share exchange, consolidation or merger of the Company pursuant to which the Ordinary Shares or the ADSs will be converted into cash, securities or other property; or (C) any</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 xml:space="preserve">sale, lease or other transfer in one transaction or a series of transactions of all or substantially all of the consolidated assets of the Company and its Subsidiaries and Consolidated Affiliated Entities, taken as a whole, to any Person other than one of the Company’s wholly-owned Subsidiaries;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a transaction described in clause (B) in which the holders of all classes of the Company’s ordinary share capital (including ordinary share capital held in the form of ADSs) immediately prior to such transaction own, directly or indirectly, more than 50% of all classes of Common Equity of the continuing or surviving corporation or transferee or the parent thereof immediately after such transaction in substantially the same proportions vis-a-vis each other as such ownership immediately prior to such transaction shall not be a Fundamental Change pursuant to this clause (b);</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shareholders of the Company approve any plan or proposal for the liquidation or dissolution of the Company;</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ADSs (or other Common Equity or ADSs in respect of Common Equity underlying the Notes) cease to be listed or quoted on any of The New York Stock Exchange, The NASDAQ Global Select Market or The NASDAQ Global Market (or any of their respective successors); or</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any change in or amendment to the laws, regulations and rules of the People’s Republic of China or the official interpretation or official application thereof (a “</w:t>
      </w:r>
      <w:r>
        <w:rPr>
          <w:rFonts w:ascii="Times New Roman;Times;serif" w:hAnsi="Times New Roman;Times;serif"/>
          <w:b/>
          <w:sz w:val="20"/>
        </w:rPr>
        <w:t>Change in Law</w:t>
      </w:r>
      <w:r>
        <w:rPr>
          <w:rFonts w:ascii="Times New Roman;Times;serif" w:hAnsi="Times New Roman;Times;serif"/>
          <w:sz w:val="20"/>
        </w:rPr>
        <w:t>”) that results in (x) the Company, its Subsidiaries and its Consolidated Affiliated Entities (collectively, the “</w:t>
      </w:r>
      <w:r>
        <w:rPr>
          <w:rFonts w:ascii="Times New Roman;Times;serif" w:hAnsi="Times New Roman;Times;serif"/>
          <w:b/>
          <w:sz w:val="20"/>
        </w:rPr>
        <w:t>Company Group</w:t>
      </w:r>
      <w:r>
        <w:rPr>
          <w:rFonts w:ascii="Times New Roman;Times;serif" w:hAnsi="Times New Roman;Times;serif"/>
          <w:sz w:val="20"/>
        </w:rPr>
        <w:t>”) (as in existence immediately subsequent to such Change in Law), as a whole, being legally prohibited from operating substantially all of the business operations conducted by the Company Group (as in existence immediately prior to such Change in Law) as of the last date of the period described in the Company’s consolidated financial statements for the most recent fiscal quarter and (y) the Company’s being unable to continue to derive substantially all of the economic benefits from the business operations conducted by the Company Group (as in existence immediately prior to such Change in Law) in the same manner as reflected in the Company’s consolidated financial statements for the most recent fiscal quarter;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xml:space="preserve">, that a transaction or event described in clause (b) above shall not constitute a Fundamental Change, if at least 90% of the consideration received or to be received by holders of the ADSs, excluding cash payments for Fractional ADSs, in connection with such transaction or event consists of shares of Common Equity or ADSs in respect of Common Equity that are listed or quoted on any of The New York Stock Exchange, The NASDAQ Global Select Market or The NASDAQ Global Market (or any of their respective successors) or will be so listed or quoted when issued or exchanged in connection with such transaction or event that would otherwise constitute a Fundamental Change under clause (b) of the definition thereof and as a result of such transaction or event, the Notes become convertible into such consideration, excluding cash payments for Fractional ADSs; and </w:t>
      </w:r>
      <w:r>
        <w:rPr>
          <w:rFonts w:ascii="Times New Roman;Times;serif" w:hAnsi="Times New Roman;Times;serif"/>
          <w:i/>
          <w:sz w:val="20"/>
        </w:rPr>
        <w:t xml:space="preserve">provided further </w:t>
      </w:r>
      <w:r>
        <w:rPr>
          <w:rFonts w:ascii="Times New Roman;Times;serif" w:hAnsi="Times New Roman;Times;serif"/>
          <w:sz w:val="20"/>
        </w:rPr>
        <w:t>that an event that is not considered a Fundamental Change pursuant to this proviso shall not be a Fundamental Change solely because such event could also be subject to clause (a) above.</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firstLine="720"/>
        <w:jc w:val="left"/>
        <w:rPr/>
      </w:pPr>
      <w:r>
        <w:rPr/>
        <w:t>“</w:t>
      </w:r>
      <w:r>
        <w:rPr>
          <w:rFonts w:ascii="Times New Roman;Times;serif" w:hAnsi="Times New Roman;Times;serif"/>
          <w:b/>
          <w:sz w:val="20"/>
        </w:rPr>
        <w:t>Fundamental Change Company Notice</w:t>
      </w:r>
      <w:r>
        <w:rPr>
          <w:rFonts w:ascii="Times New Roman;Times;serif" w:hAnsi="Times New Roman;Times;serif"/>
          <w:sz w:val="20"/>
        </w:rPr>
        <w:t>” shall have the meaning specified in Section 15.02(c).</w:t>
      </w:r>
    </w:p>
    <w:p>
      <w:pPr>
        <w:pStyle w:val="TextBody"/>
        <w:bidi w:val="0"/>
        <w:spacing w:before="0" w:after="200"/>
        <w:ind w:left="0" w:right="0" w:firstLine="720"/>
        <w:jc w:val="left"/>
        <w:rPr/>
      </w:pPr>
      <w:r>
        <w:rPr/>
        <w:t>“</w:t>
      </w:r>
      <w:r>
        <w:rPr>
          <w:rFonts w:ascii="Times New Roman;Times;serif" w:hAnsi="Times New Roman;Times;serif"/>
          <w:b/>
          <w:sz w:val="20"/>
        </w:rPr>
        <w:t>Fundamental Change Repurchase Date</w:t>
      </w:r>
      <w:r>
        <w:rPr>
          <w:rFonts w:ascii="Times New Roman;Times;serif" w:hAnsi="Times New Roman;Times;serif"/>
          <w:sz w:val="20"/>
        </w:rPr>
        <w:t>” shall have the meaning specified in Section 15.02(a).</w:t>
      </w:r>
    </w:p>
    <w:p>
      <w:pPr>
        <w:pStyle w:val="TextBody"/>
        <w:bidi w:val="0"/>
        <w:spacing w:before="0" w:after="200"/>
        <w:ind w:left="0" w:right="0" w:firstLine="720"/>
        <w:jc w:val="left"/>
        <w:rPr/>
      </w:pPr>
      <w:r>
        <w:rPr/>
        <w:t>“</w:t>
      </w:r>
      <w:r>
        <w:rPr>
          <w:rFonts w:ascii="Times New Roman;Times;serif" w:hAnsi="Times New Roman;Times;serif"/>
          <w:b/>
          <w:sz w:val="20"/>
        </w:rPr>
        <w:t>Fundamental Change Repurchase Notice</w:t>
      </w:r>
      <w:r>
        <w:rPr>
          <w:rFonts w:ascii="Times New Roman;Times;serif" w:hAnsi="Times New Roman;Times;serif"/>
          <w:sz w:val="20"/>
        </w:rPr>
        <w:t>” shall have the meaning specified in Section 15.02(b)(i).</w:t>
      </w:r>
    </w:p>
    <w:p>
      <w:pPr>
        <w:pStyle w:val="TextBody"/>
        <w:bidi w:val="0"/>
        <w:spacing w:before="0" w:after="200"/>
        <w:ind w:left="0" w:right="0" w:firstLine="720"/>
        <w:jc w:val="left"/>
        <w:rPr/>
      </w:pPr>
      <w:r>
        <w:rPr/>
        <w:t>“</w:t>
      </w:r>
      <w:r>
        <w:rPr>
          <w:rFonts w:ascii="Times New Roman;Times;serif" w:hAnsi="Times New Roman;Times;serif"/>
          <w:b/>
          <w:sz w:val="20"/>
        </w:rPr>
        <w:t>Fundamental Change Repurchase Price</w:t>
      </w:r>
      <w:r>
        <w:rPr>
          <w:rFonts w:ascii="Times New Roman;Times;serif" w:hAnsi="Times New Roman;Times;serif"/>
          <w:sz w:val="20"/>
        </w:rPr>
        <w:t>” shall have the meaning specified in Section 15.02(a).</w:t>
      </w:r>
    </w:p>
    <w:p>
      <w:pPr>
        <w:pStyle w:val="TextBody"/>
        <w:bidi w:val="0"/>
        <w:spacing w:before="0" w:after="200"/>
        <w:ind w:left="0" w:right="0" w:firstLine="720"/>
        <w:jc w:val="left"/>
        <w:rPr/>
      </w:pPr>
      <w:r>
        <w:rPr/>
        <w:t>“</w:t>
      </w:r>
      <w:r>
        <w:rPr>
          <w:rFonts w:ascii="Times New Roman;Times;serif" w:hAnsi="Times New Roman;Times;serif"/>
          <w:b/>
          <w:sz w:val="20"/>
        </w:rPr>
        <w:t>Global Note</w:t>
      </w:r>
      <w:r>
        <w:rPr>
          <w:rFonts w:ascii="Times New Roman;Times;serif" w:hAnsi="Times New Roman;Times;serif"/>
          <w:sz w:val="20"/>
        </w:rPr>
        <w:t>” shall have the meaning specified in Section 2.05(b).</w:t>
      </w:r>
    </w:p>
    <w:p>
      <w:pPr>
        <w:pStyle w:val="TextBody"/>
        <w:bidi w:val="0"/>
        <w:spacing w:before="0" w:after="200"/>
        <w:ind w:left="0" w:right="0" w:firstLine="720"/>
        <w:jc w:val="left"/>
        <w:rPr/>
      </w:pPr>
      <w:r>
        <w:rPr/>
        <w:t>“</w:t>
      </w:r>
      <w:r>
        <w:rPr>
          <w:rFonts w:ascii="Times New Roman;Times;serif" w:hAnsi="Times New Roman;Times;serif"/>
          <w:b/>
          <w:sz w:val="20"/>
        </w:rPr>
        <w:t>Holder</w:t>
      </w:r>
      <w:r>
        <w:rPr>
          <w:rFonts w:ascii="Times New Roman;Times;serif" w:hAnsi="Times New Roman;Times;serif"/>
          <w:sz w:val="20"/>
        </w:rPr>
        <w:t>,” as applied to any Note, or other similar terms (but excluding the term “beneficial holder”), shall mean any Person in whose name at the time a particular Note is registered on the Note Register.</w:t>
      </w:r>
    </w:p>
    <w:p>
      <w:pPr>
        <w:pStyle w:val="TextBody"/>
        <w:bidi w:val="0"/>
        <w:spacing w:before="0" w:after="200"/>
        <w:ind w:left="0" w:right="0" w:firstLine="720"/>
        <w:jc w:val="left"/>
        <w:rPr/>
      </w:pPr>
      <w:r>
        <w:rPr/>
        <w:t>“</w:t>
      </w:r>
      <w:r>
        <w:rPr>
          <w:rFonts w:ascii="Times New Roman;Times;serif" w:hAnsi="Times New Roman;Times;serif"/>
          <w:b/>
          <w:sz w:val="20"/>
        </w:rPr>
        <w:t>Hong Kong Stock Exchange</w:t>
      </w:r>
      <w:r>
        <w:rPr>
          <w:rFonts w:ascii="Times New Roman;Times;serif" w:hAnsi="Times New Roman;Times;serif"/>
          <w:sz w:val="20"/>
        </w:rPr>
        <w:t>” means The Stock Exchange of Hong Kong Limited.</w:t>
      </w:r>
    </w:p>
    <w:p>
      <w:pPr>
        <w:pStyle w:val="TextBody"/>
        <w:bidi w:val="0"/>
        <w:spacing w:before="0" w:after="200"/>
        <w:ind w:left="0" w:right="0" w:firstLine="720"/>
        <w:jc w:val="left"/>
        <w:rPr/>
      </w:pPr>
      <w:r>
        <w:rPr/>
        <w:t>“</w:t>
      </w:r>
      <w:r>
        <w:rPr>
          <w:rFonts w:ascii="Times New Roman;Times;serif" w:hAnsi="Times New Roman;Times;serif"/>
          <w:b/>
          <w:sz w:val="20"/>
        </w:rPr>
        <w:t>Indenture</w:t>
      </w:r>
      <w:r>
        <w:rPr>
          <w:rFonts w:ascii="Times New Roman;Times;serif" w:hAnsi="Times New Roman;Times;serif"/>
          <w:sz w:val="20"/>
        </w:rPr>
        <w:t>” means this instrument as originally executed or, if amended or supplemented as herein provided, as so amended or supplemented.</w:t>
      </w:r>
    </w:p>
    <w:p>
      <w:pPr>
        <w:pStyle w:val="TextBody"/>
        <w:bidi w:val="0"/>
        <w:spacing w:before="0" w:after="200"/>
        <w:ind w:left="0" w:right="0" w:firstLine="720"/>
        <w:jc w:val="left"/>
        <w:rPr/>
      </w:pPr>
      <w:r>
        <w:rPr/>
        <w:t>“</w:t>
      </w:r>
      <w:r>
        <w:rPr>
          <w:rFonts w:ascii="Times New Roman;Times;serif" w:hAnsi="Times New Roman;Times;serif"/>
          <w:b/>
          <w:sz w:val="20"/>
        </w:rPr>
        <w:t>Initial Purchasers</w:t>
      </w:r>
      <w:r>
        <w:rPr>
          <w:rFonts w:ascii="Times New Roman;Times;serif" w:hAnsi="Times New Roman;Times;serif"/>
          <w:sz w:val="20"/>
        </w:rPr>
        <w:t>” means Goldman Sachs (Asia) LLC, Morgan Stanley Asia Limited, China International Capital Corporation Hong Kong Securities Limited and J.P. Morgan Securities LLC as representatives of the several “Purchasers” (as defined in the Purchase Agreement).</w:t>
      </w:r>
    </w:p>
    <w:p>
      <w:pPr>
        <w:pStyle w:val="TextBody"/>
        <w:bidi w:val="0"/>
        <w:spacing w:before="0" w:after="200"/>
        <w:ind w:left="0" w:right="0" w:firstLine="720"/>
        <w:jc w:val="left"/>
        <w:rPr/>
      </w:pPr>
      <w:r>
        <w:rPr/>
        <w:t>“</w:t>
      </w:r>
      <w:r>
        <w:rPr>
          <w:rFonts w:ascii="Times New Roman;Times;serif" w:hAnsi="Times New Roman;Times;serif"/>
          <w:b/>
          <w:sz w:val="20"/>
        </w:rPr>
        <w:t>Interest Payment Date</w:t>
      </w:r>
      <w:r>
        <w:rPr>
          <w:rFonts w:ascii="Times New Roman;Times;serif" w:hAnsi="Times New Roman;Times;serif"/>
          <w:sz w:val="20"/>
        </w:rPr>
        <w:t>” means each April 15 and October 15 of each year or, if the relevant date is not a Business Day, the immediately following Business Day, beginning on April 15, 2024.</w:t>
      </w:r>
    </w:p>
    <w:p>
      <w:pPr>
        <w:pStyle w:val="TextBody"/>
        <w:bidi w:val="0"/>
        <w:spacing w:before="0" w:after="200"/>
        <w:ind w:left="0" w:right="0" w:firstLine="720"/>
        <w:jc w:val="left"/>
        <w:rPr/>
      </w:pPr>
      <w:r>
        <w:rPr/>
        <w:t>“</w:t>
      </w:r>
      <w:r>
        <w:rPr>
          <w:rFonts w:ascii="Times New Roman;Times;serif" w:hAnsi="Times New Roman;Times;serif"/>
          <w:b/>
          <w:sz w:val="20"/>
        </w:rPr>
        <w:t>Last Reported Sale Price</w:t>
      </w:r>
      <w:r>
        <w:rPr>
          <w:rFonts w:ascii="Times New Roman;Times;serif" w:hAnsi="Times New Roman;Times;serif"/>
          <w:sz w:val="20"/>
        </w:rPr>
        <w:t>” of the ADSs (or such other security for which a closing price must be determined) on any date means the closing sale price per ADS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ADSs (or such other security) are traded. If (i) subject to the immediately succeeding clause (ii), the ADSs (or such other security) are not listed for trading on a U.S. national or regional securities exchange on the relevant date, the “Last Reported Sale Price” shall be the last quoted bid price for the ADSs in the over-the-counter market on the relevant date as reported by OTC Markets Group Inc. or a similar organization, and, if the ADSs (or such other security) are not so quoted, the “Last Reported Sale Price” shall be the average of the mid-point of the last bid and ask prices for the ADSs (or such other security) on the relevant date from each of at least three nationally recognized independent investment banking firms selected by the Company for this purpose and (ii) a Fundamental Change described in clause (d) of the definition thereof has occurred and the Listed Equity remain listed or have been accepted for listing on a Permitted Exchange, the “</w:t>
      </w:r>
      <w:r>
        <w:rPr>
          <w:rFonts w:ascii="Times New Roman;Times;serif" w:hAnsi="Times New Roman;Times;serif"/>
          <w:b/>
          <w:sz w:val="20"/>
        </w:rPr>
        <w:t>Last Reported Sale Price</w:t>
      </w:r>
      <w:r>
        <w:rPr>
          <w:rFonts w:ascii="Times New Roman;Times;serif" w:hAnsi="Times New Roman;Times;serif"/>
          <w:sz w:val="20"/>
        </w:rPr>
        <w:t>” will be determined based on the closing sale price of the Listed Equity on</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principal Permitted Exchange, with such changes to the foregoing definition (including the deletion of clause (i) of this definition) and the definition of “Trading Day” as the Board of Directors determines in good faith are necessary to reflect the replacement of ADS (or other security) with Listed Equity as set forth in a supplemental indenture to be executed by the Company and the Trustee as described under Section 10.03.</w:t>
      </w:r>
    </w:p>
    <w:p>
      <w:pPr>
        <w:pStyle w:val="TextBody"/>
        <w:bidi w:val="0"/>
        <w:spacing w:before="0" w:after="200"/>
        <w:ind w:left="0" w:right="0" w:firstLine="720"/>
        <w:jc w:val="left"/>
        <w:rPr/>
      </w:pPr>
      <w:r>
        <w:rPr/>
        <w:t>“</w:t>
      </w:r>
      <w:r>
        <w:rPr>
          <w:rFonts w:ascii="Times New Roman;Times;serif" w:hAnsi="Times New Roman;Times;serif"/>
          <w:b/>
          <w:sz w:val="20"/>
        </w:rPr>
        <w:t>Listed Equity</w:t>
      </w:r>
      <w:r>
        <w:rPr>
          <w:rFonts w:ascii="Times New Roman;Times;serif" w:hAnsi="Times New Roman;Times;serif"/>
          <w:sz w:val="20"/>
        </w:rPr>
        <w:t>” shall have the meaning specified in Section 10.03.</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b/>
          <w:sz w:val="20"/>
        </w:rPr>
        <w:t xml:space="preserve">majority” </w:t>
      </w:r>
      <w:r>
        <w:rPr>
          <w:rFonts w:ascii="Times New Roman;Times;serif" w:hAnsi="Times New Roman;Times;serif"/>
          <w:sz w:val="20"/>
        </w:rPr>
        <w:t>of Holders shall mean Holders of more than 50% in principal amount of the outstanding Notes.</w:t>
      </w:r>
    </w:p>
    <w:p>
      <w:pPr>
        <w:pStyle w:val="TextBody"/>
        <w:bidi w:val="0"/>
        <w:spacing w:before="0" w:after="200"/>
        <w:ind w:left="0" w:right="0" w:firstLine="720"/>
        <w:jc w:val="left"/>
        <w:rPr/>
      </w:pPr>
      <w:r>
        <w:rPr/>
        <w:t>“</w:t>
      </w:r>
      <w:r>
        <w:rPr>
          <w:rFonts w:ascii="Times New Roman;Times;serif" w:hAnsi="Times New Roman;Times;serif"/>
          <w:b/>
          <w:sz w:val="20"/>
        </w:rPr>
        <w:t>Make-Whole ADSs</w:t>
      </w:r>
      <w:r>
        <w:rPr>
          <w:rFonts w:ascii="Times New Roman;Times;serif" w:hAnsi="Times New Roman;Times;serif"/>
          <w:sz w:val="20"/>
        </w:rPr>
        <w:t>” shall have the meaning specified in Section 14.02(a).</w:t>
      </w:r>
    </w:p>
    <w:p>
      <w:pPr>
        <w:pStyle w:val="TextBody"/>
        <w:bidi w:val="0"/>
        <w:spacing w:before="0" w:after="200"/>
        <w:ind w:left="0" w:right="0" w:firstLine="720"/>
        <w:jc w:val="left"/>
        <w:rPr/>
      </w:pPr>
      <w:r>
        <w:rPr/>
        <w:t>“</w:t>
      </w:r>
      <w:r>
        <w:rPr>
          <w:rFonts w:ascii="Times New Roman;Times;serif" w:hAnsi="Times New Roman;Times;serif"/>
          <w:b/>
          <w:sz w:val="20"/>
        </w:rPr>
        <w:t>Make-Whole Fundamental Change</w:t>
      </w:r>
      <w:r>
        <w:rPr>
          <w:rFonts w:ascii="Times New Roman;Times;serif" w:hAnsi="Times New Roman;Times;serif"/>
          <w:sz w:val="20"/>
        </w:rPr>
        <w:t xml:space="preserve">” means any transaction or event described in clause (a), (b), (d) or (e) of the definition of Fundamental Change (determined after giving effect to any exceptions to or exclusions from such definition, including in the </w:t>
      </w:r>
      <w:r>
        <w:rPr>
          <w:rFonts w:ascii="Times New Roman;Times;serif" w:hAnsi="Times New Roman;Times;serif"/>
          <w:i/>
          <w:sz w:val="20"/>
        </w:rPr>
        <w:t xml:space="preserve">proviso </w:t>
      </w:r>
      <w:r>
        <w:rPr>
          <w:rFonts w:ascii="Times New Roman;Times;serif" w:hAnsi="Times New Roman;Times;serif"/>
          <w:sz w:val="20"/>
        </w:rPr>
        <w:t xml:space="preserve">immediately succeeding clause (e) of the definition thereof, but without regard to the </w:t>
      </w:r>
      <w:r>
        <w:rPr>
          <w:rFonts w:ascii="Times New Roman;Times;serif" w:hAnsi="Times New Roman;Times;serif"/>
          <w:i/>
          <w:sz w:val="20"/>
        </w:rPr>
        <w:t xml:space="preserve">proviso </w:t>
      </w:r>
      <w:r>
        <w:rPr>
          <w:rFonts w:ascii="Times New Roman;Times;serif" w:hAnsi="Times New Roman;Times;serif"/>
          <w:sz w:val="20"/>
        </w:rPr>
        <w:t>in clause (b) of the definition thereof).</w:t>
      </w:r>
    </w:p>
    <w:p>
      <w:pPr>
        <w:pStyle w:val="TextBody"/>
        <w:bidi w:val="0"/>
        <w:spacing w:before="0" w:after="200"/>
        <w:ind w:left="0" w:right="0" w:firstLine="720"/>
        <w:jc w:val="left"/>
        <w:rPr/>
      </w:pPr>
      <w:r>
        <w:rPr/>
        <w:t>“</w:t>
      </w:r>
      <w:r>
        <w:rPr>
          <w:rFonts w:ascii="Times New Roman;Times;serif" w:hAnsi="Times New Roman;Times;serif"/>
          <w:b/>
          <w:sz w:val="20"/>
        </w:rPr>
        <w:t>Market Disruption Event</w:t>
      </w:r>
      <w:r>
        <w:rPr>
          <w:rFonts w:ascii="Times New Roman;Times;serif" w:hAnsi="Times New Roman;Times;serif"/>
          <w:sz w:val="20"/>
        </w:rPr>
        <w:t>” means, for the purposes of determining amounts due upon conversion, (a) a failure by the primary U.S. national or regional securities exchange or market on which the ADSs are listed or admitted for trading to open for trading during its regular trading session or (b) the occurrence or existence prior to 1:00 p.m., New York City time, on any Scheduled Trading Day for the ADSs for more than one half-hour period in the aggregate during regular trading hours of any suspension or limitation imposed on trading (by reason of movements in price exceeding limits permitted by the relevant stock exchange or otherwise) in the ADSs or in any options contracts or futures contracts relating to the ADSs.</w:t>
      </w:r>
    </w:p>
    <w:p>
      <w:pPr>
        <w:pStyle w:val="TextBody"/>
        <w:bidi w:val="0"/>
        <w:spacing w:before="0" w:after="200"/>
        <w:ind w:left="0" w:right="0" w:firstLine="720"/>
        <w:jc w:val="left"/>
        <w:rPr/>
      </w:pPr>
      <w:r>
        <w:rPr/>
        <w:t>“</w:t>
      </w:r>
      <w:r>
        <w:rPr>
          <w:rFonts w:ascii="Times New Roman;Times;serif" w:hAnsi="Times New Roman;Times;serif"/>
          <w:b/>
          <w:sz w:val="20"/>
        </w:rPr>
        <w:t>Maturity Date</w:t>
      </w:r>
      <w:r>
        <w:rPr>
          <w:rFonts w:ascii="Times New Roman;Times;serif" w:hAnsi="Times New Roman;Times;serif"/>
          <w:sz w:val="20"/>
        </w:rPr>
        <w:t>” means October 15, 2029.</w:t>
      </w:r>
    </w:p>
    <w:p>
      <w:pPr>
        <w:pStyle w:val="TextBody"/>
        <w:bidi w:val="0"/>
        <w:spacing w:before="0" w:after="200"/>
        <w:ind w:left="0" w:right="0" w:firstLine="720"/>
        <w:jc w:val="left"/>
        <w:rPr/>
      </w:pPr>
      <w:r>
        <w:rPr/>
        <w:t>“</w:t>
      </w:r>
      <w:r>
        <w:rPr>
          <w:rFonts w:ascii="Times New Roman;Times;serif" w:hAnsi="Times New Roman;Times;serif"/>
          <w:b/>
          <w:sz w:val="20"/>
        </w:rPr>
        <w:t>Merger Event</w:t>
      </w:r>
      <w:r>
        <w:rPr>
          <w:rFonts w:ascii="Times New Roman;Times;serif" w:hAnsi="Times New Roman;Times;serif"/>
          <w:sz w:val="20"/>
        </w:rPr>
        <w:t>” shall have the meaning specified in Section 14.07(a).</w:t>
      </w:r>
    </w:p>
    <w:p>
      <w:pPr>
        <w:pStyle w:val="TextBody"/>
        <w:bidi w:val="0"/>
        <w:spacing w:before="0" w:after="200"/>
        <w:ind w:left="0" w:right="0" w:firstLine="720"/>
        <w:jc w:val="left"/>
        <w:rPr/>
      </w:pPr>
      <w:r>
        <w:rPr/>
        <w:t>“</w:t>
      </w:r>
      <w:r>
        <w:rPr>
          <w:rFonts w:ascii="Times New Roman;Times;serif" w:hAnsi="Times New Roman;Times;serif"/>
          <w:b/>
          <w:sz w:val="20"/>
        </w:rPr>
        <w:t>Note</w:t>
      </w:r>
      <w:r>
        <w:rPr>
          <w:rFonts w:ascii="Times New Roman;Times;serif" w:hAnsi="Times New Roman;Times;serif"/>
          <w:sz w:val="20"/>
        </w:rPr>
        <w:t>” or “</w:t>
      </w:r>
      <w:r>
        <w:rPr>
          <w:rFonts w:ascii="Times New Roman;Times;serif" w:hAnsi="Times New Roman;Times;serif"/>
          <w:b/>
          <w:sz w:val="20"/>
        </w:rPr>
        <w:t>Notes</w:t>
      </w:r>
      <w:r>
        <w:rPr>
          <w:rFonts w:ascii="Times New Roman;Times;serif" w:hAnsi="Times New Roman;Times;serif"/>
          <w:sz w:val="20"/>
        </w:rPr>
        <w:t>” shall have the meaning specified in the first paragraph of the recitals of this Indenture.</w:t>
      </w:r>
    </w:p>
    <w:p>
      <w:pPr>
        <w:pStyle w:val="TextBody"/>
        <w:bidi w:val="0"/>
        <w:spacing w:before="0" w:after="200"/>
        <w:ind w:left="0" w:right="0" w:firstLine="720"/>
        <w:jc w:val="left"/>
        <w:rPr/>
      </w:pPr>
      <w:r>
        <w:rPr/>
        <w:t>“</w:t>
      </w:r>
      <w:r>
        <w:rPr>
          <w:rFonts w:ascii="Times New Roman;Times;serif" w:hAnsi="Times New Roman;Times;serif"/>
          <w:b/>
          <w:sz w:val="20"/>
        </w:rPr>
        <w:t>Notes Fungibility Date</w:t>
      </w:r>
      <w:r>
        <w:rPr>
          <w:rFonts w:ascii="Times New Roman;Times;serif" w:hAnsi="Times New Roman;Times;serif"/>
          <w:sz w:val="20"/>
        </w:rPr>
        <w:t>” means the date, if any, following the Resale Restriction Termination Date on which all of the Notes are no longer Restricted Securities, do not bear the restrictive legend required by Section 2.05(c), are fungible for U.S. securities law purposes and are assigned an identical, unrestricted CUSIP number.</w:t>
      </w:r>
    </w:p>
    <w:p>
      <w:pPr>
        <w:pStyle w:val="TextBody"/>
        <w:bidi w:val="0"/>
        <w:spacing w:before="0" w:after="200"/>
        <w:ind w:left="0" w:right="0" w:firstLine="720"/>
        <w:jc w:val="left"/>
        <w:rPr/>
      </w:pPr>
      <w:r>
        <w:rPr/>
        <w:t>“</w:t>
      </w:r>
      <w:r>
        <w:rPr>
          <w:rFonts w:ascii="Times New Roman;Times;serif" w:hAnsi="Times New Roman;Times;serif"/>
          <w:b/>
          <w:sz w:val="20"/>
        </w:rPr>
        <w:t>Note Register</w:t>
      </w:r>
      <w:r>
        <w:rPr>
          <w:rFonts w:ascii="Times New Roman;Times;serif" w:hAnsi="Times New Roman;Times;serif"/>
          <w:sz w:val="20"/>
        </w:rPr>
        <w:t>” shall have the meaning specified in Section 2.05(a).</w:t>
      </w:r>
    </w:p>
    <w:p>
      <w:pPr>
        <w:pStyle w:val="TextBody"/>
        <w:bidi w:val="0"/>
        <w:spacing w:before="0" w:after="200"/>
        <w:ind w:left="0" w:right="0" w:firstLine="720"/>
        <w:jc w:val="left"/>
        <w:rPr/>
      </w:pPr>
      <w:r>
        <w:rPr/>
        <w:t>“</w:t>
      </w:r>
      <w:r>
        <w:rPr>
          <w:rFonts w:ascii="Times New Roman;Times;serif" w:hAnsi="Times New Roman;Times;serif"/>
          <w:b/>
          <w:sz w:val="20"/>
        </w:rPr>
        <w:t>Note Registrar</w:t>
      </w:r>
      <w:r>
        <w:rPr>
          <w:rFonts w:ascii="Times New Roman;Times;serif" w:hAnsi="Times New Roman;Times;serif"/>
          <w:sz w:val="20"/>
        </w:rPr>
        <w:t>” shall have the meaning specified in Section 2.05(a).</w:t>
      </w:r>
    </w:p>
    <w:p>
      <w:pPr>
        <w:pStyle w:val="TextBody"/>
        <w:bidi w:val="0"/>
        <w:spacing w:before="0" w:after="200"/>
        <w:ind w:left="0" w:right="0" w:firstLine="720"/>
        <w:jc w:val="left"/>
        <w:rPr/>
      </w:pPr>
      <w:r>
        <w:rPr/>
        <w:t>“</w:t>
      </w:r>
      <w:r>
        <w:rPr>
          <w:rFonts w:ascii="Times New Roman;Times;serif" w:hAnsi="Times New Roman;Times;serif"/>
          <w:b/>
          <w:sz w:val="20"/>
        </w:rPr>
        <w:t>Notice of Conversion</w:t>
      </w:r>
      <w:r>
        <w:rPr>
          <w:rFonts w:ascii="Times New Roman;Times;serif" w:hAnsi="Times New Roman;Times;serif"/>
          <w:sz w:val="20"/>
        </w:rPr>
        <w:t>” shall have the meaning specified in Section 14.02(b).</w:t>
      </w:r>
    </w:p>
    <w:p>
      <w:pPr>
        <w:pStyle w:val="TextBody"/>
        <w:bidi w:val="0"/>
        <w:spacing w:before="0" w:after="200"/>
        <w:ind w:left="0" w:right="0" w:firstLine="720"/>
        <w:jc w:val="left"/>
        <w:rPr/>
      </w:pPr>
      <w:r>
        <w:rPr/>
        <w:t>“</w:t>
      </w:r>
      <w:r>
        <w:rPr>
          <w:rFonts w:ascii="Times New Roman;Times;serif" w:hAnsi="Times New Roman;Times;serif"/>
          <w:b/>
          <w:sz w:val="20"/>
        </w:rPr>
        <w:t>Observation Period</w:t>
      </w:r>
      <w:r>
        <w:rPr>
          <w:rFonts w:ascii="Times New Roman;Times;serif" w:hAnsi="Times New Roman;Times;serif"/>
          <w:sz w:val="20"/>
        </w:rPr>
        <w:t>” with respect to any Note surrendered for conversion means: (i) subject to clause (ii), if the relevant Conversion Date occurs prior to the 30</w:t>
      </w:r>
      <w:r>
        <w:rPr>
          <w:rFonts w:ascii="Times New Roman;Times;serif" w:hAnsi="Times New Roman;Times;serif"/>
          <w:sz w:val="15"/>
        </w:rPr>
        <w:t xml:space="preserve">th </w:t>
      </w:r>
      <w:r>
        <w:rPr>
          <w:rFonts w:ascii="Times New Roman;Times;serif" w:hAnsi="Times New Roman;Times;serif"/>
          <w:sz w:val="20"/>
        </w:rPr>
        <w:t>Scheduled Trading</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Day immediately preceding the Maturity Date, the 20 consecutive Trading Day period beginning on, and including, the third Trading Day immediately succeeding such Conversion Date; (ii) if the relevant Conversion Date occurs on or after the date of the Company’s issuance of a Redemption Notice with respect to the Notes pursuant to Article 16 and prior to the close of business on the second Scheduled Trading Day prior to the relevant Redemption Date, the 20 consecutive Trading Days beginning on, and including, the 21</w:t>
      </w:r>
      <w:r>
        <w:rPr>
          <w:rFonts w:ascii="Times New Roman;Times;serif" w:hAnsi="Times New Roman;Times;serif"/>
          <w:sz w:val="15"/>
        </w:rPr>
        <w:t>st</w:t>
      </w:r>
      <w:r>
        <w:rPr>
          <w:rFonts w:ascii="Times New Roman;Times;serif" w:hAnsi="Times New Roman;Times;serif"/>
          <w:sz w:val="20"/>
        </w:rPr>
        <w:t xml:space="preserve"> Scheduled Trading Day immediately preceding such Redemption Date; and (iii) subject to clause (ii), if the relevant Conversion Date occurs on or after the 30</w:t>
      </w:r>
      <w:r>
        <w:rPr>
          <w:rFonts w:ascii="Times New Roman;Times;serif" w:hAnsi="Times New Roman;Times;serif"/>
          <w:sz w:val="15"/>
        </w:rPr>
        <w:t>th</w:t>
      </w:r>
      <w:r>
        <w:rPr>
          <w:rFonts w:ascii="Times New Roman;Times;serif" w:hAnsi="Times New Roman;Times;serif"/>
          <w:sz w:val="20"/>
        </w:rPr>
        <w:t xml:space="preserve"> Scheduled Trading Day immediately preceding the Maturity Date, the 20 consecutive Trading Days beginning on, and including, the 21</w:t>
      </w:r>
      <w:r>
        <w:rPr>
          <w:rFonts w:ascii="Times New Roman;Times;serif" w:hAnsi="Times New Roman;Times;serif"/>
          <w:sz w:val="15"/>
        </w:rPr>
        <w:t xml:space="preserve">st </w:t>
      </w:r>
      <w:r>
        <w:rPr>
          <w:rFonts w:ascii="Times New Roman;Times;serif" w:hAnsi="Times New Roman;Times;serif"/>
          <w:sz w:val="20"/>
        </w:rPr>
        <w:t>Scheduled Trading Day immediately preceding the Maturity Date.</w:t>
      </w:r>
    </w:p>
    <w:p>
      <w:pPr>
        <w:pStyle w:val="TextBody"/>
        <w:bidi w:val="0"/>
        <w:spacing w:before="0" w:after="200"/>
        <w:ind w:left="0" w:right="0" w:firstLine="720"/>
        <w:jc w:val="left"/>
        <w:rPr/>
      </w:pPr>
      <w:r>
        <w:rPr/>
        <w:t>“</w:t>
      </w:r>
      <w:r>
        <w:rPr>
          <w:rFonts w:ascii="Times New Roman;Times;serif" w:hAnsi="Times New Roman;Times;serif"/>
          <w:b/>
          <w:sz w:val="20"/>
        </w:rPr>
        <w:t>Offering Memorandum</w:t>
      </w:r>
      <w:r>
        <w:rPr>
          <w:rFonts w:ascii="Times New Roman;Times;serif" w:hAnsi="Times New Roman;Times;serif"/>
          <w:sz w:val="20"/>
        </w:rPr>
        <w:t>” means the preliminary offering memorandum dated September 18, 2023, as supplemented by the pricing term sheet dated September 19, 2023, relating to the offering and sale of the Notes.</w:t>
      </w:r>
    </w:p>
    <w:p>
      <w:pPr>
        <w:pStyle w:val="TextBody"/>
        <w:bidi w:val="0"/>
        <w:spacing w:before="0" w:after="200"/>
        <w:ind w:left="0" w:right="0" w:firstLine="720"/>
        <w:jc w:val="left"/>
        <w:rPr/>
      </w:pPr>
      <w:r>
        <w:rPr/>
        <w:t>“</w:t>
      </w:r>
      <w:r>
        <w:rPr>
          <w:rFonts w:ascii="Times New Roman;Times;serif" w:hAnsi="Times New Roman;Times;serif"/>
          <w:b/>
          <w:sz w:val="20"/>
        </w:rPr>
        <w:t>Officer</w:t>
      </w:r>
      <w:r>
        <w:rPr>
          <w:rFonts w:ascii="Times New Roman;Times;serif" w:hAnsi="Times New Roman;Times;serif"/>
          <w:sz w:val="20"/>
        </w:rPr>
        <w:t>” means, with respect to the Company, the President, the Chief Executive Officer, the Chief Financial Officer the Treasurer, the Secretary, any Executive or Senior Vice President or any Vice President (whether or not designated by a number or numbers or word or words added before or after the title “Vice President”).</w:t>
      </w:r>
    </w:p>
    <w:p>
      <w:pPr>
        <w:pStyle w:val="TextBody"/>
        <w:bidi w:val="0"/>
        <w:spacing w:before="0" w:after="200"/>
        <w:ind w:left="0" w:right="0" w:firstLine="720"/>
        <w:jc w:val="left"/>
        <w:rPr/>
      </w:pPr>
      <w:r>
        <w:rPr/>
        <w:t>“</w:t>
      </w:r>
      <w:r>
        <w:rPr>
          <w:rFonts w:ascii="Times New Roman;Times;serif" w:hAnsi="Times New Roman;Times;serif"/>
          <w:b/>
          <w:sz w:val="20"/>
        </w:rPr>
        <w:t>Officers’ Certificate</w:t>
      </w:r>
      <w:r>
        <w:rPr>
          <w:rFonts w:ascii="Times New Roman;Times;serif" w:hAnsi="Times New Roman;Times;serif"/>
          <w:sz w:val="20"/>
        </w:rPr>
        <w:t>,” when used with respect to the Company, means a certificate that is delivered to the Trustee and that is signed by (a) two Officers of the Company or (b) one Officer of the Company and one of any Assistant Treasurer, any Assistant Secretary or General Counsel or the Controller of the Company. Each such certificate shall include the statements provided for in Section 17.06 if and to the extent required by the provisions of such Section. One of the Officers giving an Officers’ Certificate pursuant to Section 4.09 shall be the principal executive, financial or accounting officer of the Company.</w:t>
      </w:r>
    </w:p>
    <w:p>
      <w:pPr>
        <w:pStyle w:val="TextBody"/>
        <w:bidi w:val="0"/>
        <w:spacing w:before="0" w:after="200"/>
        <w:ind w:left="0" w:right="0" w:firstLine="720"/>
        <w:jc w:val="left"/>
        <w:rPr/>
      </w:pPr>
      <w:r>
        <w:rPr/>
        <w:t>“</w:t>
      </w:r>
      <w:r>
        <w:rPr>
          <w:rFonts w:ascii="Times New Roman;Times;serif" w:hAnsi="Times New Roman;Times;serif"/>
          <w:b/>
          <w:sz w:val="20"/>
        </w:rPr>
        <w:t>open of business</w:t>
      </w:r>
      <w:r>
        <w:rPr>
          <w:rFonts w:ascii="Times New Roman;Times;serif" w:hAnsi="Times New Roman;Times;serif"/>
          <w:sz w:val="20"/>
        </w:rPr>
        <w:t>” means 9:00 a.m. (New York City time).</w:t>
      </w:r>
    </w:p>
    <w:p>
      <w:pPr>
        <w:pStyle w:val="TextBody"/>
        <w:bidi w:val="0"/>
        <w:spacing w:before="0" w:after="200"/>
        <w:ind w:left="0" w:right="0" w:firstLine="720"/>
        <w:jc w:val="left"/>
        <w:rPr/>
      </w:pPr>
      <w:r>
        <w:rPr/>
        <w:t>“</w:t>
      </w:r>
      <w:r>
        <w:rPr>
          <w:rFonts w:ascii="Times New Roman;Times;serif" w:hAnsi="Times New Roman;Times;serif"/>
          <w:b/>
          <w:sz w:val="20"/>
        </w:rPr>
        <w:t>Opinion of Counsel</w:t>
      </w:r>
      <w:r>
        <w:rPr>
          <w:rFonts w:ascii="Times New Roman;Times;serif" w:hAnsi="Times New Roman;Times;serif"/>
          <w:sz w:val="20"/>
        </w:rPr>
        <w:t>” means an opinion in writing signed by legal counsel and in a form reasonably acceptable to the Trustee, who may be counsel to the Company, or other counsel acceptable to the Trustee, that is delivered to the Trustee. Each such opinion shall include the statements provided for in Section 17.06 if and to the extent required by the provisions of such Section 17.06.</w:t>
      </w:r>
    </w:p>
    <w:p>
      <w:pPr>
        <w:pStyle w:val="TextBody"/>
        <w:bidi w:val="0"/>
        <w:spacing w:before="0" w:after="200"/>
        <w:ind w:left="0" w:right="0" w:firstLine="720"/>
        <w:jc w:val="left"/>
        <w:rPr/>
      </w:pPr>
      <w:r>
        <w:rPr/>
        <w:t>“</w:t>
      </w:r>
      <w:r>
        <w:rPr>
          <w:rFonts w:ascii="Times New Roman;Times;serif" w:hAnsi="Times New Roman;Times;serif"/>
          <w:b/>
          <w:sz w:val="20"/>
        </w:rPr>
        <w:t>Optional Redemption</w:t>
      </w:r>
      <w:r>
        <w:rPr>
          <w:rFonts w:ascii="Times New Roman;Times;serif" w:hAnsi="Times New Roman;Times;serif"/>
          <w:sz w:val="20"/>
        </w:rPr>
        <w:t>” shall have the meaning specified in Section 16.02.</w:t>
      </w:r>
    </w:p>
    <w:p>
      <w:pPr>
        <w:pStyle w:val="TextBody"/>
        <w:bidi w:val="0"/>
        <w:spacing w:before="0" w:after="200"/>
        <w:ind w:left="0" w:right="0" w:firstLine="720"/>
        <w:jc w:val="left"/>
        <w:rPr/>
      </w:pPr>
      <w:r>
        <w:rPr/>
        <w:t>“</w:t>
      </w:r>
      <w:r>
        <w:rPr>
          <w:rFonts w:ascii="Times New Roman;Times;serif" w:hAnsi="Times New Roman;Times;serif"/>
          <w:b/>
          <w:sz w:val="20"/>
        </w:rPr>
        <w:t>Optional Redemption Date</w:t>
      </w:r>
      <w:r>
        <w:rPr>
          <w:rFonts w:ascii="Times New Roman;Times;serif" w:hAnsi="Times New Roman;Times;serif"/>
          <w:sz w:val="20"/>
        </w:rPr>
        <w:t>” shall have the meaning specified in Section 16.02(b).</w:t>
      </w:r>
    </w:p>
    <w:p>
      <w:pPr>
        <w:pStyle w:val="TextBody"/>
        <w:bidi w:val="0"/>
        <w:spacing w:before="0" w:after="200"/>
        <w:ind w:left="0" w:right="0" w:firstLine="720"/>
        <w:jc w:val="left"/>
        <w:rPr/>
      </w:pPr>
      <w:r>
        <w:rPr/>
        <w:t>“</w:t>
      </w:r>
      <w:r>
        <w:rPr>
          <w:rFonts w:ascii="Times New Roman;Times;serif" w:hAnsi="Times New Roman;Times;serif"/>
          <w:b/>
          <w:sz w:val="20"/>
        </w:rPr>
        <w:t>Optional Redemption Notice</w:t>
      </w:r>
      <w:r>
        <w:rPr>
          <w:rFonts w:ascii="Times New Roman;Times;serif" w:hAnsi="Times New Roman;Times;serif"/>
          <w:sz w:val="20"/>
        </w:rPr>
        <w:t>” shall have the meaning specified in Section 16.02(b).</w:t>
      </w:r>
    </w:p>
    <w:p>
      <w:pPr>
        <w:pStyle w:val="TextBody"/>
        <w:bidi w:val="0"/>
        <w:spacing w:before="0" w:after="200"/>
        <w:ind w:left="0" w:right="0" w:firstLine="720"/>
        <w:jc w:val="left"/>
        <w:rPr/>
      </w:pPr>
      <w:r>
        <w:rPr/>
        <w:t>“</w:t>
      </w:r>
      <w:r>
        <w:rPr>
          <w:rFonts w:ascii="Times New Roman;Times;serif" w:hAnsi="Times New Roman;Times;serif"/>
          <w:b/>
          <w:sz w:val="20"/>
        </w:rPr>
        <w:t>Optional Redemption Price</w:t>
      </w:r>
      <w:r>
        <w:rPr>
          <w:rFonts w:ascii="Times New Roman;Times;serif" w:hAnsi="Times New Roman;Times;serif"/>
          <w:sz w:val="20"/>
        </w:rPr>
        <w:t>” shall have the meaning specified in Section 16.02(b).</w:t>
      </w:r>
    </w:p>
    <w:p>
      <w:pPr>
        <w:pStyle w:val="TextBody"/>
        <w:bidi w:val="0"/>
        <w:spacing w:before="0" w:after="200"/>
        <w:ind w:left="0" w:right="0" w:firstLine="720"/>
        <w:jc w:val="left"/>
        <w:rPr/>
      </w:pPr>
      <w:r>
        <w:rPr/>
        <w:t>“</w:t>
      </w:r>
      <w:r>
        <w:rPr>
          <w:rFonts w:ascii="Times New Roman;Times;serif" w:hAnsi="Times New Roman;Times;serif"/>
          <w:b/>
          <w:sz w:val="20"/>
        </w:rPr>
        <w:t>Ordinary Shares</w:t>
      </w:r>
      <w:r>
        <w:rPr>
          <w:rFonts w:ascii="Times New Roman;Times;serif" w:hAnsi="Times New Roman;Times;serif"/>
          <w:sz w:val="20"/>
        </w:rPr>
        <w:t>” means Class A ordinary shares of the Company, par value US$0.00025 per share, at the date of this Indenture, subject to Section 14.07.</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firstLine="720"/>
        <w:jc w:val="left"/>
        <w:rPr/>
      </w:pPr>
      <w:r>
        <w:rPr/>
        <w:t>“</w:t>
      </w:r>
      <w:r>
        <w:rPr>
          <w:rFonts w:ascii="Times New Roman;Times;serif" w:hAnsi="Times New Roman;Times;serif"/>
          <w:b/>
          <w:sz w:val="20"/>
        </w:rPr>
        <w:t>outstanding</w:t>
      </w:r>
      <w:r>
        <w:rPr>
          <w:rFonts w:ascii="Times New Roman;Times;serif" w:hAnsi="Times New Roman;Times;serif"/>
          <w:sz w:val="20"/>
        </w:rPr>
        <w:t>,” when used with reference to Notes, shall, subject to the provisions of Section 8.04, mean, as of any particular time, all Notes authenticated and delivered by the Trustee under this Indenture, except:</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Notes theretofore canceled by the Trustee or accepted by the Trustee for cancellation;</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Notes, or portions thereof, that have become due and payable and in respect of which monies in the necessary amount shall have been deposited with the Trustee or with any Paying Agent (other than the Company) or shall have been set aside and segregated in trust by the Company (if the Company shall act as its own Paying Agent);</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Notes that have been paid pursuant to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Notes converted pursuant to Article 14 and required to be cancelled pursuant to Section 2.08;</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Notes redeemed pursuant to Article 16; and</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Notes repurchased by the Company pursuant to the third sentence of Section 2.10.</w:t>
      </w:r>
    </w:p>
    <w:p>
      <w:pPr>
        <w:pStyle w:val="TextBody"/>
        <w:bidi w:val="0"/>
        <w:spacing w:before="0" w:after="200"/>
        <w:ind w:left="0" w:right="0" w:firstLine="720"/>
        <w:jc w:val="left"/>
        <w:rPr/>
      </w:pPr>
      <w:r>
        <w:rPr/>
        <w:t>“</w:t>
      </w:r>
      <w:r>
        <w:rPr>
          <w:rFonts w:ascii="Times New Roman;Times;serif" w:hAnsi="Times New Roman;Times;serif"/>
          <w:b/>
          <w:sz w:val="20"/>
        </w:rPr>
        <w:t>Paying Agent</w:t>
      </w:r>
      <w:r>
        <w:rPr>
          <w:rFonts w:ascii="Times New Roman;Times;serif" w:hAnsi="Times New Roman;Times;serif"/>
          <w:sz w:val="20"/>
        </w:rPr>
        <w:t>” shall have the meaning specified in Section 4.02.</w:t>
      </w:r>
    </w:p>
    <w:p>
      <w:pPr>
        <w:pStyle w:val="TextBody"/>
        <w:bidi w:val="0"/>
        <w:spacing w:before="0" w:after="200"/>
        <w:ind w:left="0" w:right="0" w:firstLine="720"/>
        <w:jc w:val="left"/>
        <w:rPr/>
      </w:pPr>
      <w:r>
        <w:rPr/>
        <w:t>“</w:t>
      </w:r>
      <w:r>
        <w:rPr>
          <w:rFonts w:ascii="Times New Roman;Times;serif" w:hAnsi="Times New Roman;Times;serif"/>
          <w:b/>
          <w:sz w:val="20"/>
        </w:rPr>
        <w:t>Paying Agent Office</w:t>
      </w:r>
      <w:r>
        <w:rPr>
          <w:rFonts w:ascii="Times New Roman;Times;serif" w:hAnsi="Times New Roman;Times;serif"/>
          <w:sz w:val="20"/>
        </w:rPr>
        <w:t>” means the designated office of the Paying Agent at which at any time this Indenture shall be administered, which office at the date hereof is located at located at 60 Wall Street, 24</w:t>
      </w:r>
      <w:r>
        <w:rPr>
          <w:rFonts w:ascii="Times New Roman;Times;serif" w:hAnsi="Times New Roman;Times;serif"/>
          <w:sz w:val="15"/>
        </w:rPr>
        <w:t>th</w:t>
      </w:r>
      <w:r>
        <w:rPr>
          <w:rFonts w:ascii="Times New Roman;Times;serif" w:hAnsi="Times New Roman;Times;serif"/>
          <w:sz w:val="20"/>
        </w:rPr>
        <w:t xml:space="preserve"> Floor, Mail Stop: NYC60-2405, New York, New York, 10005, Attention: Trust &amp; Agency Services, Corporates Team – NIO Inc. Facsimile: (732) 578-4635, or such other address as the Paying Agent may designate from time to time by notice to the Holders and the Company, or the designated office of any successor paying agent (or such other address as such successor paying agent may designate from time to time by notice to the Holders and the Company).</w:t>
      </w:r>
    </w:p>
    <w:p>
      <w:pPr>
        <w:pStyle w:val="TextBody"/>
        <w:bidi w:val="0"/>
        <w:spacing w:before="0" w:after="200"/>
        <w:ind w:left="0" w:right="0" w:firstLine="720"/>
        <w:jc w:val="left"/>
        <w:rPr/>
      </w:pPr>
      <w:r>
        <w:rPr/>
        <w:t>“</w:t>
      </w:r>
      <w:r>
        <w:rPr>
          <w:rFonts w:ascii="Times New Roman;Times;serif" w:hAnsi="Times New Roman;Times;serif"/>
          <w:b/>
          <w:sz w:val="20"/>
        </w:rPr>
        <w:t>Permitted Exchange</w:t>
      </w:r>
      <w:r>
        <w:rPr>
          <w:rFonts w:ascii="Times New Roman;Times;serif" w:hAnsi="Times New Roman;Times;serif"/>
          <w:sz w:val="20"/>
        </w:rPr>
        <w:t>” means Singapore Exchange, Hong Kong Stock Exchange or London Stock Exchange (or any of their respective successors).</w:t>
      </w:r>
    </w:p>
    <w:p>
      <w:pPr>
        <w:pStyle w:val="TextBody"/>
        <w:bidi w:val="0"/>
        <w:spacing w:before="0" w:after="200"/>
        <w:ind w:left="0" w:right="0" w:firstLine="720"/>
        <w:jc w:val="left"/>
        <w:rPr/>
      </w:pPr>
      <w:r>
        <w:rPr/>
        <w:t>“</w:t>
      </w:r>
      <w:r>
        <w:rPr>
          <w:rFonts w:ascii="Times New Roman;Times;serif" w:hAnsi="Times New Roman;Times;serif"/>
          <w:b/>
          <w:sz w:val="20"/>
        </w:rPr>
        <w:t>Permitted Holder</w:t>
      </w:r>
      <w:r>
        <w:rPr>
          <w:rFonts w:ascii="Times New Roman;Times;serif" w:hAnsi="Times New Roman;Times;serif"/>
          <w:sz w:val="20"/>
        </w:rPr>
        <w:t>” means Mr. Bin Li, together with any other respective “person” and “group” subject to aggregation with respect to the Ordinary Shares (including Ordinary Shares held in the form of ADSs) with such person under Section 13(d) of the Exchange Act.</w:t>
      </w:r>
    </w:p>
    <w:p>
      <w:pPr>
        <w:pStyle w:val="TextBody"/>
        <w:bidi w:val="0"/>
        <w:spacing w:before="0" w:after="200"/>
        <w:ind w:left="0" w:right="0" w:firstLine="720"/>
        <w:jc w:val="both"/>
        <w:rPr/>
      </w:pPr>
      <w:r>
        <w:rPr/>
        <w:t>“</w:t>
      </w:r>
      <w:r>
        <w:rPr>
          <w:rFonts w:ascii="Times New Roman;Times;serif" w:hAnsi="Times New Roman;Times;serif"/>
          <w:b/>
          <w:sz w:val="20"/>
        </w:rPr>
        <w:t>Person</w:t>
      </w:r>
      <w:r>
        <w:rPr>
          <w:rFonts w:ascii="Times New Roman;Times;serif" w:hAnsi="Times New Roman;Times;serif"/>
          <w:sz w:val="20"/>
        </w:rPr>
        <w:t>” means an individual, a corporation, a limited liability company, an association, a partnership, a joint venture, a joint stock company, a trust, an unincorporated organization or a government or an agency or a political subdivision thereof.</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firstLine="720"/>
        <w:jc w:val="left"/>
        <w:rPr/>
      </w:pPr>
      <w:r>
        <w:rPr/>
        <w:t>“</w:t>
      </w:r>
      <w:r>
        <w:rPr>
          <w:rFonts w:ascii="Times New Roman;Times;serif" w:hAnsi="Times New Roman;Times;serif"/>
          <w:b/>
          <w:sz w:val="20"/>
        </w:rPr>
        <w:t>Physical Notes</w:t>
      </w:r>
      <w:r>
        <w:rPr>
          <w:rFonts w:ascii="Times New Roman;Times;serif" w:hAnsi="Times New Roman;Times;serif"/>
          <w:sz w:val="20"/>
        </w:rPr>
        <w:t>” means permanent certificated Notes in registered form issued in denominations of US$1,000 principal amount and multiples thereof.</w:t>
      </w:r>
    </w:p>
    <w:p>
      <w:pPr>
        <w:pStyle w:val="TextBody"/>
        <w:bidi w:val="0"/>
        <w:spacing w:before="0" w:after="200"/>
        <w:ind w:left="0" w:right="0" w:firstLine="720"/>
        <w:jc w:val="both"/>
        <w:rPr/>
      </w:pPr>
      <w:r>
        <w:rPr/>
        <w:t>“</w:t>
      </w:r>
      <w:r>
        <w:rPr>
          <w:rFonts w:ascii="Times New Roman;Times;serif" w:hAnsi="Times New Roman;Times;serif"/>
          <w:b/>
          <w:sz w:val="20"/>
        </w:rPr>
        <w:t>Physical Settlement</w:t>
      </w:r>
      <w:r>
        <w:rPr>
          <w:rFonts w:ascii="Times New Roman;Times;serif" w:hAnsi="Times New Roman;Times;serif"/>
          <w:sz w:val="20"/>
        </w:rPr>
        <w:t>” shall have the meaning specified in Section 14.02(a).</w:t>
      </w:r>
    </w:p>
    <w:p>
      <w:pPr>
        <w:pStyle w:val="TextBody"/>
        <w:bidi w:val="0"/>
        <w:spacing w:before="0" w:after="200"/>
        <w:ind w:left="0" w:right="0" w:firstLine="720"/>
        <w:jc w:val="left"/>
        <w:rPr/>
      </w:pPr>
      <w:r>
        <w:rPr/>
        <w:t>“</w:t>
      </w:r>
      <w:r>
        <w:rPr>
          <w:rFonts w:ascii="Times New Roman;Times;serif" w:hAnsi="Times New Roman;Times;serif"/>
          <w:b/>
          <w:sz w:val="20"/>
        </w:rPr>
        <w:t>PRC</w:t>
      </w:r>
      <w:r>
        <w:rPr>
          <w:rFonts w:ascii="Times New Roman;Times;serif" w:hAnsi="Times New Roman;Times;serif"/>
          <w:sz w:val="20"/>
        </w:rPr>
        <w:t>” means the People’s Republic of China, excluding, for the purpose of this Indenture only, Taiwan, Hong Kong, and Macau.</w:t>
      </w:r>
    </w:p>
    <w:p>
      <w:pPr>
        <w:pStyle w:val="TextBody"/>
        <w:bidi w:val="0"/>
        <w:spacing w:before="0" w:after="200"/>
        <w:ind w:left="0" w:right="0" w:firstLine="720"/>
        <w:jc w:val="left"/>
        <w:rPr/>
      </w:pPr>
      <w:r>
        <w:rPr/>
        <w:t>“</w:t>
      </w:r>
      <w:r>
        <w:rPr>
          <w:rFonts w:ascii="Times New Roman;Times;serif" w:hAnsi="Times New Roman;Times;serif"/>
          <w:b/>
          <w:sz w:val="20"/>
        </w:rPr>
        <w:t>Predecessor Note</w:t>
      </w:r>
      <w:r>
        <w:rPr>
          <w:rFonts w:ascii="Times New Roman;Times;serif" w:hAnsi="Times New Roman;Times;serif"/>
          <w:sz w:val="20"/>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pStyle w:val="TextBody"/>
        <w:bidi w:val="0"/>
        <w:spacing w:before="0" w:after="200"/>
        <w:ind w:left="0" w:right="0" w:firstLine="720"/>
        <w:jc w:val="left"/>
        <w:rPr/>
      </w:pPr>
      <w:r>
        <w:rPr/>
        <w:t>“</w:t>
      </w:r>
      <w:r>
        <w:rPr>
          <w:rFonts w:ascii="Times New Roman;Times;serif" w:hAnsi="Times New Roman;Times;serif"/>
          <w:b/>
          <w:sz w:val="20"/>
        </w:rPr>
        <w:t>Procedures Letter</w:t>
      </w:r>
      <w:r>
        <w:rPr>
          <w:rFonts w:ascii="Times New Roman;Times;serif" w:hAnsi="Times New Roman;Times;serif"/>
          <w:sz w:val="20"/>
        </w:rPr>
        <w:t>” means the letter agreement dated as of September 22, 2023 between the Company and the ADS Depositary or, if amended or supplemented as provided therein, as so amended or supplemented.</w:t>
      </w:r>
    </w:p>
    <w:p>
      <w:pPr>
        <w:pStyle w:val="TextBody"/>
        <w:bidi w:val="0"/>
        <w:spacing w:before="0" w:after="200"/>
        <w:ind w:left="0" w:right="0" w:firstLine="720"/>
        <w:jc w:val="left"/>
        <w:rPr/>
      </w:pPr>
      <w:r>
        <w:rPr/>
        <w:t>“</w:t>
      </w:r>
      <w:r>
        <w:rPr>
          <w:rFonts w:ascii="Times New Roman;Times;serif" w:hAnsi="Times New Roman;Times;serif"/>
          <w:b/>
          <w:sz w:val="20"/>
        </w:rPr>
        <w:t>Purchase Agreement</w:t>
      </w:r>
      <w:r>
        <w:rPr>
          <w:rFonts w:ascii="Times New Roman;Times;serif" w:hAnsi="Times New Roman;Times;serif"/>
          <w:sz w:val="20"/>
        </w:rPr>
        <w:t>” means that certain Purchase Agreement, dated as of September 19, 2023, among the Company and the Initial Purchasers.</w:t>
      </w:r>
    </w:p>
    <w:p>
      <w:pPr>
        <w:pStyle w:val="TextBody"/>
        <w:bidi w:val="0"/>
        <w:spacing w:before="0" w:after="200"/>
        <w:ind w:left="0" w:right="0" w:firstLine="720"/>
        <w:jc w:val="left"/>
        <w:rPr/>
      </w:pPr>
      <w:r>
        <w:rPr/>
        <w:t>“</w:t>
      </w:r>
      <w:r>
        <w:rPr>
          <w:rFonts w:ascii="Times New Roman;Times;serif" w:hAnsi="Times New Roman;Times;serif"/>
          <w:b/>
          <w:sz w:val="20"/>
        </w:rPr>
        <w:t>Record Date</w:t>
      </w:r>
      <w:r>
        <w:rPr>
          <w:rFonts w:ascii="Times New Roman;Times;serif" w:hAnsi="Times New Roman;Times;serif"/>
          <w:sz w:val="20"/>
        </w:rPr>
        <w:t>” means, with respect to any dividend, distribution or other transaction or event in which the holders of the ADSs (or other applicable security) have the right to receive any cash, securities or other property or in which the ADSs (or other applicable security) are exchanged for or converted into any combination of cash, securities or other property, the date fixed for determination of holders of the ADSs (or other applicable security) entitled to receive such cash, securities or other property (whether such date is fixed by the Board of Directors, statute, contract or otherwise).</w:t>
      </w:r>
    </w:p>
    <w:p>
      <w:pPr>
        <w:pStyle w:val="TextBody"/>
        <w:bidi w:val="0"/>
        <w:spacing w:before="0" w:after="200"/>
        <w:ind w:left="0" w:right="0" w:firstLine="720"/>
        <w:jc w:val="left"/>
        <w:rPr/>
      </w:pPr>
      <w:r>
        <w:rPr/>
        <w:t>“</w:t>
      </w:r>
      <w:r>
        <w:rPr>
          <w:rFonts w:ascii="Times New Roman;Times;serif" w:hAnsi="Times New Roman;Times;serif"/>
          <w:b/>
          <w:sz w:val="20"/>
        </w:rPr>
        <w:t>Redemption Date</w:t>
      </w:r>
      <w:r>
        <w:rPr>
          <w:rFonts w:ascii="Times New Roman;Times;serif" w:hAnsi="Times New Roman;Times;serif"/>
          <w:sz w:val="20"/>
        </w:rPr>
        <w:t>” means the Tax Redemption Date, the Optional Redemption Date or the Cleanup Redemption Date, as the case may be.</w:t>
      </w:r>
    </w:p>
    <w:p>
      <w:pPr>
        <w:pStyle w:val="TextBody"/>
        <w:bidi w:val="0"/>
        <w:spacing w:before="0" w:after="200"/>
        <w:ind w:left="0" w:right="0" w:firstLine="720"/>
        <w:jc w:val="left"/>
        <w:rPr/>
      </w:pPr>
      <w:r>
        <w:rPr/>
        <w:t>“</w:t>
      </w:r>
      <w:r>
        <w:rPr>
          <w:rFonts w:ascii="Times New Roman;Times;serif" w:hAnsi="Times New Roman;Times;serif"/>
          <w:b/>
          <w:sz w:val="20"/>
        </w:rPr>
        <w:t>Redemption Notice</w:t>
      </w:r>
      <w:r>
        <w:rPr>
          <w:rFonts w:ascii="Times New Roman;Times;serif" w:hAnsi="Times New Roman;Times;serif"/>
          <w:sz w:val="20"/>
        </w:rPr>
        <w:t>” means a Tax Redemption Notice, an Optional Redemption Notice, or a Cleanup Redemption Notice, as the context requires.</w:t>
      </w:r>
    </w:p>
    <w:p>
      <w:pPr>
        <w:pStyle w:val="TextBody"/>
        <w:bidi w:val="0"/>
        <w:spacing w:before="0" w:after="200"/>
        <w:ind w:left="0" w:right="0" w:firstLine="720"/>
        <w:jc w:val="both"/>
        <w:rPr/>
      </w:pPr>
      <w:r>
        <w:rPr/>
        <w:t>“</w:t>
      </w:r>
      <w:r>
        <w:rPr>
          <w:rFonts w:ascii="Times New Roman;Times;serif" w:hAnsi="Times New Roman;Times;serif"/>
          <w:b/>
          <w:sz w:val="20"/>
        </w:rPr>
        <w:t>Redemption Price</w:t>
      </w:r>
      <w:r>
        <w:rPr>
          <w:rFonts w:ascii="Times New Roman;Times;serif" w:hAnsi="Times New Roman;Times;serif"/>
          <w:sz w:val="20"/>
        </w:rPr>
        <w:t>” means the Tax Redemption Price, the Optional Redemption Price or the Cleanup Redemption Price, as the context requires.</w:t>
      </w:r>
    </w:p>
    <w:p>
      <w:pPr>
        <w:pStyle w:val="TextBody"/>
        <w:bidi w:val="0"/>
        <w:spacing w:before="0" w:after="200"/>
        <w:ind w:left="0" w:right="0" w:firstLine="720"/>
        <w:jc w:val="both"/>
        <w:rPr/>
      </w:pPr>
      <w:r>
        <w:rPr/>
        <w:t>“</w:t>
      </w:r>
      <w:r>
        <w:rPr>
          <w:rFonts w:ascii="Times New Roman;Times;serif" w:hAnsi="Times New Roman;Times;serif"/>
          <w:b/>
          <w:sz w:val="20"/>
        </w:rPr>
        <w:t>Redemption Reference Date</w:t>
      </w:r>
      <w:r>
        <w:rPr>
          <w:rFonts w:ascii="Times New Roman;Times;serif" w:hAnsi="Times New Roman;Times;serif"/>
          <w:sz w:val="20"/>
        </w:rPr>
        <w:t>” shall have the meaning specified in Section 14.03(g).</w:t>
      </w:r>
    </w:p>
    <w:p>
      <w:pPr>
        <w:pStyle w:val="TextBody"/>
        <w:bidi w:val="0"/>
        <w:spacing w:before="0" w:after="200"/>
        <w:ind w:left="0" w:right="0" w:firstLine="720"/>
        <w:jc w:val="both"/>
        <w:rPr/>
      </w:pPr>
      <w:r>
        <w:rPr/>
        <w:t>“</w:t>
      </w:r>
      <w:r>
        <w:rPr>
          <w:rFonts w:ascii="Times New Roman;Times;serif" w:hAnsi="Times New Roman;Times;serif"/>
          <w:b/>
          <w:sz w:val="20"/>
        </w:rPr>
        <w:t>Redemption Reference Price</w:t>
      </w:r>
      <w:r>
        <w:rPr>
          <w:rFonts w:ascii="Times New Roman;Times;serif" w:hAnsi="Times New Roman;Times;serif"/>
          <w:sz w:val="20"/>
        </w:rPr>
        <w:t>” shall have the meaning specified in Section 14.03(g).</w:t>
      </w:r>
    </w:p>
    <w:p>
      <w:pPr>
        <w:pStyle w:val="TextBody"/>
        <w:bidi w:val="0"/>
        <w:spacing w:before="0" w:after="200"/>
        <w:ind w:left="0" w:right="0" w:firstLine="720"/>
        <w:jc w:val="both"/>
        <w:rPr/>
      </w:pPr>
      <w:r>
        <w:rPr/>
        <w:t>“</w:t>
      </w:r>
      <w:r>
        <w:rPr>
          <w:rFonts w:ascii="Times New Roman;Times;serif" w:hAnsi="Times New Roman;Times;serif"/>
          <w:b/>
          <w:sz w:val="20"/>
        </w:rPr>
        <w:t>Reference Date</w:t>
      </w:r>
      <w:r>
        <w:rPr>
          <w:rFonts w:ascii="Times New Roman;Times;serif" w:hAnsi="Times New Roman;Times;serif"/>
          <w:sz w:val="20"/>
        </w:rPr>
        <w:t>” shall have the meaning specified in Section 10.03.</w:t>
      </w:r>
    </w:p>
    <w:p>
      <w:pPr>
        <w:pStyle w:val="TextBody"/>
        <w:bidi w:val="0"/>
        <w:spacing w:before="0" w:after="200"/>
        <w:ind w:left="0" w:right="0" w:firstLine="720"/>
        <w:jc w:val="both"/>
        <w:rPr/>
      </w:pPr>
      <w:r>
        <w:rPr/>
        <w:t>“</w:t>
      </w:r>
      <w:r>
        <w:rPr>
          <w:rFonts w:ascii="Times New Roman;Times;serif" w:hAnsi="Times New Roman;Times;serif"/>
          <w:b/>
          <w:sz w:val="20"/>
        </w:rPr>
        <w:t>Reference Property</w:t>
      </w:r>
      <w:r>
        <w:rPr>
          <w:rFonts w:ascii="Times New Roman;Times;serif" w:hAnsi="Times New Roman;Times;serif"/>
          <w:sz w:val="20"/>
        </w:rPr>
        <w:t>” shall have the meaning specified in Section 14.07(a).</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firstLine="720"/>
        <w:jc w:val="both"/>
        <w:rPr/>
      </w:pPr>
      <w:r>
        <w:rPr/>
        <w:t>“</w:t>
      </w:r>
      <w:r>
        <w:rPr>
          <w:rFonts w:ascii="Times New Roman;Times;serif" w:hAnsi="Times New Roman;Times;serif"/>
          <w:b/>
          <w:sz w:val="20"/>
        </w:rPr>
        <w:t>Regular Record Date</w:t>
      </w:r>
      <w:r>
        <w:rPr>
          <w:rFonts w:ascii="Times New Roman;Times;serif" w:hAnsi="Times New Roman;Times;serif"/>
          <w:sz w:val="20"/>
        </w:rPr>
        <w:t>” with respect to any Interest Payment Date, shall mean the April 1 or October 1 (whether or not such day is a Business Day) immediately preceding the applicable April 15 or October 15 Interest Payment Date, respectively.</w:t>
      </w:r>
    </w:p>
    <w:p>
      <w:pPr>
        <w:pStyle w:val="TextBody"/>
        <w:bidi w:val="0"/>
        <w:spacing w:before="0" w:after="200"/>
        <w:ind w:left="0" w:right="0" w:firstLine="720"/>
        <w:jc w:val="left"/>
        <w:rPr/>
      </w:pPr>
      <w:r>
        <w:rPr/>
        <w:t>“</w:t>
      </w:r>
      <w:r>
        <w:rPr>
          <w:rFonts w:ascii="Times New Roman;Times;serif" w:hAnsi="Times New Roman;Times;serif"/>
          <w:b/>
          <w:sz w:val="20"/>
        </w:rPr>
        <w:t>Relevant Exchange</w:t>
      </w:r>
      <w:r>
        <w:rPr>
          <w:rFonts w:ascii="Times New Roman;Times;serif" w:hAnsi="Times New Roman;Times;serif"/>
          <w:sz w:val="20"/>
        </w:rPr>
        <w:t>” shall have the meaning specified in Section 10.03.</w:t>
      </w:r>
    </w:p>
    <w:p>
      <w:pPr>
        <w:pStyle w:val="TextBody"/>
        <w:bidi w:val="0"/>
        <w:spacing w:before="0" w:after="200"/>
        <w:ind w:left="0" w:right="0" w:firstLine="720"/>
        <w:jc w:val="left"/>
        <w:rPr/>
      </w:pPr>
      <w:r>
        <w:rPr/>
        <w:t>“</w:t>
      </w:r>
      <w:r>
        <w:rPr>
          <w:rFonts w:ascii="Times New Roman;Times;serif" w:hAnsi="Times New Roman;Times;serif"/>
          <w:b/>
          <w:sz w:val="20"/>
        </w:rPr>
        <w:t>Relevant Jurisdiction</w:t>
      </w:r>
      <w:r>
        <w:rPr>
          <w:rFonts w:ascii="Times New Roman;Times;serif" w:hAnsi="Times New Roman;Times;serif"/>
          <w:sz w:val="20"/>
        </w:rPr>
        <w:t>” shall have the meaning specified in Section 4.07(a).</w:t>
      </w:r>
    </w:p>
    <w:p>
      <w:pPr>
        <w:pStyle w:val="TextBody"/>
        <w:bidi w:val="0"/>
        <w:spacing w:before="0" w:after="200"/>
        <w:ind w:left="0" w:right="0" w:firstLine="720"/>
        <w:jc w:val="left"/>
        <w:rPr/>
      </w:pPr>
      <w:r>
        <w:rPr/>
        <w:t>“</w:t>
      </w:r>
      <w:r>
        <w:rPr>
          <w:rFonts w:ascii="Times New Roman;Times;serif" w:hAnsi="Times New Roman;Times;serif"/>
          <w:b/>
          <w:sz w:val="20"/>
        </w:rPr>
        <w:t>Relevant Taxing Jurisdiction</w:t>
      </w:r>
      <w:r>
        <w:rPr>
          <w:rFonts w:ascii="Times New Roman;Times;serif" w:hAnsi="Times New Roman;Times;serif"/>
          <w:sz w:val="20"/>
        </w:rPr>
        <w:t>” shall have the meaning specified in Section 4.07(a).</w:t>
      </w:r>
    </w:p>
    <w:p>
      <w:pPr>
        <w:pStyle w:val="TextBody"/>
        <w:bidi w:val="0"/>
        <w:spacing w:before="0" w:after="200"/>
        <w:ind w:left="0" w:right="0" w:firstLine="720"/>
        <w:jc w:val="left"/>
        <w:rPr/>
      </w:pPr>
      <w:r>
        <w:rPr/>
        <w:t>“</w:t>
      </w:r>
      <w:r>
        <w:rPr>
          <w:rFonts w:ascii="Times New Roman;Times;serif" w:hAnsi="Times New Roman;Times;serif"/>
          <w:b/>
          <w:sz w:val="20"/>
        </w:rPr>
        <w:t>Repurchase Date</w:t>
      </w:r>
      <w:r>
        <w:rPr>
          <w:rFonts w:ascii="Times New Roman;Times;serif" w:hAnsi="Times New Roman;Times;serif"/>
          <w:sz w:val="20"/>
        </w:rPr>
        <w:t>” shall have the meaning specified in Section 15.01(a).</w:t>
      </w:r>
    </w:p>
    <w:p>
      <w:pPr>
        <w:pStyle w:val="TextBody"/>
        <w:bidi w:val="0"/>
        <w:spacing w:before="0" w:after="200"/>
        <w:ind w:left="0" w:right="0" w:firstLine="720"/>
        <w:jc w:val="left"/>
        <w:rPr/>
      </w:pPr>
      <w:r>
        <w:rPr/>
        <w:t>“</w:t>
      </w:r>
      <w:r>
        <w:rPr>
          <w:rFonts w:ascii="Times New Roman;Times;serif" w:hAnsi="Times New Roman;Times;serif"/>
          <w:b/>
          <w:sz w:val="20"/>
        </w:rPr>
        <w:t>Repurchase Expiration Time</w:t>
      </w:r>
      <w:r>
        <w:rPr>
          <w:rFonts w:ascii="Times New Roman;Times;serif" w:hAnsi="Times New Roman;Times;serif"/>
          <w:sz w:val="20"/>
        </w:rPr>
        <w:t>” shall have the meaning specified in Section 15.01(a).</w:t>
      </w:r>
    </w:p>
    <w:p>
      <w:pPr>
        <w:pStyle w:val="TextBody"/>
        <w:bidi w:val="0"/>
        <w:spacing w:before="0" w:after="200"/>
        <w:ind w:left="0" w:right="0" w:firstLine="720"/>
        <w:jc w:val="left"/>
        <w:rPr/>
      </w:pPr>
      <w:r>
        <w:rPr/>
        <w:t>“</w:t>
      </w:r>
      <w:r>
        <w:rPr>
          <w:rFonts w:ascii="Times New Roman;Times;serif" w:hAnsi="Times New Roman;Times;serif"/>
          <w:b/>
          <w:sz w:val="20"/>
        </w:rPr>
        <w:t>Repurchase Notice</w:t>
      </w:r>
      <w:r>
        <w:rPr>
          <w:rFonts w:ascii="Times New Roman;Times;serif" w:hAnsi="Times New Roman;Times;serif"/>
          <w:sz w:val="20"/>
        </w:rPr>
        <w:t>” shall have the meaning specified in Section 15.01(a).</w:t>
      </w:r>
    </w:p>
    <w:p>
      <w:pPr>
        <w:pStyle w:val="TextBody"/>
        <w:bidi w:val="0"/>
        <w:spacing w:before="0" w:after="200"/>
        <w:ind w:left="0" w:right="0" w:firstLine="720"/>
        <w:jc w:val="left"/>
        <w:rPr/>
      </w:pPr>
      <w:r>
        <w:rPr/>
        <w:t>“</w:t>
      </w:r>
      <w:r>
        <w:rPr>
          <w:rFonts w:ascii="Times New Roman;Times;serif" w:hAnsi="Times New Roman;Times;serif"/>
          <w:b/>
          <w:sz w:val="20"/>
        </w:rPr>
        <w:t>Repurchase Price</w:t>
      </w:r>
      <w:r>
        <w:rPr>
          <w:rFonts w:ascii="Times New Roman;Times;serif" w:hAnsi="Times New Roman;Times;serif"/>
          <w:sz w:val="20"/>
        </w:rPr>
        <w:t>” shall have the meaning specified in Section 15.01(a).</w:t>
      </w:r>
    </w:p>
    <w:p>
      <w:pPr>
        <w:pStyle w:val="TextBody"/>
        <w:bidi w:val="0"/>
        <w:spacing w:before="0" w:after="200"/>
        <w:ind w:left="0" w:right="0" w:firstLine="720"/>
        <w:jc w:val="left"/>
        <w:rPr/>
      </w:pPr>
      <w:r>
        <w:rPr/>
        <w:t>“</w:t>
      </w:r>
      <w:r>
        <w:rPr>
          <w:rFonts w:ascii="Times New Roman;Times;serif" w:hAnsi="Times New Roman;Times;serif"/>
          <w:b/>
          <w:sz w:val="20"/>
        </w:rPr>
        <w:t>Resale Restriction Termination Date</w:t>
      </w:r>
      <w:r>
        <w:rPr>
          <w:rFonts w:ascii="Times New Roman;Times;serif" w:hAnsi="Times New Roman;Times;serif"/>
          <w:sz w:val="20"/>
        </w:rPr>
        <w:t>” shall have the meaning specified in Section 2.05(c).</w:t>
      </w:r>
    </w:p>
    <w:p>
      <w:pPr>
        <w:pStyle w:val="TextBody"/>
        <w:bidi w:val="0"/>
        <w:spacing w:before="0" w:after="200"/>
        <w:ind w:left="0" w:right="0" w:firstLine="720"/>
        <w:jc w:val="left"/>
        <w:rPr/>
      </w:pPr>
      <w:r>
        <w:rPr/>
        <w:t>“</w:t>
      </w:r>
      <w:r>
        <w:rPr>
          <w:rFonts w:ascii="Times New Roman;Times;serif" w:hAnsi="Times New Roman;Times;serif"/>
          <w:b/>
          <w:sz w:val="20"/>
        </w:rPr>
        <w:t>Responsible Officer</w:t>
      </w:r>
      <w:r>
        <w:rPr>
          <w:rFonts w:ascii="Times New Roman;Times;serif" w:hAnsi="Times New Roman;Times;serif"/>
          <w:sz w:val="20"/>
        </w:rPr>
        <w:t>” means, when used with respect to the Trustee, any officer within the Corporate Trust Office of the Trustee or any other officer of the Trustee to whom any corporate trust matter relating to this Indenture is referred because of such Person’s knowledge of and familiarity with the particular subject and, in each case, who shall have direct responsibility for the administration of this Indenture.</w:t>
      </w:r>
    </w:p>
    <w:p>
      <w:pPr>
        <w:pStyle w:val="TextBody"/>
        <w:bidi w:val="0"/>
        <w:spacing w:before="0" w:after="200"/>
        <w:ind w:left="0" w:right="0" w:firstLine="720"/>
        <w:jc w:val="left"/>
        <w:rPr/>
      </w:pPr>
      <w:r>
        <w:rPr/>
        <w:t>“</w:t>
      </w:r>
      <w:r>
        <w:rPr>
          <w:rFonts w:ascii="Times New Roman;Times;serif" w:hAnsi="Times New Roman;Times;serif"/>
          <w:b/>
          <w:sz w:val="20"/>
        </w:rPr>
        <w:t>Restricted Deposit Agreement</w:t>
      </w:r>
      <w:r>
        <w:rPr>
          <w:rFonts w:ascii="Times New Roman;Times;serif" w:hAnsi="Times New Roman;Times;serif"/>
          <w:sz w:val="20"/>
        </w:rPr>
        <w:t>” means the deposit agreement for restricted securities dated February 4, 2019 by and among the Company, the ADS Depositary and the holders and beneficial owners of the restricted ADSs delivered thereunder or, if amended or supplemented as provided therein, as so amended or supplemented.</w:t>
      </w:r>
    </w:p>
    <w:p>
      <w:pPr>
        <w:pStyle w:val="TextBody"/>
        <w:bidi w:val="0"/>
        <w:spacing w:before="0" w:after="200"/>
        <w:ind w:left="0" w:right="0" w:firstLine="720"/>
        <w:jc w:val="left"/>
        <w:rPr/>
      </w:pPr>
      <w:r>
        <w:rPr/>
        <w:t>“</w:t>
      </w:r>
      <w:r>
        <w:rPr>
          <w:rFonts w:ascii="Times New Roman;Times;serif" w:hAnsi="Times New Roman;Times;serif"/>
          <w:b/>
          <w:sz w:val="20"/>
        </w:rPr>
        <w:t>Restricted Securities</w:t>
      </w:r>
      <w:r>
        <w:rPr>
          <w:rFonts w:ascii="Times New Roman;Times;serif" w:hAnsi="Times New Roman;Times;serif"/>
          <w:sz w:val="20"/>
        </w:rPr>
        <w:t>” shall have the meaning specified in Section 2.05(c).</w:t>
      </w:r>
    </w:p>
    <w:p>
      <w:pPr>
        <w:pStyle w:val="TextBody"/>
        <w:bidi w:val="0"/>
        <w:spacing w:before="0" w:after="200"/>
        <w:ind w:left="0" w:right="0" w:firstLine="720"/>
        <w:jc w:val="left"/>
        <w:rPr/>
      </w:pPr>
      <w:r>
        <w:rPr/>
        <w:t>“</w:t>
      </w:r>
      <w:r>
        <w:rPr>
          <w:rFonts w:ascii="Times New Roman;Times;serif" w:hAnsi="Times New Roman;Times;serif"/>
          <w:b/>
          <w:sz w:val="20"/>
        </w:rPr>
        <w:t>Rule 144</w:t>
      </w:r>
      <w:r>
        <w:rPr>
          <w:rFonts w:ascii="Times New Roman;Times;serif" w:hAnsi="Times New Roman;Times;serif"/>
          <w:sz w:val="20"/>
        </w:rPr>
        <w:t>” means Rule 144 as promulgated under the Securities Act.</w:t>
      </w:r>
    </w:p>
    <w:p>
      <w:pPr>
        <w:pStyle w:val="TextBody"/>
        <w:bidi w:val="0"/>
        <w:spacing w:before="0" w:after="200"/>
        <w:ind w:left="0" w:right="0" w:firstLine="720"/>
        <w:jc w:val="left"/>
        <w:rPr/>
      </w:pPr>
      <w:r>
        <w:rPr/>
        <w:t>“</w:t>
      </w:r>
      <w:r>
        <w:rPr>
          <w:rFonts w:ascii="Times New Roman;Times;serif" w:hAnsi="Times New Roman;Times;serif"/>
          <w:b/>
          <w:sz w:val="20"/>
        </w:rPr>
        <w:t>Rule 144A</w:t>
      </w:r>
      <w:r>
        <w:rPr>
          <w:rFonts w:ascii="Times New Roman;Times;serif" w:hAnsi="Times New Roman;Times;serif"/>
          <w:sz w:val="20"/>
        </w:rPr>
        <w:t>” means Rule 144A as promulgated under the Securities Act.</w:t>
      </w:r>
    </w:p>
    <w:p>
      <w:pPr>
        <w:pStyle w:val="TextBody"/>
        <w:bidi w:val="0"/>
        <w:spacing w:before="0" w:after="200"/>
        <w:ind w:left="0" w:right="0" w:firstLine="720"/>
        <w:jc w:val="both"/>
        <w:rPr/>
      </w:pPr>
      <w:r>
        <w:rPr/>
        <w:t>“</w:t>
      </w:r>
      <w:r>
        <w:rPr>
          <w:rFonts w:ascii="Times New Roman;Times;serif" w:hAnsi="Times New Roman;Times;serif"/>
          <w:b/>
          <w:sz w:val="20"/>
        </w:rPr>
        <w:t>Scheduled Trading Day</w:t>
      </w:r>
      <w:r>
        <w:rPr>
          <w:rFonts w:ascii="Times New Roman;Times;serif" w:hAnsi="Times New Roman;Times;serif"/>
          <w:sz w:val="20"/>
        </w:rPr>
        <w:t>” means a day that is scheduled to be a Trading Day on the principal U.S. national or regional securities exchange or market on which the ADSs are listed or admitted for trading. If the ADSs are not so listed or admitted for trading, “</w:t>
      </w:r>
      <w:r>
        <w:rPr>
          <w:rFonts w:ascii="Times New Roman;Times;serif" w:hAnsi="Times New Roman;Times;serif"/>
          <w:b/>
          <w:sz w:val="20"/>
        </w:rPr>
        <w:t>Scheduled Trading Day</w:t>
      </w:r>
      <w:r>
        <w:rPr>
          <w:rFonts w:ascii="Times New Roman;Times;serif" w:hAnsi="Times New Roman;Times;serif"/>
          <w:sz w:val="20"/>
        </w:rPr>
        <w:t>” means a Business Day.</w:t>
      </w:r>
    </w:p>
    <w:p>
      <w:pPr>
        <w:pStyle w:val="TextBody"/>
        <w:bidi w:val="0"/>
        <w:spacing w:before="0" w:after="200"/>
        <w:ind w:left="0" w:right="0" w:firstLine="720"/>
        <w:jc w:val="left"/>
        <w:rPr/>
      </w:pPr>
      <w:r>
        <w:rPr/>
        <w:t>“</w:t>
      </w:r>
      <w:r>
        <w:rPr>
          <w:rFonts w:ascii="Times New Roman;Times;serif" w:hAnsi="Times New Roman;Times;serif"/>
          <w:b/>
          <w:sz w:val="20"/>
        </w:rPr>
        <w:t>Securities Act</w:t>
      </w:r>
      <w:r>
        <w:rPr>
          <w:rFonts w:ascii="Times New Roman;Times;serif" w:hAnsi="Times New Roman;Times;serif"/>
          <w:sz w:val="20"/>
        </w:rPr>
        <w:t>” means the Securities Act of 1933, as amended, and the rules and regulations promulgated thereunder.</w:t>
      </w:r>
    </w:p>
    <w:p>
      <w:pPr>
        <w:pStyle w:val="TextBody"/>
        <w:bidi w:val="0"/>
        <w:spacing w:before="0" w:after="200"/>
        <w:ind w:left="0" w:right="0" w:firstLine="720"/>
        <w:jc w:val="left"/>
        <w:rPr/>
      </w:pPr>
      <w:r>
        <w:rPr/>
        <w:t>“</w:t>
      </w:r>
      <w:r>
        <w:rPr>
          <w:rFonts w:ascii="Times New Roman;Times;serif" w:hAnsi="Times New Roman;Times;serif"/>
          <w:b/>
          <w:sz w:val="20"/>
        </w:rPr>
        <w:t>Significant Subsidiary</w:t>
      </w:r>
      <w:r>
        <w:rPr>
          <w:rFonts w:ascii="Times New Roman;Times;serif" w:hAnsi="Times New Roman;Times;serif"/>
          <w:sz w:val="20"/>
        </w:rPr>
        <w:t>” means a Subsidiary of the Company that meets the definition of “significant subsidiary” in Article 1, Rule 1-02 of Regulation S-X under the Exchange Act.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Each of the Company’s Consolidated Affiliated Entities will be deemed to be a “subsidiary” for purposes of the definition of “significant subsidiary” in Article 1, Rule 1-02 of Regulation S-X.</w:t>
      </w:r>
    </w:p>
    <w:p>
      <w:pPr>
        <w:pStyle w:val="TextBody"/>
        <w:bidi w:val="0"/>
        <w:spacing w:before="0" w:after="200"/>
        <w:ind w:left="0" w:right="0" w:firstLine="720"/>
        <w:jc w:val="left"/>
        <w:rPr/>
      </w:pPr>
      <w:r>
        <w:rPr/>
        <w:t>“</w:t>
      </w:r>
      <w:r>
        <w:rPr>
          <w:rFonts w:ascii="Times New Roman;Times;serif" w:hAnsi="Times New Roman;Times;serif"/>
          <w:b/>
          <w:sz w:val="20"/>
        </w:rPr>
        <w:t>Settlement Amount</w:t>
      </w:r>
      <w:r>
        <w:rPr>
          <w:rFonts w:ascii="Times New Roman;Times;serif" w:hAnsi="Times New Roman;Times;serif"/>
          <w:sz w:val="20"/>
        </w:rPr>
        <w:t>” has the meaning specified in Section 14.02(a)(v).</w:t>
      </w:r>
    </w:p>
    <w:p>
      <w:pPr>
        <w:pStyle w:val="TextBody"/>
        <w:bidi w:val="0"/>
        <w:spacing w:before="0" w:after="200"/>
        <w:ind w:left="0" w:right="0" w:firstLine="720"/>
        <w:jc w:val="both"/>
        <w:rPr/>
      </w:pPr>
      <w:r>
        <w:rPr/>
        <w:t>“</w:t>
      </w:r>
      <w:r>
        <w:rPr>
          <w:rFonts w:ascii="Times New Roman;Times;serif" w:hAnsi="Times New Roman;Times;serif"/>
          <w:b/>
          <w:sz w:val="20"/>
        </w:rPr>
        <w:t>Settlement Method</w:t>
      </w:r>
      <w:r>
        <w:rPr>
          <w:rFonts w:ascii="Times New Roman;Times;serif" w:hAnsi="Times New Roman;Times;serif"/>
          <w:sz w:val="20"/>
        </w:rPr>
        <w:t>” means, with respect to any conversion of Notes, Physical Settlement, Cash Settlement or Combination Settlement, as elected (or deemed to have been elected) by the Company.</w:t>
      </w:r>
    </w:p>
    <w:p>
      <w:pPr>
        <w:pStyle w:val="TextBody"/>
        <w:bidi w:val="0"/>
        <w:spacing w:before="0" w:after="200"/>
        <w:ind w:left="0" w:right="0" w:firstLine="720"/>
        <w:jc w:val="both"/>
        <w:rPr/>
      </w:pPr>
      <w:r>
        <w:rPr/>
        <w:t>“</w:t>
      </w:r>
      <w:r>
        <w:rPr>
          <w:rFonts w:ascii="Times New Roman;Times;serif" w:hAnsi="Times New Roman;Times;serif"/>
          <w:b/>
          <w:sz w:val="20"/>
        </w:rPr>
        <w:t>Settlement Method Election Deadline</w:t>
      </w:r>
      <w:r>
        <w:rPr>
          <w:rFonts w:ascii="Times New Roman;Times;serif" w:hAnsi="Times New Roman;Times;serif"/>
          <w:sz w:val="20"/>
        </w:rPr>
        <w:t>” shall have the meaning specified in Section 14.02(a)(iii).</w:t>
      </w:r>
    </w:p>
    <w:p>
      <w:pPr>
        <w:pStyle w:val="TextBody"/>
        <w:bidi w:val="0"/>
        <w:spacing w:before="0" w:after="200"/>
        <w:ind w:left="0" w:right="0" w:firstLine="720"/>
        <w:jc w:val="left"/>
        <w:rPr/>
      </w:pPr>
      <w:r>
        <w:rPr/>
        <w:t>“</w:t>
      </w:r>
      <w:r>
        <w:rPr>
          <w:rFonts w:ascii="Times New Roman;Times;serif" w:hAnsi="Times New Roman;Times;serif"/>
          <w:b/>
          <w:sz w:val="20"/>
        </w:rPr>
        <w:t>Settlement Notice</w:t>
      </w:r>
      <w:r>
        <w:rPr>
          <w:rFonts w:ascii="Times New Roman;Times;serif" w:hAnsi="Times New Roman;Times;serif"/>
          <w:sz w:val="20"/>
        </w:rPr>
        <w:t>” has the meaning specified in Section 14.02(a)(iii).</w:t>
      </w:r>
    </w:p>
    <w:p>
      <w:pPr>
        <w:pStyle w:val="TextBody"/>
        <w:bidi w:val="0"/>
        <w:spacing w:before="0" w:after="200"/>
        <w:ind w:left="0" w:right="0" w:firstLine="720"/>
        <w:jc w:val="left"/>
        <w:rPr/>
      </w:pPr>
      <w:r>
        <w:rPr/>
        <w:t>“</w:t>
      </w:r>
      <w:r>
        <w:rPr>
          <w:rFonts w:ascii="Times New Roman;Times;serif" w:hAnsi="Times New Roman;Times;serif"/>
          <w:b/>
          <w:sz w:val="20"/>
        </w:rPr>
        <w:t>Singapore Exchange</w:t>
      </w:r>
      <w:r>
        <w:rPr>
          <w:rFonts w:ascii="Times New Roman;Times;serif" w:hAnsi="Times New Roman;Times;serif"/>
          <w:sz w:val="20"/>
        </w:rPr>
        <w:t>” means the Singapore Exchange Securities Trading Limited.</w:t>
      </w:r>
    </w:p>
    <w:p>
      <w:pPr>
        <w:pStyle w:val="TextBody"/>
        <w:bidi w:val="0"/>
        <w:spacing w:before="0" w:after="200"/>
        <w:ind w:left="0" w:right="0" w:firstLine="720"/>
        <w:jc w:val="left"/>
        <w:rPr/>
      </w:pPr>
      <w:r>
        <w:rPr/>
        <w:t>“</w:t>
      </w:r>
      <w:r>
        <w:rPr>
          <w:rFonts w:ascii="Times New Roman;Times;serif" w:hAnsi="Times New Roman;Times;serif"/>
          <w:b/>
          <w:sz w:val="20"/>
        </w:rPr>
        <w:t>Specified Dollar Amount</w:t>
      </w:r>
      <w:r>
        <w:rPr>
          <w:rFonts w:ascii="Times New Roman;Times;serif" w:hAnsi="Times New Roman;Times;serif"/>
          <w:sz w:val="20"/>
        </w:rPr>
        <w:t>” means the maximum cash amount per US$1,000 principal amount of Notes to be received upon conversion as specified in the Settlement Notice related to any converted Notes (or deemed specified pursuant to Section 14.02(a)(iii)).</w:t>
      </w:r>
    </w:p>
    <w:p>
      <w:pPr>
        <w:pStyle w:val="TextBody"/>
        <w:bidi w:val="0"/>
        <w:spacing w:before="0" w:after="200"/>
        <w:ind w:left="0" w:right="0" w:firstLine="720"/>
        <w:jc w:val="left"/>
        <w:rPr/>
      </w:pPr>
      <w:r>
        <w:rPr/>
        <w:t>“</w:t>
      </w:r>
      <w:r>
        <w:rPr>
          <w:rFonts w:ascii="Times New Roman;Times;serif" w:hAnsi="Times New Roman;Times;serif"/>
          <w:b/>
          <w:sz w:val="20"/>
        </w:rPr>
        <w:t>Spin-Off</w:t>
      </w:r>
      <w:r>
        <w:rPr>
          <w:rFonts w:ascii="Times New Roman;Times;serif" w:hAnsi="Times New Roman;Times;serif"/>
          <w:sz w:val="20"/>
        </w:rPr>
        <w:t>” shall have the meaning specified in Section 14.04(c).</w:t>
      </w:r>
    </w:p>
    <w:p>
      <w:pPr>
        <w:pStyle w:val="TextBody"/>
        <w:bidi w:val="0"/>
        <w:spacing w:before="0" w:after="200"/>
        <w:ind w:left="0" w:right="0" w:firstLine="720"/>
        <w:jc w:val="left"/>
        <w:rPr/>
      </w:pPr>
      <w:r>
        <w:rPr/>
        <w:t>“</w:t>
      </w:r>
      <w:r>
        <w:rPr>
          <w:rFonts w:ascii="Times New Roman;Times;serif" w:hAnsi="Times New Roman;Times;serif"/>
          <w:b/>
          <w:sz w:val="20"/>
        </w:rPr>
        <w:t>Subsidiary</w:t>
      </w:r>
      <w:r>
        <w:rPr>
          <w:rFonts w:ascii="Times New Roman;Times;serif" w:hAnsi="Times New Roman;Times;serif"/>
          <w:sz w:val="20"/>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before="0" w:after="200"/>
        <w:ind w:left="0" w:right="0" w:firstLine="720"/>
        <w:jc w:val="left"/>
        <w:rPr/>
      </w:pPr>
      <w:r>
        <w:rPr/>
        <w:t>“</w:t>
      </w:r>
      <w:r>
        <w:rPr>
          <w:rFonts w:ascii="Times New Roman;Times;serif" w:hAnsi="Times New Roman;Times;serif"/>
          <w:b/>
          <w:sz w:val="20"/>
        </w:rPr>
        <w:t>Successor Company</w:t>
      </w:r>
      <w:r>
        <w:rPr>
          <w:rFonts w:ascii="Times New Roman;Times;serif" w:hAnsi="Times New Roman;Times;serif"/>
          <w:sz w:val="20"/>
        </w:rPr>
        <w:t>” shall have the meaning specified in Section 11.01(a).</w:t>
      </w:r>
    </w:p>
    <w:p>
      <w:pPr>
        <w:pStyle w:val="TextBody"/>
        <w:bidi w:val="0"/>
        <w:spacing w:before="0" w:after="200"/>
        <w:ind w:left="0" w:right="0" w:firstLine="720"/>
        <w:jc w:val="left"/>
        <w:rPr/>
      </w:pPr>
      <w:r>
        <w:rPr/>
        <w:t>“</w:t>
      </w:r>
      <w:r>
        <w:rPr>
          <w:rFonts w:ascii="Times New Roman;Times;serif" w:hAnsi="Times New Roman;Times;serif"/>
          <w:b/>
          <w:sz w:val="20"/>
        </w:rPr>
        <w:t>Tax Redemption</w:t>
      </w:r>
      <w:r>
        <w:rPr>
          <w:rFonts w:ascii="Times New Roman;Times;serif" w:hAnsi="Times New Roman;Times;serif"/>
          <w:sz w:val="20"/>
        </w:rPr>
        <w:t>” shall have the meaning specified in Section 16.01.</w:t>
      </w:r>
    </w:p>
    <w:p>
      <w:pPr>
        <w:pStyle w:val="TextBody"/>
        <w:bidi w:val="0"/>
        <w:spacing w:before="0" w:after="200"/>
        <w:ind w:left="0" w:right="0" w:firstLine="720"/>
        <w:jc w:val="left"/>
        <w:rPr/>
      </w:pPr>
      <w:r>
        <w:rPr/>
        <w:t>“</w:t>
      </w:r>
      <w:r>
        <w:rPr>
          <w:rFonts w:ascii="Times New Roman;Times;serif" w:hAnsi="Times New Roman;Times;serif"/>
          <w:b/>
          <w:sz w:val="20"/>
        </w:rPr>
        <w:t>Tax Redemption Date</w:t>
      </w:r>
      <w:r>
        <w:rPr>
          <w:rFonts w:ascii="Times New Roman;Times;serif" w:hAnsi="Times New Roman;Times;serif"/>
          <w:sz w:val="20"/>
        </w:rPr>
        <w:t>” shall have the meaning specified in Section 16.01(b).</w:t>
      </w:r>
    </w:p>
    <w:p>
      <w:pPr>
        <w:pStyle w:val="TextBody"/>
        <w:bidi w:val="0"/>
        <w:spacing w:before="0" w:after="200"/>
        <w:ind w:left="0" w:right="0" w:firstLine="720"/>
        <w:jc w:val="left"/>
        <w:rPr/>
      </w:pPr>
      <w:r>
        <w:rPr/>
        <w:t>“</w:t>
      </w:r>
      <w:r>
        <w:rPr>
          <w:rFonts w:ascii="Times New Roman;Times;serif" w:hAnsi="Times New Roman;Times;serif"/>
          <w:b/>
          <w:sz w:val="20"/>
        </w:rPr>
        <w:t>Tax Redemption Notice</w:t>
      </w:r>
      <w:r>
        <w:rPr>
          <w:rFonts w:ascii="Times New Roman;Times;serif" w:hAnsi="Times New Roman;Times;serif"/>
          <w:sz w:val="20"/>
        </w:rPr>
        <w:t>” shall have the meaning specified in Section 16.01(b).</w:t>
      </w:r>
    </w:p>
    <w:p>
      <w:pPr>
        <w:pStyle w:val="TextBody"/>
        <w:bidi w:val="0"/>
        <w:spacing w:before="0" w:after="200"/>
        <w:ind w:left="0" w:right="0" w:firstLine="720"/>
        <w:jc w:val="left"/>
        <w:rPr/>
      </w:pPr>
      <w:r>
        <w:rPr/>
        <w:t>“</w:t>
      </w:r>
      <w:r>
        <w:rPr>
          <w:rFonts w:ascii="Times New Roman;Times;serif" w:hAnsi="Times New Roman;Times;serif"/>
          <w:b/>
          <w:sz w:val="20"/>
        </w:rPr>
        <w:t>Tax Redemption Price</w:t>
      </w:r>
      <w:r>
        <w:rPr>
          <w:rFonts w:ascii="Times New Roman;Times;serif" w:hAnsi="Times New Roman;Times;serif"/>
          <w:sz w:val="20"/>
        </w:rPr>
        <w:t>” shall have the meaning specified in Section 16.01(b).</w:t>
      </w:r>
    </w:p>
    <w:p>
      <w:pPr>
        <w:pStyle w:val="TextBody"/>
        <w:bidi w:val="0"/>
        <w:spacing w:before="0" w:after="200"/>
        <w:ind w:left="0" w:right="0" w:firstLine="720"/>
        <w:jc w:val="left"/>
        <w:rPr/>
      </w:pPr>
      <w:r>
        <w:rPr/>
        <w:t>“</w:t>
      </w:r>
      <w:r>
        <w:rPr>
          <w:rFonts w:ascii="Times New Roman;Times;serif" w:hAnsi="Times New Roman;Times;serif"/>
          <w:b/>
          <w:sz w:val="20"/>
        </w:rPr>
        <w:t xml:space="preserve">Tender/Exchange Offer Consideration” </w:t>
      </w:r>
      <w:r>
        <w:rPr>
          <w:rFonts w:ascii="Times New Roman;Times;serif" w:hAnsi="Times New Roman;Times;serif"/>
          <w:sz w:val="20"/>
        </w:rPr>
        <w:t>shall have the meaning specified in Section 14.04(e).</w:t>
      </w:r>
    </w:p>
    <w:p>
      <w:pPr>
        <w:pStyle w:val="TextBody"/>
        <w:bidi w:val="0"/>
        <w:spacing w:before="0" w:after="200"/>
        <w:ind w:left="0" w:right="0" w:firstLine="720"/>
        <w:jc w:val="left"/>
        <w:rPr/>
      </w:pPr>
      <w:r>
        <w:rPr/>
        <w:t>“</w:t>
      </w:r>
      <w:r>
        <w:rPr>
          <w:rFonts w:ascii="Times New Roman;Times;serif" w:hAnsi="Times New Roman;Times;serif"/>
          <w:b/>
          <w:sz w:val="20"/>
        </w:rPr>
        <w:t>Trading Day</w:t>
      </w:r>
      <w:r>
        <w:rPr>
          <w:rFonts w:ascii="Times New Roman;Times;serif" w:hAnsi="Times New Roman;Times;serif"/>
          <w:sz w:val="20"/>
        </w:rPr>
        <w:t>” means a day on which (i) trading in the ADSs (or other security for which a closing sale price must be determined) generally occurs on the New York Stock Exchange or, if the ADSs (or such other security) are not then listed on the New York Stock Exchange, on the principal other U.S. national or regional securities exchange on which the ADSs (or such other security) are then listed or, if the ADSs (or such other security) are not then</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listed on a U.S. national or regional securities exchange, on the principal other market on which the ADSs (or such other security) are then traded and (ii) a Last Reported Sale Price for the ADSs (or closing sale price for such other security) is available on such securities exchange or market; </w:t>
      </w:r>
      <w:r>
        <w:rPr>
          <w:rFonts w:ascii="Times New Roman;Times;serif" w:hAnsi="Times New Roman;Times;serif"/>
          <w:i/>
          <w:sz w:val="20"/>
        </w:rPr>
        <w:t xml:space="preserve">provided </w:t>
      </w:r>
      <w:r>
        <w:rPr>
          <w:rFonts w:ascii="Times New Roman;Times;serif" w:hAnsi="Times New Roman;Times;serif"/>
          <w:sz w:val="20"/>
        </w:rPr>
        <w:t xml:space="preserve">that, if the ADSs (or such other security) are not so listed or traded, “Trading Day” means a Business Day; and </w:t>
      </w:r>
      <w:r>
        <w:rPr>
          <w:rFonts w:ascii="Times New Roman;Times;serif" w:hAnsi="Times New Roman;Times;serif"/>
          <w:i/>
          <w:sz w:val="20"/>
        </w:rPr>
        <w:t>provided further</w:t>
      </w:r>
      <w:r>
        <w:rPr>
          <w:rFonts w:ascii="Times New Roman;Times;serif" w:hAnsi="Times New Roman;Times;serif"/>
          <w:sz w:val="20"/>
        </w:rPr>
        <w:t>, that for the purposes of determining the settlement amounts due upon conversion only, “</w:t>
      </w:r>
      <w:r>
        <w:rPr>
          <w:rFonts w:ascii="Times New Roman;Times;serif" w:hAnsi="Times New Roman;Times;serif"/>
          <w:b/>
          <w:sz w:val="20"/>
        </w:rPr>
        <w:t>Trading Day</w:t>
      </w:r>
      <w:r>
        <w:rPr>
          <w:rFonts w:ascii="Times New Roman;Times;serif" w:hAnsi="Times New Roman;Times;serif"/>
          <w:sz w:val="20"/>
        </w:rPr>
        <w:t>” means a day on which (i) there is no Market Disruption Event and (ii) trading in the ADSs generally occurs on the New York Stock Exchange or, if the ADSs are not then listed on the New York Stock Exchange, on the principal other U.S. national or regional securities exchange on which the ADSs are then listed or, if the ADSs are not then listed on a U.S. national or regional securities exchange, on the principal other market on which the ADSs are then listed or admitted for trading, except if the ADSs are not so listed or admitted for trading, “</w:t>
      </w:r>
      <w:r>
        <w:rPr>
          <w:rFonts w:ascii="Times New Roman;Times;serif" w:hAnsi="Times New Roman;Times;serif"/>
          <w:b/>
          <w:sz w:val="20"/>
        </w:rPr>
        <w:t>Trading Day</w:t>
      </w:r>
      <w:r>
        <w:rPr>
          <w:rFonts w:ascii="Times New Roman;Times;serif" w:hAnsi="Times New Roman;Times;serif"/>
          <w:sz w:val="20"/>
        </w:rPr>
        <w:t>” means a “Business Day.”</w:t>
      </w:r>
    </w:p>
    <w:p>
      <w:pPr>
        <w:pStyle w:val="TextBody"/>
        <w:bidi w:val="0"/>
        <w:spacing w:before="0" w:after="200"/>
        <w:ind w:left="0" w:right="0" w:firstLine="720"/>
        <w:jc w:val="left"/>
        <w:rPr/>
      </w:pPr>
      <w:r>
        <w:rPr/>
        <w:t>“</w:t>
      </w:r>
      <w:r>
        <w:rPr>
          <w:rFonts w:ascii="Times New Roman;Times;serif" w:hAnsi="Times New Roman;Times;serif"/>
          <w:b/>
          <w:sz w:val="20"/>
        </w:rPr>
        <w:t>transfer</w:t>
      </w:r>
      <w:r>
        <w:rPr>
          <w:rFonts w:ascii="Times New Roman;Times;serif" w:hAnsi="Times New Roman;Times;serif"/>
          <w:sz w:val="20"/>
        </w:rPr>
        <w:t>” shall have the meaning specified in Section 2.05(c) and Section 2.05(e), as applicable.</w:t>
      </w:r>
    </w:p>
    <w:p>
      <w:pPr>
        <w:pStyle w:val="TextBody"/>
        <w:bidi w:val="0"/>
        <w:spacing w:before="0" w:after="200"/>
        <w:ind w:left="0" w:right="0" w:firstLine="720"/>
        <w:jc w:val="left"/>
        <w:rPr/>
      </w:pPr>
      <w:r>
        <w:rPr/>
        <w:t>“</w:t>
      </w:r>
      <w:r>
        <w:rPr>
          <w:rFonts w:ascii="Times New Roman;Times;serif" w:hAnsi="Times New Roman;Times;serif"/>
          <w:b/>
          <w:sz w:val="20"/>
        </w:rPr>
        <w:t>Transfer Agent</w:t>
      </w:r>
      <w:r>
        <w:rPr>
          <w:rFonts w:ascii="Times New Roman;Times;serif" w:hAnsi="Times New Roman;Times;serif"/>
          <w:sz w:val="20"/>
        </w:rPr>
        <w:t>” shall have the meaning specified in Section 2.05(a).</w:t>
      </w:r>
    </w:p>
    <w:p>
      <w:pPr>
        <w:pStyle w:val="TextBody"/>
        <w:bidi w:val="0"/>
        <w:spacing w:before="0" w:after="200"/>
        <w:ind w:left="0" w:right="0" w:firstLine="720"/>
        <w:jc w:val="left"/>
        <w:rPr/>
      </w:pPr>
      <w:r>
        <w:rPr/>
        <w:t>“</w:t>
      </w:r>
      <w:r>
        <w:rPr>
          <w:rFonts w:ascii="Times New Roman;Times;serif" w:hAnsi="Times New Roman;Times;serif"/>
          <w:b/>
          <w:sz w:val="20"/>
        </w:rPr>
        <w:t>Trigger Event</w:t>
      </w:r>
      <w:r>
        <w:rPr>
          <w:rFonts w:ascii="Times New Roman;Times;serif" w:hAnsi="Times New Roman;Times;serif"/>
          <w:sz w:val="20"/>
        </w:rPr>
        <w:t>” shall have the meaning specified in Section 14.04(c).</w:t>
      </w:r>
    </w:p>
    <w:p>
      <w:pPr>
        <w:pStyle w:val="TextBody"/>
        <w:bidi w:val="0"/>
        <w:spacing w:before="0" w:after="200"/>
        <w:ind w:left="0" w:right="0" w:firstLine="720"/>
        <w:jc w:val="left"/>
        <w:rPr/>
      </w:pPr>
      <w:r>
        <w:rPr/>
        <w:t>“</w:t>
      </w:r>
      <w:r>
        <w:rPr>
          <w:rFonts w:ascii="Times New Roman;Times;serif" w:hAnsi="Times New Roman;Times;serif"/>
          <w:b/>
          <w:sz w:val="20"/>
        </w:rPr>
        <w:t>Trust Indenture Act</w:t>
      </w:r>
      <w:r>
        <w:rPr>
          <w:rFonts w:ascii="Times New Roman;Times;serif" w:hAnsi="Times New Roman;Times;serif"/>
          <w:sz w:val="20"/>
        </w:rPr>
        <w:t xml:space="preserve">” means the Trust Indenture Act of 1939, as amended, as it was in force at the date of execution of this Indenture;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in the event the Trust Indenture Act of 1939 is amended after the date hereof, the term “Trust Indenture Act” shall mean, to the extent required by such amendment, the Trust Indenture Act of 1939, as so amended.</w:t>
      </w:r>
    </w:p>
    <w:p>
      <w:pPr>
        <w:pStyle w:val="TextBody"/>
        <w:bidi w:val="0"/>
        <w:spacing w:before="0" w:after="200"/>
        <w:ind w:left="0" w:right="0" w:firstLine="720"/>
        <w:jc w:val="left"/>
        <w:rPr/>
      </w:pPr>
      <w:r>
        <w:rPr/>
        <w:t>“</w:t>
      </w:r>
      <w:r>
        <w:rPr>
          <w:rFonts w:ascii="Times New Roman;Times;serif" w:hAnsi="Times New Roman;Times;serif"/>
          <w:b/>
          <w:sz w:val="20"/>
        </w:rPr>
        <w:t>Trustee</w:t>
      </w:r>
      <w:r>
        <w:rPr>
          <w:rFonts w:ascii="Times New Roman;Times;serif" w:hAnsi="Times New Roman;Times;serif"/>
          <w:sz w:val="20"/>
        </w:rPr>
        <w:t>” means the Person named as the “Trustee” in the first paragraph of this Indenture until a successor trustee shall have become such pursuant to the applicable provisions of this Indenture, and thereafter “Trustee” shall mean or include each Person who is then a Trustee hereunder.</w:t>
      </w:r>
    </w:p>
    <w:p>
      <w:pPr>
        <w:pStyle w:val="TextBody"/>
        <w:bidi w:val="0"/>
        <w:spacing w:before="0" w:after="200"/>
        <w:ind w:left="0" w:right="0" w:firstLine="720"/>
        <w:jc w:val="left"/>
        <w:rPr/>
      </w:pPr>
      <w:r>
        <w:rPr/>
        <w:t>“</w:t>
      </w:r>
      <w:r>
        <w:rPr>
          <w:rFonts w:ascii="Times New Roman;Times;serif" w:hAnsi="Times New Roman;Times;serif"/>
          <w:b/>
          <w:sz w:val="20"/>
        </w:rPr>
        <w:t>unit of Reference Property</w:t>
      </w:r>
      <w:r>
        <w:rPr>
          <w:rFonts w:ascii="Times New Roman;Times;serif" w:hAnsi="Times New Roman;Times;serif"/>
          <w:sz w:val="20"/>
        </w:rPr>
        <w:t>” shall have the meaning specified in Section 14.07(a).</w:t>
      </w:r>
    </w:p>
    <w:p>
      <w:pPr>
        <w:pStyle w:val="TextBody"/>
        <w:bidi w:val="0"/>
        <w:spacing w:before="0" w:after="200"/>
        <w:ind w:left="0" w:right="0" w:firstLine="720"/>
        <w:jc w:val="left"/>
        <w:rPr/>
      </w:pPr>
      <w:r>
        <w:rPr/>
        <w:t>“</w:t>
      </w:r>
      <w:r>
        <w:rPr>
          <w:rFonts w:ascii="Times New Roman;Times;serif" w:hAnsi="Times New Roman;Times;serif"/>
          <w:b/>
          <w:sz w:val="20"/>
        </w:rPr>
        <w:t>Unrestricted Deposit Agreement</w:t>
      </w:r>
      <w:r>
        <w:rPr>
          <w:rFonts w:ascii="Times New Roman;Times;serif" w:hAnsi="Times New Roman;Times;serif"/>
          <w:sz w:val="20"/>
        </w:rPr>
        <w:t>” means the deposit agreement dated as of September 11, 2018 by and among the Company, the ADS Depositary and the holders and beneficial owners of the ADSs delivered thereunder or, if amended or supplemented as provided therein, as so amended or supplemented.</w:t>
      </w:r>
    </w:p>
    <w:p>
      <w:pPr>
        <w:pStyle w:val="TextBody"/>
        <w:bidi w:val="0"/>
        <w:spacing w:before="0" w:after="200"/>
        <w:ind w:left="0" w:right="0" w:firstLine="720"/>
        <w:jc w:val="left"/>
        <w:rPr/>
      </w:pPr>
      <w:r>
        <w:rPr/>
        <w:t>“</w:t>
      </w:r>
      <w:r>
        <w:rPr>
          <w:rFonts w:ascii="Times New Roman;Times;serif" w:hAnsi="Times New Roman;Times;serif"/>
          <w:b/>
          <w:sz w:val="20"/>
        </w:rPr>
        <w:t>Valuation Period</w:t>
      </w:r>
      <w:r>
        <w:rPr>
          <w:rFonts w:ascii="Times New Roman;Times;serif" w:hAnsi="Times New Roman;Times;serif"/>
          <w:sz w:val="20"/>
        </w:rPr>
        <w:t>” shall have the meaning specified in Section 14.04(c).</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1.02</w:t>
      </w:r>
      <w:r>
        <w:rPr>
          <w:rFonts w:ascii="Times New Roman;Times;serif" w:hAnsi="Times New Roman;Times;serif"/>
          <w:i/>
          <w:sz w:val="20"/>
        </w:rPr>
        <w:t>References to Interest</w:t>
      </w:r>
      <w:r>
        <w:rPr>
          <w:rFonts w:ascii="Times New Roman;Times;serif" w:hAnsi="Times New Roman;Times;serif"/>
          <w:sz w:val="20"/>
        </w:rPr>
        <w:t>. Unless the context otherwise requires, any reference to interest on, or in respect of, any Note in this Indenture shall be deemed to include Additional Interest if, in such context, Additional Interest is, was or would be payable pursuant to any of Section 4.06(d), Section 4.06(e) and Section 6.03. Unless the context otherwise requires, any express mention of Additional Interest in any provision hereof shall not be construed as excluding Additional Interest in those provisions hereof where such express mention is not made.</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2</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ISSUE, DESCRIPTION, EXECUTION, REGISTRATION AND EXCHANGE OF NOTES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2.01</w:t>
      </w:r>
      <w:r>
        <w:rPr>
          <w:rFonts w:ascii="Times New Roman;Times;serif" w:hAnsi="Times New Roman;Times;serif"/>
          <w:i/>
          <w:sz w:val="20"/>
        </w:rPr>
        <w:t>Designation and Amount</w:t>
      </w:r>
      <w:r>
        <w:rPr>
          <w:rFonts w:ascii="Times New Roman;Times;serif" w:hAnsi="Times New Roman;Times;serif"/>
          <w:sz w:val="20"/>
        </w:rPr>
        <w:t>. The Notes shall be designated as the “3.875% Convertible Senior Notes due 2029.” The aggregate principal amount of Notes that may be authenticated and delivered under this Indenture is initially limited to US$500,000,000 (as increased by an amount equal to the aggregate principal amount of any additional Notes purchased by the Initial Purchasers pursuant to the exercise of their option to purchase additional Notes as set forth in the Purchase Agreement), subject to Section 2.10 and except for Notes authenticated and delivered upon registration or transfer of, or in exchange for, or in lieu of other Notes pursuant to Section 2.05, Section 2.06, Section 2.07, Section 10.04, Section 14.02 and Section 15.04.</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2.02</w:t>
      </w:r>
      <w:r>
        <w:rPr>
          <w:rFonts w:ascii="Times New Roman;Times;serif" w:hAnsi="Times New Roman;Times;serif"/>
          <w:i/>
          <w:sz w:val="20"/>
        </w:rPr>
        <w:t>Form of Notes</w:t>
      </w:r>
      <w:r>
        <w:rPr>
          <w:rFonts w:ascii="Times New Roman;Times;serif" w:hAnsi="Times New Roman;Times;serif"/>
          <w:sz w:val="20"/>
        </w:rPr>
        <w:t>.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w:t>
      </w:r>
    </w:p>
    <w:p>
      <w:pPr>
        <w:pStyle w:val="TextBody"/>
        <w:bidi w:val="0"/>
        <w:spacing w:before="0" w:after="200"/>
        <w:ind w:left="0" w:right="0" w:firstLine="719"/>
        <w:jc w:val="left"/>
        <w:rPr>
          <w:rFonts w:ascii="Times New Roman;Times;serif" w:hAnsi="Times New Roman;Times;serif"/>
          <w:sz w:val="20"/>
        </w:rPr>
      </w:pPr>
      <w:r>
        <w:rPr>
          <w:rFonts w:ascii="Times New Roman;Times;serif" w:hAnsi="Times New Roman;Times;serif"/>
          <w:sz w:val="20"/>
        </w:rPr>
        <w:t>Any Global Note may be endorsed with or have incorporated in the text thereof such legends or recitals or changes not inconsistent with the provisions of this Indenture as may be required by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pStyle w:val="TextBody"/>
        <w:bidi w:val="0"/>
        <w:spacing w:before="0" w:after="200"/>
        <w:ind w:left="0" w:right="0" w:firstLine="719"/>
        <w:jc w:val="left"/>
        <w:rPr>
          <w:rFonts w:ascii="Times New Roman;Times;serif" w:hAnsi="Times New Roman;Times;serif"/>
          <w:sz w:val="20"/>
        </w:rPr>
      </w:pPr>
      <w:r>
        <w:rPr>
          <w:rFonts w:ascii="Times New Roman;Times;serif" w:hAnsi="Times New Roman;Times;serif"/>
          <w:sz w:val="20"/>
        </w:rPr>
        <w:t>Any of the Notes may have such letters, numbers or other marks of identification and such notations, legends or endorsements as the Officers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pStyle w:val="TextBody"/>
        <w:bidi w:val="0"/>
        <w:spacing w:before="0" w:after="200"/>
        <w:ind w:left="0" w:right="0" w:firstLine="719"/>
        <w:jc w:val="left"/>
        <w:rPr>
          <w:rFonts w:ascii="Times New Roman;Times;serif" w:hAnsi="Times New Roman;Times;serif"/>
          <w:sz w:val="20"/>
        </w:rPr>
      </w:pPr>
      <w:r>
        <w:rPr>
          <w:rFonts w:ascii="Times New Roman;Times;serif" w:hAnsi="Times New Roman;Times;serif"/>
          <w:sz w:val="20"/>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or exchanges permitted hereby. Any endorsement of a Global Note to reflect the amount of any increase or decrease in the amount of outstanding Notes represented thereby shall be made by the Trustee or the Note Registrar in such manner and upon instructions given by the Holder of such Notes in accordance with this Indenture. Payment of principal (including the Redemption Price, the Repurchase Price and the Fundamental Change Repurchase Price, if applicable) of, and accrued and unpaid interest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a Global Note shall be made to the Holder of such Note on the date of payment, unless a record date or other means of determining Holders eligible to receive payment is provided for herein.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2.03</w:t>
      </w:r>
      <w:r>
        <w:rPr>
          <w:rFonts w:ascii="Times New Roman;Times;serif" w:hAnsi="Times New Roman;Times;serif"/>
          <w:i/>
          <w:sz w:val="20"/>
        </w:rPr>
        <w:t>Date and Denomination of Notes; Payments of Interest and Defaulted Amounts</w:t>
      </w:r>
      <w:r>
        <w:rPr>
          <w:rFonts w:ascii="Times New Roman;Times;serif" w:hAnsi="Times New Roman;Times;serif"/>
          <w:sz w:val="20"/>
        </w:rPr>
        <w:t>. (a) The Notes shall be issuable in registered form without coupons in minimum denominations of US$1,000 principal amount and integral multiples thereof. Each Note shall be dated the date of its authentication and shall bear interest, if any, from, and including, the date specified on the face of such Note. Accrued interest, if any, on the Notes shall be computed on the basis of a 360-day year composed of twelve 30-day months and, for partial months, on the basis of the number of days actually elapsed in a 30-day month.</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Person in whose name any Note (or its Predecessor Note) is registered on the Note Register at the close of business on any Regular Record Date with respect to any Interest Payment Date shall be entitled to receive the interest payable on such Interest Payment Date. Interest shall be payable at the office or agency of the Company maintained by the Company for such purposes in the Borough of Manhattan, The City of New York, which shall initially be the Corporate Trust Office. The Company shall pay or cause the Paying Agent to pay interest (i) on any Physical Notes (A) to Holders holding Physical Notes having an aggregate principal amount of US$5,000,000 or less, by check mailed (at the Company’s expense) to the Holders of these Notes at their address as it appears in the Note Register and (B) to Holders holding Physical Notes having an aggregate principal amount of more than US$5,000,000, either by check mailed (at the Company’s expense) to such Holders or, upon application by such Holder to the Note Registrar not later than the relevant Regular Record Date, by wire transfer in immediately available funds to that Holder’s account within the United States, which application shall remain in effect until the Holder notifies, in writing, the Note Registrar to the contrary or (ii) on any Global Note by wire transfer of immediately available funds to the account of the Depositary or its nominee.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Any Defaulted Amounts shall forthwith cease to be payable to the Holder on the relevant payment date but shall accrue interest per annum at the rate per annum borne by the Notes </w:t>
      </w:r>
      <w:r>
        <w:rPr>
          <w:rFonts w:ascii="Times New Roman;Times;serif" w:hAnsi="Times New Roman;Times;serif"/>
          <w:i/>
          <w:sz w:val="20"/>
        </w:rPr>
        <w:t xml:space="preserve">plus </w:t>
      </w:r>
      <w:r>
        <w:rPr>
          <w:rFonts w:ascii="Times New Roman;Times;serif" w:hAnsi="Times New Roman;Times;serif"/>
          <w:sz w:val="20"/>
        </w:rPr>
        <w:t>one percent, subject to the enforceability thereof under applicable law, from, and including, such relevant payment date, and such Defaulted Amounts together with such interest thereon shall be paid by the Company, at its election in each case, as provided in clause (i) or (ii) below:</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in its sole discretion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The Company shall promptly notify the Trustee in writing of such special record date and the Trustee, in the name and at the expense of the Company, shall cause notice of the proposed payment of such Defaulted Amounts and the special record date therefor to be mailed, first-class postage prepaid (at the Company’s expense), to each Holder at its address as it appears in the Note Register, not less than 10 days prior to such special record date. Notice of the proposed payment of such Defaulted Amounts and the special record date therefor having been so mailed, such Defaulted Amounts shall be paid to the Persons in whose names the Notes (or their respective Predecessor Notes) are registered at the close of business on such special record date and shall no longer be payable pursuant to the following clause (ii)of this Section 2.03(c).</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written notice given by the Company to the Trustee of the proposed payment pursuant to this clause, such manner of payment shall be deemed practicable by the Trustee.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2.04</w:t>
      </w:r>
      <w:r>
        <w:rPr>
          <w:rFonts w:ascii="Times New Roman;Times;serif" w:hAnsi="Times New Roman;Times;serif"/>
          <w:i/>
          <w:sz w:val="20"/>
        </w:rPr>
        <w:t>Execution, Authentication and Delivery of Notes</w:t>
      </w:r>
      <w:r>
        <w:rPr>
          <w:rFonts w:ascii="Times New Roman;Times;serif" w:hAnsi="Times New Roman;Times;serif"/>
          <w:sz w:val="20"/>
        </w:rPr>
        <w:t>. The Notes shall be signed in the name and on behalf of the Company by the manual, electronic or facsimile signature of its Chief Executive Officer, President, Chief Financial Officer, Treasurer, Secretary or any of its Executive or Senior Vice Presidents. With the delivery of this Indenture, the Company is furnishing, and from time to time thereafter may furnish, a certificate substantially in the form of Exhibit B (an “</w:t>
      </w:r>
      <w:r>
        <w:rPr>
          <w:rFonts w:ascii="Times New Roman;Times;serif" w:hAnsi="Times New Roman;Times;serif"/>
          <w:b/>
          <w:sz w:val="20"/>
        </w:rPr>
        <w:t>Authorization Certificate</w:t>
      </w:r>
      <w:r>
        <w:rPr>
          <w:rFonts w:ascii="Times New Roman;Times;serif" w:hAnsi="Times New Roman;Times;serif"/>
          <w:sz w:val="20"/>
        </w:rPr>
        <w:t>”) identifying and certifying the incumbency and specimen (and/or facsimile) signatures of its active authorized Officers. Until the Trustee receives a subsequent Authorization Certificate, the Trustee shall be entitled to conclusively rely on the last Authorization Certificate delivered to it for purposes of determining the relevant authorized Officers. Typographical and other minor errors or defects in any signature shall not affect the validity or enforceability of any Note which has been duly authenticated and delivered by the Trustee.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At any time and from time to time after the execution and delivery of this Indenture, the Company may deliver Notes executed by the Company to the Trustee for authentication, together with a Company Order for the authentication and delivery of such Notes, and the Trustee in accordance with such Company Order shall authenticate and deliver such Notes, without any further action by the Company hereunder.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Order shall specify the amount of Notes to be authenticated (including the initial amount of the Notes), and the applicable rate at which interest will accrue on such Notes. The Trustee shall thereupon authenticate and deliver said Notes to or upon the written order of the Company (as set forth in such Company Order).</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Trustee shall have the right to decline to authenticate and deliver any Notes under this Section (a) unless and until it receives from the Company a Company Order instructing it to so authenticate and deliver such Notes and, if requested by the Trustee, an Officers’ Certificate and an Opinion of Counsel in accordance with Section 17.06 hereof; (b) if the Trustee determines that such action may not lawfully be taken; or (c) if the Trustee determines that such action would expose the Trustee to personal liability, unless indemnity and/or security and/or pre-funding satisfactory to the Trustee against such liability is provided to the Trustee and the Note Registrar.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Only such Notes as shall bear thereon a certificate of authentication substantially in the form set forth on the Form of Note, executed manually or electronically by an authorized officer of the Trustee, shall be entitled to the benefits of this Indenture or be valid or obligatory for any purpose. Such certificate by the Trustee upon any Note executed by the Company shall be conclusive evidence that the Note so authenticated has been duly authenticated and delivered hereunder and that the Holder is entitled to the benefits of this Indenture.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2.05</w:t>
      </w:r>
      <w:r>
        <w:rPr>
          <w:rFonts w:ascii="Times New Roman;Times;serif" w:hAnsi="Times New Roman;Times;serif"/>
          <w:i/>
          <w:sz w:val="20"/>
        </w:rPr>
        <w:t>Exchange and Registration of Transfer of Notes; Restrictions on Transfer; Depositary</w:t>
      </w:r>
      <w:r>
        <w:rPr>
          <w:rFonts w:ascii="Times New Roman;Times;serif" w:hAnsi="Times New Roman;Times;serif"/>
          <w:sz w:val="20"/>
        </w:rPr>
        <w:t>. (a) The Company shall cause to be kept at the Corporate Trust Office a register (the register maintained in such office or in any other office or agency of the Company designated pursuant to Section 4.02, the “</w:t>
      </w:r>
      <w:r>
        <w:rPr>
          <w:rFonts w:ascii="Times New Roman;Times;serif" w:hAnsi="Times New Roman;Times;serif"/>
          <w:b/>
          <w:sz w:val="20"/>
        </w:rPr>
        <w:t>Note Register</w:t>
      </w:r>
      <w:r>
        <w:rPr>
          <w:rFonts w:ascii="Times New Roman;Times;serif" w:hAnsi="Times New Roman;Times;serif"/>
          <w:sz w:val="20"/>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Deutsche Bank Trust Company Americas is hereby initially appointed the “</w:t>
      </w:r>
      <w:r>
        <w:rPr>
          <w:rFonts w:ascii="Times New Roman;Times;serif" w:hAnsi="Times New Roman;Times;serif"/>
          <w:b/>
          <w:sz w:val="20"/>
        </w:rPr>
        <w:t>Note Registrar</w:t>
      </w:r>
      <w:r>
        <w:rPr>
          <w:rFonts w:ascii="Times New Roman;Times;serif" w:hAnsi="Times New Roman;Times;serif"/>
          <w:sz w:val="20"/>
        </w:rPr>
        <w:t>” and “</w:t>
      </w:r>
      <w:r>
        <w:rPr>
          <w:rFonts w:ascii="Times New Roman;Times;serif" w:hAnsi="Times New Roman;Times;serif"/>
          <w:b/>
          <w:sz w:val="20"/>
        </w:rPr>
        <w:t>Transfer Agent</w:t>
      </w:r>
      <w:r>
        <w:rPr>
          <w:rFonts w:ascii="Times New Roman;Times;serif" w:hAnsi="Times New Roman;Times;serif"/>
          <w:sz w:val="20"/>
        </w:rPr>
        <w:t>” for the purpose of registering Notes and transfers of Notes as herein provided. The Company may appoint one or more co-Note Registrars in accordance with Section 4.02.</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Prior to the Notes Fungibility Date, upon surrender for registration of transfer of any Note to the Note Registrar or any co-Note Registrar, and satisfaction of the requirements for such transfer set forth in this Section 2.05, the Company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 Following the Notes Fungibility Date, upon surrender for registration of transfer of any Note to the Note Registrar or any co-Note Registrar, and satisfaction of the requirements for such transfer set forth in this Section 2.05, the Company shall execute, and the Trustee shall authenticate and deliver, in the name of the designated transferee or transferees, one or more new Notes of any authorized denominations and of a like aggregate principal amount and not bearing the restrictive legends required by Section 2.05(c).</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Prior to the Notes Fungibility Date, the 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 Following the Notes Fungibility Date, Notes may be exchanged for other Notes of any authorized denominations and of a like aggregate principal amount but not bearing the restrictive legend required by Section 2.05(c),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All Notes presented or surrendered for registration of transfer or for exchange, repurchase or conversion shall (if so required by the Company, the Trustee, the Note Registrar or any co- Note Registrar) be duly endorsed, or be accompanied by a written instrument or instruments of transfer in form satisfactory to the Note Registrar and the Company and duly executed, by the Holder thereof or its attorney-in-fact duly authorized in writing.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 service charge shall be imposed by the Company, the Trustee, the Transfer Agent, the Note Registrar, any co-Note Registrar or the Paying Agent for any exchange or registration of transfer of Notes, but the Company may require a Holder to pay a sum sufficient to cover any documentary, stamp, issue, transfer or similar tax required in connection therewith as a result of the name of the Holder of new Notes issued upon such exchange or registration of transfer being different from the name of the Holder of the old Notes surrendered for exchange or registration of transfer. The Company shall pay the ADS Depositary’s fees for issuance of all ADSs deliverable upon conversion.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None of the Company, the Trustee, the Note Registrar or any co-Note Registrar shall be required to exchange or register a transfer of (i) any Notes surrendered for conversion or, if a portion of any Note is surrendered for conversion, such portion thereof surrendered for conversion, (ii) any Notes, or a portion of any Note, surrendered for repurchase (and not withdrawn) in accordance with Article 15 or (iii) any Notes selected for redemption in accordance with Article 16.</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Trustee shall have no responsibility or obligation to any direct or indirect participant or any other Person with respect to the accuracy of the books or records, or the acts or omissions, of the Depositary or its nominee or of any participant or member thereof, with respect to any ownership interest in the Notes or with respect to the delivery to any direct or indirect participant or other Person (other than the Depositary and any other registered Holder of Notes) of any notice (including any Redemption Notice pursuant to Article 16) or the payment of any amount,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under or with respect to such Notes. All notices and communications to be given to the Holders and all payments to be made to Holders under the Notes shall be given or made only to or upon the order of the registered Holders (which shall be the Depositary or its nominee in the case of a Global Note). The rights of beneficial owners in any Global Note shall be exercised only through the Depositary subject to the customary procedures of the Depositary. The Trustee may rely and shall be fully protected in relying upon information furnished by the Depositary with respect to its direct or indirect participants.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Neither the Note Registrar nor the Trustee shall have any obligation or duty to monitor, determine or inquire as to compliance with any restrictions on transfer imposed under this Indenture or under applicable law with respect to any transfer of any interest in any Note (including any transfers between or among direct or indirect participants in any Global Note) other than to require delivery of such certificates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So long as the Notes are eligible for book-entry settlement with the Depositary, unless otherwise required by law, subject to the fourth paragraph from the end of Section 2.05(c) all Notes shall be represented by one or more Notes in global form (each, a “</w:t>
      </w:r>
      <w:r>
        <w:rPr>
          <w:rFonts w:ascii="Times New Roman;Times;serif" w:hAnsi="Times New Roman;Times;serif"/>
          <w:b/>
          <w:sz w:val="20"/>
        </w:rPr>
        <w:t>Global Note</w:t>
      </w:r>
      <w:r>
        <w:rPr>
          <w:rFonts w:ascii="Times New Roman;Times;serif" w:hAnsi="Times New Roman;Times;serif"/>
          <w:sz w:val="20"/>
        </w:rPr>
        <w:t>”) registered in the name of the Depositary or the nominee of the Depositary. The transfer and exchange of beneficial interests in a Global Note that does not involve the issuance of a Physical Note shall be effected through the Depositary in accordance with this Indenture (including the restrictions on transfer set forth herein) and the procedures of the Depositary therefor.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Every Note that bears or is required under this Section 2.05(c) to bear the legend set forth in this Section 2.05(c) (together with any ADSs (including the Ordinary Shares represented thereby) delivered upon conversion of the Notes that are required to bear the legend set forth in Section 2.05(d), collectively, the “</w:t>
      </w:r>
      <w:r>
        <w:rPr>
          <w:rFonts w:ascii="Times New Roman;Times;serif" w:hAnsi="Times New Roman;Times;serif"/>
          <w:b/>
          <w:sz w:val="20"/>
        </w:rPr>
        <w:t>Restricted Securities</w:t>
      </w:r>
      <w:r>
        <w:rPr>
          <w:rFonts w:ascii="Times New Roman;Times;serif" w:hAnsi="Times New Roman;Times;serif"/>
          <w:sz w:val="20"/>
        </w:rPr>
        <w:t>”) shall be subject to the restrictions on transfer set forth in this Section 2.05(c) (including the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Times New Roman;Times;serif" w:hAnsi="Times New Roman;Times;serif"/>
          <w:b/>
          <w:sz w:val="20"/>
        </w:rPr>
        <w:t>transfer</w:t>
      </w:r>
      <w:r>
        <w:rPr>
          <w:rFonts w:ascii="Times New Roman;Times;serif" w:hAnsi="Times New Roman;Times;serif"/>
          <w:sz w:val="20"/>
        </w:rPr>
        <w:t>” encompasses any sale, pledge, transfer or other disposition whatsoever of any Restricted Security.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Until the date (the “</w:t>
      </w:r>
      <w:r>
        <w:rPr>
          <w:rFonts w:ascii="Times New Roman;Times;serif" w:hAnsi="Times New Roman;Times;serif"/>
          <w:b/>
          <w:sz w:val="20"/>
        </w:rPr>
        <w:t>Resale Restriction Termination Date</w:t>
      </w:r>
      <w:r>
        <w:rPr>
          <w:rFonts w:ascii="Times New Roman;Times;serif" w:hAnsi="Times New Roman;Times;serif"/>
          <w:sz w:val="20"/>
        </w:rPr>
        <w:t>”) that is the later of (1) the date that is one year after the last date of original issuance of the Notes, or such shorter period of time as permitted by Rule 144 under the Securities Act or any successor provision thereto, and (2) such later date, if any, as may be required by applicable law, any certificate evidencing such Note (and all securities issued in exchange therefor or substitution thereof, other than ADSs (including the Ordinary Shares represented thereby) issued upon conversion thereof, which shall bear the legend set forth in Section 2.05(d), if applicable) shall bear a legend in substantially the following form (unless such Notes have been transferred pursuant to a registration statement that has become or been declared effective under the Securities Act and that continues to be effective at the time of such transfer, or pursuant to the exemption from registration provided by Rule 144 under the Securities Act or any similar provision then in force under the Securities Act, or unless otherwise agreed by the Company in writing, with notice thereof to the Trustee):</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THIS SECURITY, THE AMERICAN DEPOSITARY SHARES DELIVERABLE UPON CONVERSION OF THIS SECURITY, IF ANY, AND THE CLASS A ORDINARY SHARES REPRESENTED THEREBY HAVE NOT BEEN REGISTERED UNDER THE SECURITIES ACT OF 1933, AS AMENDED (THE “SECURITIES ACT”), ARE “RESTRICTED SECURITIES” WITHIN THE MEANING OF RULE 144 UNDER THE SECURITIES ACT, AND MAY NOT BE OFFERED, SOLD, PLEDGED OR OTHERWISE TRANSFERRED EXCEPT IN ACCORDANCE WITH THE FOLLOWING SENTENCE. BY ITS ACQUISITION HEREOF OR OF A BENEFICIAL INTEREST HEREIN, THE ACQUIRER:</w:t>
      </w:r>
    </w:p>
    <w:p>
      <w:pPr>
        <w:pStyle w:val="TextBody"/>
        <w:bidi w:val="0"/>
        <w:spacing w:before="0" w:after="200"/>
        <w:ind w:left="1440" w:right="0" w:firstLine="720"/>
        <w:jc w:val="left"/>
        <w:rPr>
          <w:rFonts w:ascii="Times New Roman;Times;serif" w:hAnsi="Times New Roman;Times;serif"/>
          <w:sz w:val="20"/>
        </w:rPr>
      </w:pPr>
      <w:r>
        <w:rPr>
          <w:rFonts w:ascii="Times New Roman;Times;serif" w:hAnsi="Times New Roman;Times;serif"/>
          <w:sz w:val="20"/>
        </w:rPr>
        <w:t>(1)REPRESENTS THAT IT AND ANY ACCOUNT FOR WHICH IT IS ACTING IS A “QUALIFIED INSTITUTIONAL BUYER” (WITHIN THE MEANING OF RULE 144A UNDER THE SECURITIES ACT) AND THAT IT EXERCISES SOLE INVESTMENT DISCRETION WITH RESPECT TO EACH SUCH ACCOUNT AND THAT IT AND ANY SUCH ACCOUNT IS NOT, AND HAS NOT BEEN FOR THE IMMEDIATELY PRECEDING THREE MONTHS, AN AFFILIATE OF NIO INC. (THE “COMPANY”), AND</w:t>
      </w:r>
    </w:p>
    <w:p>
      <w:pPr>
        <w:pStyle w:val="TextBody"/>
        <w:bidi w:val="0"/>
        <w:spacing w:before="0" w:after="200"/>
        <w:ind w:left="1440" w:right="0" w:firstLine="720"/>
        <w:jc w:val="left"/>
        <w:rPr>
          <w:rFonts w:ascii="Times New Roman;Times;serif" w:hAnsi="Times New Roman;Times;serif"/>
          <w:sz w:val="20"/>
        </w:rPr>
      </w:pPr>
      <w:r>
        <w:rPr>
          <w:rFonts w:ascii="Times New Roman;Times;serif" w:hAnsi="Times New Roman;Times;serif"/>
          <w:sz w:val="20"/>
        </w:rPr>
        <w:t>(2)AGREES FOR THE BENEFIT OF THE COMPANY THAT IT WILL NOT OFFER, SELL, PLEDGE OR OTHERWISE TRANSFER THIS SECURITY, THE AMERICAN DEPOSITARY SHARES DELIVERABLE UPON CONVERSION OF THIS SECURITY (IF ANY) AND THE CLASS A ORDINARY SHARES REPRESENTED THEREBY, OR ANY BENEFICIAL INTEREST HEREIN OR THEREIN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pStyle w:val="TextBody"/>
        <w:bidi w:val="0"/>
        <w:spacing w:before="0" w:after="200"/>
        <w:ind w:left="2160" w:right="0" w:firstLine="720"/>
        <w:jc w:val="left"/>
        <w:rPr>
          <w:rFonts w:ascii="Times New Roman;Times;serif" w:hAnsi="Times New Roman;Times;serif"/>
          <w:sz w:val="20"/>
        </w:rPr>
      </w:pPr>
      <w:r>
        <w:rPr>
          <w:rFonts w:ascii="Times New Roman;Times;serif" w:hAnsi="Times New Roman;Times;serif"/>
          <w:sz w:val="20"/>
        </w:rPr>
        <w:t>(A)TO THE COMPANY OR ANY SUBSIDIARY THEREOF, OR</w:t>
      </w:r>
    </w:p>
    <w:p>
      <w:pPr>
        <w:pStyle w:val="TextBody"/>
        <w:bidi w:val="0"/>
        <w:spacing w:before="0" w:after="200"/>
        <w:ind w:left="2160" w:right="0" w:firstLine="720"/>
        <w:jc w:val="left"/>
        <w:rPr>
          <w:rFonts w:ascii="Times New Roman;Times;serif" w:hAnsi="Times New Roman;Times;serif"/>
          <w:sz w:val="20"/>
        </w:rPr>
      </w:pPr>
      <w:r>
        <w:rPr>
          <w:rFonts w:ascii="Times New Roman;Times;serif" w:hAnsi="Times New Roman;Times;serif"/>
          <w:sz w:val="20"/>
        </w:rPr>
        <w:t>(B)PURSUANT TO A REGISTRATION STATEMENT WHICH HAS BECOME OR BEEN DECLARED EFFECTIVE UNDER THE SECURITIES ACT AND THAT CONTINUES TO BE EFFECTIVE AT THE TIME OF SUCH TRANSFER, OR</w:t>
      </w:r>
    </w:p>
    <w:p>
      <w:pPr>
        <w:pStyle w:val="TextBody"/>
        <w:bidi w:val="0"/>
        <w:spacing w:before="0" w:after="200"/>
        <w:ind w:left="2160" w:right="0" w:firstLine="720"/>
        <w:jc w:val="left"/>
        <w:rPr>
          <w:rFonts w:ascii="Times New Roman;Times;serif" w:hAnsi="Times New Roman;Times;serif"/>
          <w:sz w:val="20"/>
        </w:rPr>
      </w:pPr>
      <w:r>
        <w:rPr>
          <w:rFonts w:ascii="Times New Roman;Times;serif" w:hAnsi="Times New Roman;Times;serif"/>
          <w:sz w:val="20"/>
        </w:rPr>
        <w:t>(C)TO A QUALIFIED INSTITUTIONAL BUYER IN COMPLIANCE WITH RULE 144A UNDER THE SECURITIES ACT, OR</w:t>
      </w:r>
    </w:p>
    <w:p>
      <w:pPr>
        <w:pStyle w:val="TextBody"/>
        <w:bidi w:val="0"/>
        <w:spacing w:before="0" w:after="200"/>
        <w:ind w:left="2160" w:right="0" w:firstLine="720"/>
        <w:jc w:val="left"/>
        <w:rPr>
          <w:rFonts w:ascii="Times New Roman;Times;serif" w:hAnsi="Times New Roman;Times;serif"/>
          <w:sz w:val="20"/>
        </w:rPr>
      </w:pPr>
      <w:r>
        <w:rPr>
          <w:rFonts w:ascii="Times New Roman;Times;serif" w:hAnsi="Times New Roman;Times;serif"/>
          <w:sz w:val="20"/>
        </w:rPr>
        <w:t>(D)PURSUANT TO AN EXEMPTION FROM REGISTRATION PROVIDED BY RULE 144 UNDER THE SECURITIES ACT (IF AVAILABLE); OR</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2160" w:right="0" w:firstLine="720"/>
        <w:jc w:val="left"/>
        <w:rPr>
          <w:rFonts w:ascii="Times New Roman;Times;serif" w:hAnsi="Times New Roman;Times;serif"/>
          <w:sz w:val="20"/>
        </w:rPr>
      </w:pPr>
      <w:r>
        <w:rPr>
          <w:rFonts w:ascii="Times New Roman;Times;serif" w:hAnsi="Times New Roman;Times;serif"/>
          <w:sz w:val="20"/>
        </w:rPr>
        <w:t>(E)PURSUANT TO ANY OTHER EXEMPTION FROM, OR IN A TRANSACTION NOT SUBJECT TO, THE REGISTRATION REQUIREMENTS OF THE SECURITIES ACT.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PRIOR TO THE REGISTRATION OF ANY TRANSFER IN ACCORDANCE WITH (2)(E) ABOVE, THE COMPANY, THE DEPOSITARY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 AFFILIATE (AS DEFINED IN RULE 144 UNDER THE SECURITIES ACT) OF THE COMPANY OR PERSON THAT HAS BEEN AN AFFILIATE (AS DEFINED IN RULE 144 UNDER THE SECURITIES ACT) OF THE COMPANY DURING THE THREE IMMEDIATELY PRECEDING MONTHS MAY PURCHASE, OTHERWISE ACQUIRE OR OWN THIS NOTE, THE AMERICAN DEPOSITARY SHARES DELIVERABLE UPON CONVERSION HEREOF (IF ANY) AND THE CLASS A ORDINARY SHARES REPRESENTED THEREBY, OR A BENEFICIAL INTEREST HEREIN OR THEREIN.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 transfer of any Note prior to the Resale Restriction Termination Date will be registered by the Note Registrar unless the applicable box on the Form of Assignment and Transfer has been checked.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Any Note (or security issued in exchange or substitution therefor) as to which such restrictions on transfer shall have expired in accordance with their terms may, upon surrender of such Note for exchange to the Note Registrar in accordance with the provisions of this Section 2.05, be exchanged for a new Note or Notes, of like tenor and aggregate principal amount, which shall not bear the restrictive legend required by this Section 2.05(c) and shall not be assigned a restricted CUSIP number. The Company shall be entitled to instruct the Trustee in writing to so surrender any Global Note as to which such restrictions on transfer shall have expired in accordance with their terms for exchange, and, upon such instruction, the Trustee shall so surrender such Global Note for exchange; and any new Global Note so exchanged therefor shall not bear the restrictive legend specified in this Section 2.05(c) and shall not be assigned a restricted CUSIP number. The Company shall promptly notify the Trustee in writing upon the occurrence of the Resale Restriction Termination Date and after a registration statement, if any, with respect to the Notes or the ADSs (including the Ordinary Shares represented thereby) issued upon conversion of the Notes has been declared effective under the Securities Act.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transfers of portions of a Global Note in certificated form made upon request of a member of, or a participant in, the Depositary (for itself or on behalf of a beneficial owner) by written notice given to the Trustee</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160" w:right="0" w:hanging="0"/>
        <w:jc w:val="left"/>
        <w:rPr>
          <w:rFonts w:ascii="Times New Roman;Times;serif" w:hAnsi="Times New Roman;Times;serif"/>
          <w:sz w:val="20"/>
        </w:rPr>
      </w:pPr>
      <w:r>
        <w:rPr>
          <w:rFonts w:ascii="Times New Roman;Times;serif" w:hAnsi="Times New Roman;Times;serif"/>
          <w:sz w:val="20"/>
        </w:rPr>
        <w:t>by or on behalf of the Depositary in accordance with customary procedures of the Depositary and in compliance with this Section 2.05(c).</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in writing. Upon execution and authentication, the Trustee shall deliver such Physical Notes to the Persons in whose names such Physical Notes are so registered.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At such time as all interests in a Global Note have been converted, canceled, repurchased, redeemed or transferred, such Global Note shall be, upon receipt thereof, canceled by the Trustee in accordance with standing procedures and existing instructions of the Depositary. At any time prior to such cancellation, if any interest in a Global Note is exchanged for Physical Notes, converted, canceled, repurchased, redeemed or transferred to a transferee who receives Physical Notes therefor or any Physical Note is exchanged or transferred for part of such Global Note, the principal amount of such Global Note shall, in accordance with the standing procedures and existing instructions of the Depositary, be appropriately reduced or increased, as the case may be, and an endorsement shall be made on such Global Note, by the Trustee, to reflect such reduction or increase.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None of the Company, the Trustee, the Paying Agent, any agent of the Company or any agent of the Trustee shall have any responsibility or liability for the payment of amounts to beneficial holders, any aspect of the records relating to or payments made on account of beneficial ownership interests of a Global Note or maintaining, supervising or reviewing any records relating to such beneficial ownership interests.</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Until the Resale Restriction Termination Date, any certificate representing ADSs (including the Ordinary Shares represented thereby) issued upon conversion of such Note shall bear a legend in substantially the following form (unless the Note or such ADSs (including the Ordinary Shares represented thereby)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ADS or the Ordinary Shares represented thereby have been issued upon conversion of Notes that have been transferred pursuant to a registration statement that has become or been declared effective under the Securities Act and that continues to be effective at the time of such transfer, or pursuant to the exemption from registration provided by Rule 144 under the Securities Act or any similar provision then in force under the Securities Act, or unless otherwise agreed by the Company and the ADS Depositary with written notice thereof to the Note Registrar and any transfer agent for the ADSs):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AMERICAN DEPOSITARY SHARES EVIDENCED HEREBY AND THE CLASS A ORDINARY SHARES REPRESENTED THEREBY HAVE NOT BEEN REGISTERED UNDER THE SECURITIES ACT OF 1933, AS AMENDED (THE “SECURITIES ACT”), ARE “RESTRICTED SECURITIES” WITHIN THE MEANING OF RULE 144 UNDER THE SECURITIES ACT, AND MAY NOT BE OFFERED, SOLD, PLEDGED OR OTHERWISE TRANSFERRED EXCEPT IN ACCORDANCE WITH THE FOLLOWING SENTENCE. BY ITS ACQUISITION HEREOF OR OF A BENEFICIAL INTEREST HEREIN, THE ACQUIRER:</w:t>
      </w:r>
    </w:p>
    <w:p>
      <w:pPr>
        <w:pStyle w:val="TextBody"/>
        <w:bidi w:val="0"/>
        <w:spacing w:before="0" w:after="200"/>
        <w:ind w:left="1440" w:right="0" w:firstLine="720"/>
        <w:jc w:val="left"/>
        <w:rPr>
          <w:rFonts w:ascii="Times New Roman;Times;serif" w:hAnsi="Times New Roman;Times;serif"/>
          <w:sz w:val="20"/>
        </w:rPr>
      </w:pPr>
      <w:r>
        <w:rPr>
          <w:rFonts w:ascii="Times New Roman;Times;serif" w:hAnsi="Times New Roman;Times;serif"/>
          <w:sz w:val="20"/>
        </w:rPr>
        <w:t>(1)REPRESENTS THAT IT AND ANY ACCOUNT FOR WHICH IT IS ACTING IS A “QUALIFIED INSTITUTIONAL BUYER” (WITHIN THE MEANING OF RULE 144A UNDER THE SECURITIES ACT) AND THAT IT EXERCISES SOLE INVESTMENT DISCRETION WITH RESPECT TO EACH SUCH ACCOUNT AND THAT IT AND ANY SUCH ACCOUNT IS NOT, AND HAS NOT BEEN FOR THE IMMEDIATELY PRECEDING THREE MONTHS, AN AFFILIATE OF NIO INC. (THE “COMPANY”), AND</w:t>
      </w:r>
    </w:p>
    <w:p>
      <w:pPr>
        <w:pStyle w:val="TextBody"/>
        <w:bidi w:val="0"/>
        <w:spacing w:before="0" w:after="200"/>
        <w:ind w:left="1440" w:right="0" w:firstLine="720"/>
        <w:jc w:val="left"/>
        <w:rPr>
          <w:rFonts w:ascii="Times New Roman;Times;serif" w:hAnsi="Times New Roman;Times;serif"/>
          <w:sz w:val="20"/>
        </w:rPr>
      </w:pPr>
      <w:r>
        <w:rPr>
          <w:rFonts w:ascii="Times New Roman;Times;serif" w:hAnsi="Times New Roman;Times;serif"/>
          <w:sz w:val="20"/>
        </w:rPr>
        <w:t>(2)AGREES FOR THE BENEFIT OF THE COMPANY THAT IT WILL NOT OFFER, SELL, PLEDGE OR OTHERWISE TRANSFER THIS SECURITY AND THE CLASS A ORDINARY SHARES REPRESENTED THEREBY, OR ANY BENEFICIAL INTEREST HEREIN OR THEREIN PRIOR TO THE DATE THAT IS THE LATER OF (X) ONE YEAR AFTER THE LAST ORIGINAL ISSUE DATE OF THE SERIES OF NOTES UPON THE CONVERSION OF WHICH THIS SECURITY WAS ISSUED OR SUCH SHORTER PERIOD OF TIME AS PERMITTED BY RULE 144 UNDER THE SECURITIES ACT OR ANY SUCCESSOR PROVISION THERETO AND (Y) SUCH LATER DATE, IF ANY, AS MAY BE REQUIRED BY APPLICABLE LAW, EXCEPT:</w:t>
      </w:r>
    </w:p>
    <w:p>
      <w:pPr>
        <w:pStyle w:val="TextBody"/>
        <w:bidi w:val="0"/>
        <w:spacing w:before="0" w:after="200"/>
        <w:ind w:left="2160" w:right="0" w:firstLine="720"/>
        <w:jc w:val="left"/>
        <w:rPr>
          <w:rFonts w:ascii="Times New Roman;Times;serif" w:hAnsi="Times New Roman;Times;serif"/>
          <w:sz w:val="20"/>
        </w:rPr>
      </w:pPr>
      <w:r>
        <w:rPr>
          <w:rFonts w:ascii="Times New Roman;Times;serif" w:hAnsi="Times New Roman;Times;serif"/>
          <w:sz w:val="20"/>
        </w:rPr>
        <w:t>(A)TO THE COMPANY OR ANY SUBSIDIARY THEREOF, OR</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2160" w:right="0" w:firstLine="720"/>
        <w:jc w:val="left"/>
        <w:rPr>
          <w:rFonts w:ascii="Times New Roman;Times;serif" w:hAnsi="Times New Roman;Times;serif"/>
          <w:sz w:val="20"/>
        </w:rPr>
      </w:pPr>
      <w:r>
        <w:rPr>
          <w:rFonts w:ascii="Times New Roman;Times;serif" w:hAnsi="Times New Roman;Times;serif"/>
          <w:sz w:val="20"/>
        </w:rPr>
        <w:t>(B)PURSUANT TO A REGISTRATION STATEMENT WHICH HAS BECOME OR BEEN DECLARED EFFECTIVE UNDER THE SECURITIES ACT AND THAT CONTINUES TO BE EFFECTIVE AT THE TIME OF SUCH TRANSFER, OR</w:t>
      </w:r>
    </w:p>
    <w:p>
      <w:pPr>
        <w:pStyle w:val="TextBody"/>
        <w:bidi w:val="0"/>
        <w:spacing w:before="0" w:after="200"/>
        <w:ind w:left="2160" w:right="0" w:firstLine="720"/>
        <w:jc w:val="left"/>
        <w:rPr>
          <w:rFonts w:ascii="Times New Roman;Times;serif" w:hAnsi="Times New Roman;Times;serif"/>
          <w:sz w:val="20"/>
        </w:rPr>
      </w:pPr>
      <w:r>
        <w:rPr>
          <w:rFonts w:ascii="Times New Roman;Times;serif" w:hAnsi="Times New Roman;Times;serif"/>
          <w:sz w:val="20"/>
        </w:rPr>
        <w:t>(C)TO A QUALIFIED INSTITUTIONAL BUYER IN COMPLIANCE WITH RULE 144A UNDER THE SECURITIES ACT, OR</w:t>
      </w:r>
    </w:p>
    <w:p>
      <w:pPr>
        <w:pStyle w:val="TextBody"/>
        <w:bidi w:val="0"/>
        <w:spacing w:before="0" w:after="200"/>
        <w:ind w:left="2160" w:right="0" w:firstLine="720"/>
        <w:jc w:val="left"/>
        <w:rPr>
          <w:rFonts w:ascii="Times New Roman;Times;serif" w:hAnsi="Times New Roman;Times;serif"/>
          <w:sz w:val="20"/>
        </w:rPr>
      </w:pPr>
      <w:r>
        <w:rPr>
          <w:rFonts w:ascii="Times New Roman;Times;serif" w:hAnsi="Times New Roman;Times;serif"/>
          <w:sz w:val="20"/>
        </w:rPr>
        <w:t>(D)PURSUANT TO AN EXEMPTION FROM REGISTRATION PROVIDED BY RULE 144 UNDER THE SECURITIES ACT (IF AVAILABLE), OR</w:t>
      </w:r>
    </w:p>
    <w:p>
      <w:pPr>
        <w:pStyle w:val="TextBody"/>
        <w:bidi w:val="0"/>
        <w:spacing w:before="0" w:after="200"/>
        <w:ind w:left="2160" w:right="0" w:firstLine="720"/>
        <w:jc w:val="left"/>
        <w:rPr>
          <w:rFonts w:ascii="Times New Roman;Times;serif" w:hAnsi="Times New Roman;Times;serif"/>
          <w:sz w:val="20"/>
        </w:rPr>
      </w:pPr>
      <w:r>
        <w:rPr>
          <w:rFonts w:ascii="Times New Roman;Times;serif" w:hAnsi="Times New Roman;Times;serif"/>
          <w:sz w:val="20"/>
        </w:rPr>
        <w:t>(E)PURSUANT TO ANY OTHER EXEMPTION FROM, OR IN A TRANSACTION NOT SUBJECT TO, THE REGISTRATION REQUIREMENTS OF THE SECURITIES ACT.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PRIOR TO THE REGISTRATION OF ANY TRANSFER IN ACCORDANCE WITH (2)(E) ABOVE, THE COMPANY, THE DEPOSITARY AND THE TRANSFER AGENT FOR THE COMPANY’S AMERICAN DEPOSITARY SHARES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 AFFILIATE (AS DEFINED IN RULE 144 UNDER THE SECURITIES ACT) OF THE COMPANY OR PERSON THAT HAS BEEN AN AFFILIATE (AS DEFINED IN RULE 144 UNDER THE SECURITIES ACT) OF THE COMPANY DURING THE THREE IMMEDIATELY PRECEDING MONTHS MAY PURCHASE, OTHERWISE ACQUIRE OR OWN THE AMERICAN DEPOSITARY SHARES EVIDENCED HEREBY OR A BENEFICIAL INTEREST HEREIN OR THEREIN.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Pursuant to the terms of the Unrestricted Deposit Agreement, the Restricted Deposit Agreement and the Procedures Letter, as applicable, the ADS Depositary will not accept the surrender of any ADSs subject to such restrictions on transfer for the purpose of withdrawal of the Ordinary Shares represented thereby until the restrictive legends have been removed from such restricted ADSs. Any such ADSs as to which such restrictions on transfer shall have expired in accordance with their terms may, upon surrender of the certificates representing such ADSs for exchange in accordance with the procedures of the ADS Depositary and the Restricted Deposit Agreement, as applicable, be exchanged for a new certificate or certificates for a like aggregate number of ADSs, which shall not bear the restrictive legend required by this Section 2.05(d).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Any Note or ADS (and the Ordinary Shares represented thereby) delivered upon the conversion or exchange of any Note that is repurchased or owned by any Affiliate of the</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Company may not be resold by such Affiliate (or a Holder that was the Company’s Affiliate at any time during three months preceding the resale) unless registered under the Securities Act or resold pursuant to Rule 144 under the Securities Act or a successor exemption from the registration requirements of the Securities Act in a transaction that results in such Note or ADS, as the case may be, no longer being a “restricted security” (as defined under Rule 144 under the Securities Act). Subject to Section 14.13, the Company shall cause any Note that is repurchased or owned by it to be surrendered to the Trustee for cancellation in accordance with Section 2.08.</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2.06</w:t>
      </w:r>
      <w:r>
        <w:rPr>
          <w:rFonts w:ascii="Times New Roman;Times;serif" w:hAnsi="Times New Roman;Times;serif"/>
          <w:i/>
          <w:sz w:val="20"/>
        </w:rPr>
        <w:t>Mutilated, Destroyed, Lost or Stolen Notes</w:t>
      </w:r>
      <w:r>
        <w:rPr>
          <w:rFonts w:ascii="Times New Roman;Times;serif" w:hAnsi="Times New Roman;Times;serif"/>
          <w:sz w:val="20"/>
        </w:rPr>
        <w:t>. In case any Note shall become mutilated or be destroyed, lost or stolen, the Company in its discretion may execute, and upon receipt of a Company Order,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and to the Trustee such security, pre-funding and/or indemnity as may be required by them to save each of them harmless from any loss, liability, cost or expense caused by or connected with such substitution, and, in every case of destruction, loss or theft, the applicant shall also furnish to the Company and to the Trustee evidence to their satisfaction of the destruction, loss or theft of such Note and of the ownership thereof.</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Trustee may authenticate any such substituted Note and deliver the same upon the receipt of such security, pre-funding and/or indemnity as the Trustee and the Company may require. No service charge shall be imposed by the Company, the Transfer Agent, the ADS Depositary, the Note Registrar, any co-Note Registrar or the Paying Agent upon the issuance of any substitute Note, but the Company and the Trustee may require a Holder to pay a sum sufficient to cover any documentary, stamp, issue, transfer or similar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repurchase (and not withdrawn) in accordance with Article 15 or has been selected for redemption in accordance with Article 16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and to the Trustee such security, pre-funding and/or indemnity as may be required by them to save each of them harmless for any loss, liability, cost or expense caused by or connected with such substitution, and, in every case of destruction, loss or theft, evidence satisfactory to the Company, and the Trustee evidence of their satisfaction of the destruction, loss or theft of such Note and of the ownership thereof.</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2.07</w:t>
      </w:r>
      <w:r>
        <w:rPr>
          <w:rFonts w:ascii="Times New Roman;Times;serif" w:hAnsi="Times New Roman;Times;serif"/>
          <w:i/>
          <w:sz w:val="20"/>
        </w:rPr>
        <w:t>Temporary Notes</w:t>
      </w:r>
      <w:r>
        <w:rPr>
          <w:rFonts w:ascii="Times New Roman;Times;serif" w:hAnsi="Times New Roman;Times;serif"/>
          <w:sz w:val="20"/>
        </w:rPr>
        <w:t>. Pending the preparation of Physical Notes, the Company may execute and the Trustee shall, upon receipt of a Company Order,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upon the same conditions and in substantially the same manner, and with the same effect, as the Physical Notes. Without unreasonable delay, the Company shall execute and deliver to the Trustee Physical Notes (other than any Global Note) and thereupon any or all temporary Notes (other than any Global Note) may be surrendered in exchange therefor, at each office or agency maintained by the Company pursuant to Section 4.02 and the Trustee shall upon receipt of a Company Order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2.08</w:t>
      </w:r>
      <w:r>
        <w:rPr>
          <w:rFonts w:ascii="Times New Roman;Times;serif" w:hAnsi="Times New Roman;Times;serif"/>
          <w:i/>
          <w:sz w:val="20"/>
        </w:rPr>
        <w:t xml:space="preserve">Cancellation of Notes Paid, Converted, Etc. </w:t>
      </w:r>
      <w:r>
        <w:rPr>
          <w:rFonts w:ascii="Times New Roman;Times;serif" w:hAnsi="Times New Roman;Times;serif"/>
          <w:sz w:val="20"/>
        </w:rPr>
        <w:t>The Company shall cause all Notes surrendered for the purpose of payment, repurchase, redemption, registration of transfer or exchange or conversion, if surrendered to any Person other than the Trustee (including any of the Company’s agents, Subsidiaries or Affiliates), to be delivered and surrendered to the Trustee for cancellation. Upon the delivery of a Company Order requesting cancellation, all Notes delivered to the Trustee shall be canceled promptly by it, and except for Notes surrendered for transfer or exchange, no Notes shall be authenticated in exchange thereof except as expressly permitted by any of the provisions of this Indenture. The Trustee shall dispose of canceled Notes in accordance with its customary procedures and, after such disposition, shall deliver a certificate of such cancellation and disposition to the Company, at the Company’s written request in a Company Order.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2.09</w:t>
      </w:r>
      <w:r>
        <w:rPr>
          <w:rFonts w:ascii="Times New Roman;Times;serif" w:hAnsi="Times New Roman;Times;serif"/>
          <w:i/>
          <w:sz w:val="20"/>
        </w:rPr>
        <w:t>CUSIP Numbers</w:t>
      </w:r>
      <w:r>
        <w:rPr>
          <w:rFonts w:ascii="Times New Roman;Times;serif" w:hAnsi="Times New Roman;Times;serif"/>
          <w:sz w:val="20"/>
        </w:rPr>
        <w:t xml:space="preserve">. The Company in issuing the Notes may use “CUSIP” numbers (if then generally in use), and, if so, the Trustee shall use “CUSIP” numbers in all notices issued to Holders as a convenience to such Holders; </w:t>
      </w:r>
      <w:r>
        <w:rPr>
          <w:rFonts w:ascii="Times New Roman;Times;serif" w:hAnsi="Times New Roman;Times;serif"/>
          <w:i/>
          <w:sz w:val="20"/>
        </w:rPr>
        <w:t xml:space="preserve">provided </w:t>
      </w:r>
      <w:r>
        <w:rPr>
          <w:rFonts w:ascii="Times New Roman;Times;serif" w:hAnsi="Times New Roman;Times;serif"/>
          <w:sz w:val="20"/>
        </w:rPr>
        <w:t>that the Trustee shall have no liability for any defect in the “CUSIP” numbers as they appear on any Note, notice or elsewhere, and provided further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or “ISIN” numbers, as applicable.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2.10</w:t>
      </w:r>
      <w:r>
        <w:rPr>
          <w:rFonts w:ascii="Times New Roman;Times;serif" w:hAnsi="Times New Roman;Times;serif"/>
          <w:i/>
          <w:sz w:val="20"/>
        </w:rPr>
        <w:t>Additional Notes; Repurchases</w:t>
      </w:r>
      <w:r>
        <w:rPr>
          <w:rFonts w:ascii="Times New Roman;Times;serif" w:hAnsi="Times New Roman;Times;serif"/>
          <w:sz w:val="20"/>
        </w:rPr>
        <w:t>. The Company may, without the consent of, or notice to, the Holders and notwithstanding Section 2.01, reopen this Indenture and issue</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additional Notes hereunder with the same terms as the Notes initially issued hereunder (except for any differences in the issue price, the issue date and interest accrued, if any, and, if applicable, restrictions on transfer in respect of such additional Notes) in an unlimited aggregate principal amount; </w:t>
      </w:r>
      <w:r>
        <w:rPr>
          <w:rFonts w:ascii="Times New Roman;Times;serif" w:hAnsi="Times New Roman;Times;serif"/>
          <w:i/>
          <w:sz w:val="20"/>
        </w:rPr>
        <w:t xml:space="preserve">provided </w:t>
      </w:r>
      <w:r>
        <w:rPr>
          <w:rFonts w:ascii="Times New Roman;Times;serif" w:hAnsi="Times New Roman;Times;serif"/>
          <w:sz w:val="20"/>
        </w:rPr>
        <w:t>that if any such additional Notes are not fungible with the Notes initially issued hereunder for U.S. federal income tax or securities law purposes, such additional Notes shall have a separate CUSIP, ISIN or other identifying number from the Notes. Prior to the issuance of any such additional Notes, the Company shall deliver to the Trustee a Company Order, an Officers’ Certificate and an Opinion of Counsel, such Officers’ Certificate and Opinion of Counsel to cover such matters, in addition to those required by Section 17.06, as the Trustee shall reasonably request. In addition, the Company may, to the extent permitted by law, and directly or indirectly (regardless of whether such Notes are surrendered to the Company), repurchase Notes in the open market or otherwise, whether by the Company or through its Subsidiaries, Consolidated Affiliated Entities or through a private or public tender or exchange offer or through counterparties to private agreements. The Company shall cause any Notes so repurchased to be surrendered to the Trustee for cancellation in accordance with Section 2.08 and upon receipt of a Company Order, the Note Registrar shall cancel all Notes so surrendered and such Notes shall no longer be considered outstanding under this Indenture upon their repurchase. The Company may also enter into cash-settled swaps or other derivatives with respect to the Notes. For the avoidance of doubt, any Notes underlying such cash-settled swaps or other derivatives shall not be required to be surrendered to the Trustee for cancellation in accordance with Section 2.08 and will continue to be considered outstanding for purposes of this Indenture, subject to the provisions of Section 8.04.</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2.11</w:t>
      </w:r>
      <w:r>
        <w:rPr>
          <w:rFonts w:ascii="Times New Roman;Times;serif" w:hAnsi="Times New Roman;Times;serif"/>
          <w:i/>
          <w:sz w:val="20"/>
        </w:rPr>
        <w:t>Appointment of Authenticating Agent</w:t>
      </w:r>
      <w:r>
        <w:rPr>
          <w:rFonts w:ascii="Times New Roman;Times;serif" w:hAnsi="Times New Roman;Times;serif"/>
          <w:sz w:val="20"/>
        </w:rPr>
        <w:t>. As long as any Notes remain outstanding, the Trustee may, by an instrument in writing, appoint with the approval of the Company an authenticating agent (an “</w:t>
      </w:r>
      <w:r>
        <w:rPr>
          <w:rFonts w:ascii="Times New Roman;Times;serif" w:hAnsi="Times New Roman;Times;serif"/>
          <w:b/>
          <w:sz w:val="20"/>
        </w:rPr>
        <w:t>Authenticating Agent</w:t>
      </w:r>
      <w:r>
        <w:rPr>
          <w:rFonts w:ascii="Times New Roman;Times;serif" w:hAnsi="Times New Roman;Times;serif"/>
          <w:sz w:val="20"/>
        </w:rPr>
        <w:t>”), which shall be authorized to act on behalf of the Trustee to authenticate Notes pursuant to this Indenture. Notes authenticated by such Authenticating Agent shall be entitled to the benefits of this Indenture and shall be valid and obligatory for all purposes as if authenticated by the Trustee. Whenever reference is made in this Indenture to the authentication and delivery of Notes by the Trustee or to the Trustee’s certificate of authentication, such reference shall be deemed to include authentication and delivery on behalf of the Trustee by an Authenticating Agent and a certificate of authentication executed on behalf of the Trustee by an Authenticating Agent. Such Authenticating Agent shall at all times be a Person that is eligible pursuant to the Trust Indenture Act to act as such and that has a combined capital and surplus of at least US$50,000,000.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ARTICLE 3</w:t>
        <w:br/>
        <w:t>SATISFACTION AND DISCHARGE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3.01</w:t>
      </w:r>
      <w:r>
        <w:rPr>
          <w:rFonts w:ascii="Times New Roman;Times;serif" w:hAnsi="Times New Roman;Times;serif"/>
          <w:i/>
          <w:sz w:val="20"/>
        </w:rPr>
        <w:t>Satisfaction and Discharge</w:t>
      </w:r>
      <w:r>
        <w:rPr>
          <w:rFonts w:ascii="Times New Roman;Times;serif" w:hAnsi="Times New Roman;Times;serif"/>
          <w:sz w:val="20"/>
        </w:rPr>
        <w:t>. This Indenture shall upon request of the Company contained in an Officers’ Certificate be discharged and shall cease to be of further effect, and the Trustee, at the expense of the Company, shall execute proper instruments acknowledging satisfaction and discharge of this Indenture, when (a) (i) all Notes theretofore</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authenticated and delivered (other than (x) Notes which have been destroyed, lost or stolen and which have been replaced, paid or converted as provided in Section 2.06 and (y) Notes for whose payment money has theretofore been deposited in trust or segregated and held in trust by the Company and thereafter repaid to the Company or discharged from such trust, as provided in Section 4.04(d)) have been delivered to the Trustee for cancellation; or (ii) the Company has deposited with the Trustee cash and/or delivered to Holders (solely to satisfy the Company’s Conversion Obligation, if applicable) ADSs, sufficient to pay all of (or satisfy such Conversion Obligation in respect of) the outstanding Notes, as the case may be, after the Notes have become due and payable, whether on the Maturity Date, any Redemption Date, the Repurchase Date, any Fundamental Change Repurchase Date, upon conversion or otherwise; (b) if the Company has deposited cash with the Trustee, the Trustee has received irrevocable instruction from the Company to make a payment on (or to satisfy such Conversion Obligation in respect of) the outstanding Notes, as the case may be, after the Notes have become due and payable, whether on the Maturity Date, any Redemption Date, the Repurchase Date, any Fundamental Change Repurchase Date, upon conversion or otherwise; and (c)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the obligations of the Company to the Trustee under Section 7.06 shall survive.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4</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PARTICULAR COVENANTS OF THE COMPANY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4.01</w:t>
      </w:r>
      <w:r>
        <w:rPr>
          <w:rFonts w:ascii="Times New Roman;Times;serif" w:hAnsi="Times New Roman;Times;serif"/>
          <w:i/>
          <w:sz w:val="20"/>
        </w:rPr>
        <w:t>Payment of Principal and Interest</w:t>
      </w:r>
      <w:r>
        <w:rPr>
          <w:rFonts w:ascii="Times New Roman;Times;serif" w:hAnsi="Times New Roman;Times;serif"/>
          <w:sz w:val="20"/>
        </w:rPr>
        <w:t>. The Company covenants and agrees that it will cause to be paid the principal (including the Redemption Price, the Repurchase Price and the Fundamental Change Repurchase Price, if applicable) of, and accrued and unpaid interest, if any, on, each of the Notes at the places, at the respective times and in the manner provided herein and in the Notes.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4.02</w:t>
      </w:r>
      <w:r>
        <w:rPr>
          <w:rFonts w:ascii="Times New Roman;Times;serif" w:hAnsi="Times New Roman;Times;serif"/>
          <w:i/>
          <w:sz w:val="20"/>
        </w:rPr>
        <w:t>Maintenance of Office or Agency</w:t>
      </w:r>
      <w:r>
        <w:rPr>
          <w:rFonts w:ascii="Times New Roman;Times;serif" w:hAnsi="Times New Roman;Times;serif"/>
          <w:sz w:val="20"/>
        </w:rPr>
        <w:t>. The Company will maintain in the Borough of Manhattan, The City of New York, an office or agency (which will be the Corporate Trust Office initially) where the Notes may be surrendered for registration of transfer or exchange or for presentation for payment or repurchase (“</w:t>
      </w:r>
      <w:r>
        <w:rPr>
          <w:rFonts w:ascii="Times New Roman;Times;serif" w:hAnsi="Times New Roman;Times;serif"/>
          <w:b/>
          <w:sz w:val="20"/>
        </w:rPr>
        <w:t>Paying Agent</w:t>
      </w:r>
      <w:r>
        <w:rPr>
          <w:rFonts w:ascii="Times New Roman;Times;serif" w:hAnsi="Times New Roman;Times;serif"/>
          <w:sz w:val="20"/>
        </w:rPr>
        <w:t>”) or for conversion (“</w:t>
      </w:r>
      <w:r>
        <w:rPr>
          <w:rFonts w:ascii="Times New Roman;Times;serif" w:hAnsi="Times New Roman;Times;serif"/>
          <w:b/>
          <w:sz w:val="20"/>
        </w:rPr>
        <w:t>Conversion Agent</w:t>
      </w:r>
      <w:r>
        <w:rPr>
          <w:rFonts w:ascii="Times New Roman;Times;serif" w:hAnsi="Times New Roman;Times;serif"/>
          <w:sz w:val="20"/>
        </w:rPr>
        <w:t xml:space="preserve">”)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the legal service of process against the Company shall in no circumstance be made at an office or agency of the Trustee.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Times;serif" w:hAnsi="Times New Roman;Times;serif"/>
          <w:i/>
          <w:sz w:val="20"/>
        </w:rPr>
        <w:t xml:space="preserve">provided </w:t>
      </w:r>
      <w:r>
        <w:rPr>
          <w:rFonts w:ascii="Times New Roman;Times;serif" w:hAnsi="Times New Roman;Times;serif"/>
          <w:sz w:val="20"/>
        </w:rPr>
        <w:t>that no such designation or rescission shall in any manner relieve the Company of its obligation to maintain an office or agency in the Borough of Manhattan, The City of New York, for such purposes. The Company will give prompt written notice to the Trustee of any such designation or rescission and of any</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change in the location of any such other office or agency. The terms “</w:t>
      </w:r>
      <w:r>
        <w:rPr>
          <w:rFonts w:ascii="Times New Roman;Times;serif" w:hAnsi="Times New Roman;Times;serif"/>
          <w:b/>
          <w:sz w:val="20"/>
        </w:rPr>
        <w:t>Paying Agent</w:t>
      </w:r>
      <w:r>
        <w:rPr>
          <w:rFonts w:ascii="Times New Roman;Times;serif" w:hAnsi="Times New Roman;Times;serif"/>
          <w:sz w:val="20"/>
        </w:rPr>
        <w:t>” and “</w:t>
      </w:r>
      <w:r>
        <w:rPr>
          <w:rFonts w:ascii="Times New Roman;Times;serif" w:hAnsi="Times New Roman;Times;serif"/>
          <w:b/>
          <w:sz w:val="20"/>
        </w:rPr>
        <w:t>Conversion Agent</w:t>
      </w:r>
      <w:r>
        <w:rPr>
          <w:rFonts w:ascii="Times New Roman;Times;serif" w:hAnsi="Times New Roman;Times;serif"/>
          <w:sz w:val="20"/>
        </w:rPr>
        <w:t>” include any such additional or other offices or agencies, as applicable.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hereby initially designates Deutsche Bank Trust Company Americas as the Paying Agent, Note Registrar, Transfer Agent and Conversion Agent and the Corporate Trust Office and the office or agency of Deutsche Bank Trust Company Americas in the Borough of Manhattan, The City of New York, each shall be considered as one such office or agency of the Company for each of the aforesaid purposes.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4.03</w:t>
      </w:r>
      <w:r>
        <w:rPr>
          <w:rFonts w:ascii="Times New Roman;Times;serif" w:hAnsi="Times New Roman;Times;serif"/>
          <w:i/>
          <w:sz w:val="20"/>
        </w:rPr>
        <w:t>Appointments to Fill Vacancies in Trustee’s Office</w:t>
      </w:r>
      <w:r>
        <w:rPr>
          <w:rFonts w:ascii="Times New Roman;Times;serif" w:hAnsi="Times New Roman;Times;serif"/>
          <w:sz w:val="20"/>
        </w:rPr>
        <w:t>. The Company, whenever necessary to avoid or fill a vacancy in the office of Trustee, will appoint, in the manner provided in Section 7.09, a trustee, so that there shall at all times be a trustee hereunder.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4.04</w:t>
      </w:r>
      <w:r>
        <w:rPr>
          <w:rFonts w:ascii="Times New Roman;Times;serif" w:hAnsi="Times New Roman;Times;serif"/>
          <w:i/>
          <w:sz w:val="20"/>
        </w:rPr>
        <w:t>Provisions as to Paying Agent</w:t>
      </w:r>
      <w:r>
        <w:rPr>
          <w:rFonts w:ascii="Times New Roman;Times;serif" w:hAnsi="Times New Roman;Times;serif"/>
          <w:sz w:val="20"/>
        </w:rPr>
        <w:t>. (a) If the Company shall appoint a Paying Agent other than the Trustee, the Company will cause such Paying Agent to execute and deliver to the Trustee an instrument in which such agent shall agree with the Trustee, subject to the provisions of this Section 4.04:</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that it will hold all sums held by it as such agent for the payment of the principal (including the Redemption Price, the Repurchase Price and the Fundamental Change Repurchase Price, if applicable) of, and accrued and unpaid interest, if any, on, the Notes for the benefit of the Holders of the Notes;</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that it will give the Trustee prompt written notice of any failure by the Company to make any payment of the principal (including the Redemption Price, the Repurchase Price and the Fundamental Change Repurchase Price, if applicable) of, and accrued and unpaid interest, if any, on, the Notes when the same shall be due and payable; and</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that at any time during the continuance of an Event of Default, upon request of the Trustee, it will forthwith pay to the Trustee all sums so held.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 shall, on or before each due date of the principal (including the Redemption Price, the Repurchase Price and the Fundamental Change Repurchase Price, if applicable) of, or accrued and unpaid interest, if any, on, the Notes, deposit with the Paying Agent a sum in immediately available funds sufficient to pay such principal (including the Redemption Price, the Repurchase Price and the Fundamental Change Repurchase Price, if applicable) or accrued and unpaid interest, if any, and (unless such Paying Agent is the Trustee) the Company will promptly notify the Trustee in writing of any failure to take such action; </w:t>
      </w:r>
      <w:r>
        <w:rPr>
          <w:rFonts w:ascii="Times New Roman;Times;serif" w:hAnsi="Times New Roman;Times;serif"/>
          <w:i/>
          <w:sz w:val="20"/>
        </w:rPr>
        <w:t xml:space="preserve">provided </w:t>
      </w:r>
      <w:r>
        <w:rPr>
          <w:rFonts w:ascii="Times New Roman;Times;serif" w:hAnsi="Times New Roman;Times;serif"/>
          <w:sz w:val="20"/>
        </w:rPr>
        <w:t>that such deposit must be received by the Paying Agent by 10:00 a.m., New York City time, one Business Day prior to the relevant due date. The Paying Agent shall not be bound to make any payment until it has received, in immediately available and cleared funds, an amount which shall be sufficient to pay, as applicable, the aggregate amount of principal (including the Redemption Price, the Repurchase Price and the Fundamental Change Repurchase Price, if applicable) of, or accrued and unpaid interest, if any, on, the Notes when such principal or interest, if any, shall become due and payable. The Paying Agent shall not be responsible or liable for any delay in making the payment if it does not receive funds before 10:00 a.m. one</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Business Day prior to the payment date. The Company shall use reasonable efforts to procure that, before 10:00 a.m., New York City time, on the second Business Day before each payment date, the bank effecting payment for it has confirmed by facsimile to the Paying Agent the payment instructions relating to such payment.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the Company shall act as its own Paying Agent, it will, on or before each due date of the principal (including the Redemption Price, the Repurchase Price and the Fundamental Change Repurchase Price, if applicable) of, and accrued and unpaid interest, if any, on, the Notes, set aside, segregate and hold in trust for the benefit of the Holders of the Notes a sum sufficient to pay such principal (including the Redemption Price, the Repurchase Price and the Fundamental Change Repurchase Price, if applicable) and accrued and unpaid interest, if any, so becoming due and will promptly notify the Trustee in writing of any failure to take such action and of any failure by the Company to make any payment of the principal (including the Redemption Price, the Repurchase Price and the Fundamental Change Repurchase Price, if applicable) of, or accrued and unpaid interest, if any, on, the Notes when the same shall become due and payable. Upon an Event of Default under Section 6.01(i) or Section 6.01(j) hereof, the Trustee shall automatically become the Paying Agent.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Anything in this Section 4.04 to the contrary notwithstanding, the Company may, at any time, for the purpose of obtaining a satisfaction and discharge of this Indenture, or for any other reason, pay, cause to be paid or deliver to the Trustee all sums or amounts held by the Company in trust or by any Paying Agent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Any money and ADSs deposited with the Trustee or any Paying Agent, or then held by the Company, in trust for the payment of principal (including the Redemption Price, the Repurchase Price and the Fundamental Change Repurchase Price, if applicable) of, and accrued and unpaid interest, if any, on, or in satisfaction of its Conversion Obligation with respect to, any Note and remaining unclaimed for two years after such principal (including the Redemption Price, the Repurchase Price and the Fundamental Change Repurchase Price, if applicable) or interest, if any, has become due and payable or such Conversion Obligation has become due shall be paid or delivered, as the case may be,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money or property, and all liability of the Company as trustee thereof, shall thereupon cease;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the Trustee or such Paying Agent, before being required to make any such repayment or delivery, may at the expense of the Company cause to be published once, in a newspaper published in the English language, customarily published on each Business Day and of general circulation in The Borough of Manhattan, The City of New York, notice that such money and ADSs remains unclaimed and that, after a date specified therein, which shall not be less than 30 days from the date of such publication, any unclaimed balance of such money and ADSs then remaining will be repaid or delivered to the Company.</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4.05</w:t>
      </w:r>
      <w:r>
        <w:rPr>
          <w:rFonts w:ascii="Times New Roman;Times;serif" w:hAnsi="Times New Roman;Times;serif"/>
          <w:i/>
          <w:sz w:val="20"/>
        </w:rPr>
        <w:t>Existence</w:t>
      </w:r>
      <w:r>
        <w:rPr>
          <w:rFonts w:ascii="Times New Roman;Times;serif" w:hAnsi="Times New Roman;Times;serif"/>
          <w:sz w:val="20"/>
        </w:rPr>
        <w:t>. Subject to Article 11, the Company shall do or cause to be done all things necessary to preserve and keep in full force and effect its corporate existence. The Company shall promptly provide the Trustee with written notice of any change to its name, jurisdiction of incorporation or change to its corporate organization.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4.06</w:t>
      </w:r>
      <w:r>
        <w:rPr>
          <w:rFonts w:ascii="Times New Roman;Times;serif" w:hAnsi="Times New Roman;Times;serif"/>
          <w:i/>
          <w:sz w:val="20"/>
        </w:rPr>
        <w:t>Rule 144A Information Requirement and Annual Reports</w:t>
      </w:r>
      <w:r>
        <w:rPr>
          <w:rFonts w:ascii="Times New Roman;Times;serif" w:hAnsi="Times New Roman;Times;serif"/>
          <w:sz w:val="20"/>
        </w:rPr>
        <w:t>. (a) At any time the Company is not subject to Section 13 or 15(d) of the Exchange Act, the Company shall, so long as any of the Notes, any ADSs deliverable upon conversion thereof, if any, or any Ordinary Shares represented by such ADSs, at such time, constitute “restricted securities” within the meaning of Rule 144(a)(3) under the Securities Act, promptly provide to the Trustee and shall, upon written request, provide to any Holder, beneficial owner or prospective purchaser of such Notes or the ADSs deliverable upon conversion of such Notes or Ordinary Shares represented thereby the information required to be delivered pursuant to Rule 144A(d)(4) under the Securities Act to facilitate the resale of such Notes or ADSs or Ordinary Shares represented thereby pursuant to Rule 144A. The Company shall take such further action as any Holder or beneficial owner of such Notes or such ADSs or Ordinary Shares represented thereby may reasonably request to the extent from time to time required to enable such Holder or beneficial owner to sell such Notes or ADSs or Ordinary Shares represented thereby in accordance with Rule 144A, as such rule may be amended from time to time.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Company shall provide to the Trustee within 15 days after the same are required to be filed with the Commission, copies of any documents or reports that the Company is required to file with the Commission pursuant to Section 13 or 15(d) of the Exchange Act (giving effect to any applicable grace period provided by Rule 12b-25 under the Exchange Act). Any such document or report that the Company files with the Commission via the Commission’s EDGAR system (or any successor thereto) shall be deemed to be provided to the Trustee for purposes of this Section 4.06(b) at the time such documents are filed via the EDGAR system (or any successor thereto). The Trustee shall have no obligation to determine if and when the Company’s statements or reports are publicly available and/or accessible electronically.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Delivery of the reports and documents described in subsection (b) above to the Trustee is for informational purposes only, and the Trustee’s receipt of such shall not constitute actual or constructive notice or knowledge of any information contained therein or determinable from information contained therein, including the Company’s compliance with any of its covenants hereunder (as to which the Trustee is entitled to conclusively rely on an Officers’ Certificate).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If, at any time during the six-month period beginning on, and including, the date that is six months after the last date of original issuance of the Notes, the Company fails to timely file any document or report that it is required to file with the Commission pursuant to Section 13 or 15(d) of the Exchange Act, as applicable (after (i) giving effect to all applicable grace periods thereunder and (ii) other than reports on Form 6-K to the extent such reports are not required to satisfy the “current public information” requirements of Rule 144), or the Notes are not otherwise freely tradable pursuant to Rule 144 by Holders other than the Company’s Affiliates or Holders that were the Company’s Affiliates at any time during the three months immediately preceding (as a result of restrictions pursuant to U.S. securities laws or the terms of this Indenture or the Notes), the Company shall pay or cause the Paying Agent (on behalf of the</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Company and subject to receipt of funds from the Company pursuant to the last paragraph in Section 4.04(a)) to pay Additional Interest on the Notes. Such Additional Interest shall accrue on the Notes at the rate of 0.50% per annum of the principal amount of the Notes outstanding for each day during such period for which the Company’s failure to file has occurred and is continuing or the period during which the Notes are not freely tradable, as described in this Section 4.06(d), by Holders other than Affiliates of the Company (or Holders that were Affiliates of the Company at any time during the three months immediately preceding). As used in this Section 4.06(d), documents or reports that the Company is required to “file” with the Commission pursuant to Section 13 or 15(d) of the Exchange Act does not include documents or reports that the Company furnishes to the Commission pursuant to Section 13 or 15(d) of the Exchange Act.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If, and for so long as, the restrictive legend on the Notes specified in Section 2.05(c) has not been removed, the Notes are assigned a restricted CUSIP or the Notes are not otherwise freely tradable by Holders other than the Company’s Affiliates or Holders that were the Company’s Affiliates at any time during the three months immediately preceding (without restrictions pursuant to U.S. securities laws or the terms of this Indenture or the Notes) as of the 370th day after the last date of original issuance of the Notes, the Company shall pay or cause the Paying Agent to pay Additional Interest on the Notes at a rate equal to 0.50% per annum of the principal amount of Notes outstanding until the restrictive legend on the Notes has been removed in accordance with Section 2.05(c), the Notes have been assigned an unrestricted CUSIP and the Notes are freely tradable by Holders other than the Company’s Affiliates or Holders that were the Company’s Affiliates at any time during the three months immediately preceding (without restrictions pursuant to U.S. securities laws or the terms of this Indenture or the Notes).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Additional Interest will be payable in arrears on each Interest Payment Date following accrual in the same manner as regular interest on the Notes.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The Additional Interest that is payable in accordance with Section 4.06(d) or Section 4.06(e) shall be in addition to, and not in lieu of, any Additional Interest that may be payable as a result of the Company’s election pursuant to Section 6.03. In no event shall Additional Interest accrue on any day under the terms of this Indenture (taking any Additional Interest payable pursuant to Section 4.06(d) and Section 4.06(e) together with any Additional Interest payable pursuant to Section 6.03) at an annual rate in excess of 0.50%, in the aggregate, for any violation or Default caused by the Company’s failure to be current in respect of its Exchange Act reporting obligations.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If Additional Interest is payable by the Company pursuant to Section 4.06(d) or Section 4.06(e), the Company shall deliver to the Trustee an Officers’ Certificate to that effect stating (i) the amount of such Additional Interest that is payable and (ii) the date on which such Additional Interest is payable. Unless and until a Responsible Officer of the Trustee receives at the Corporate Trust Office such a certificate, the Trustee may assume without inquiry that no such Additional Interest is payable. If the Company has paid such Additional Interest directly to the Persons entitled to it, the Company shall deliver to the Trustee an Officers’ Certificate setting forth the particulars of such payment.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4.07</w:t>
      </w:r>
      <w:r>
        <w:rPr>
          <w:rFonts w:ascii="Times New Roman;Times;serif" w:hAnsi="Times New Roman;Times;serif"/>
          <w:i/>
          <w:sz w:val="20"/>
        </w:rPr>
        <w:t>Additional Amounts</w:t>
      </w:r>
      <w:r>
        <w:rPr>
          <w:rFonts w:ascii="Times New Roman;Times;serif" w:hAnsi="Times New Roman;Times;serif"/>
          <w:sz w:val="20"/>
        </w:rPr>
        <w:t>. (a) All payments and deliveries made by, or on behalf of, the Company or any successor to the Company under or with respect to this Indenture and the Notes, including, but not limited to, payments of principal (including, if applicable, the Redemption Price, the Repurchase Price and the Fundamental Change Repurchase Price), premium, if any, payments of interest (if applicable), including any Additional Interest, and payments of cash and/or deliveries of ADSs or any other consideration due on conversion of a Note (together with payments of cash for any Fractional ADS or other consideration), shall be made without withholding, deduction or reduction for any other collection at source for, or on account of, any present or future taxes, duties, assessments or governmental charges of whatever nature imposed or levied (including any penalties and interest related thereto) (“</w:t>
      </w:r>
      <w:r>
        <w:rPr>
          <w:rFonts w:ascii="Times New Roman;Times;serif" w:hAnsi="Times New Roman;Times;serif"/>
          <w:b/>
          <w:sz w:val="20"/>
        </w:rPr>
        <w:t>applicable taxes</w:t>
      </w:r>
      <w:r>
        <w:rPr>
          <w:rFonts w:ascii="Times New Roman;Times;serif" w:hAnsi="Times New Roman;Times;serif"/>
          <w:sz w:val="20"/>
        </w:rPr>
        <w:t>”) by or within any jurisdiction in which the Company or any successor to the Company is, for tax purposes, incorporated, organized or resident or doing business (each, as applicable, a “</w:t>
      </w:r>
      <w:r>
        <w:rPr>
          <w:rFonts w:ascii="Times New Roman;Times;serif" w:hAnsi="Times New Roman;Times;serif"/>
          <w:b/>
          <w:sz w:val="20"/>
        </w:rPr>
        <w:t>Relevant Taxing Jurisdiction</w:t>
      </w:r>
      <w:r>
        <w:rPr>
          <w:rFonts w:ascii="Times New Roman;Times;serif" w:hAnsi="Times New Roman;Times;serif"/>
          <w:sz w:val="20"/>
        </w:rPr>
        <w:t>”) or through which payment is made or deemed made (together with each Relevant Taxing Jurisdiction, a “</w:t>
      </w:r>
      <w:r>
        <w:rPr>
          <w:rFonts w:ascii="Times New Roman;Times;serif" w:hAnsi="Times New Roman;Times;serif"/>
          <w:b/>
          <w:sz w:val="20"/>
        </w:rPr>
        <w:t>Relevant Jurisdiction</w:t>
      </w:r>
      <w:r>
        <w:rPr>
          <w:rFonts w:ascii="Times New Roman;Times;serif" w:hAnsi="Times New Roman;Times;serif"/>
          <w:sz w:val="20"/>
        </w:rPr>
        <w:t>,” and in each case, any political subdivision or taxing authority thereof or therein) unless such withholding, deduction or reduction is required by law or by regulation or governmental policy having the force of law. In the event that any such withholding, deduction or reduction is so required, the Company or any successor to the Company shall pay or deliver to each Holder such additional amounts of cash, ADSs or other consideration, as applicable (“</w:t>
      </w:r>
      <w:r>
        <w:rPr>
          <w:rFonts w:ascii="Times New Roman;Times;serif" w:hAnsi="Times New Roman;Times;serif"/>
          <w:b/>
          <w:sz w:val="20"/>
        </w:rPr>
        <w:t>Additional Amounts</w:t>
      </w:r>
      <w:r>
        <w:rPr>
          <w:rFonts w:ascii="Times New Roman;Times;serif" w:hAnsi="Times New Roman;Times;serif"/>
          <w:sz w:val="20"/>
        </w:rPr>
        <w:t xml:space="preserve">”) as may be necessary to ensure that the net amount received by the beneficial owner of the Notes after such withholding, deduction or reduction (and after deducting any taxes on the Additional Amounts) shall equal the amounts that would have been received by such beneficial owner had no such withholding, deduction or reduction been required; </w:t>
      </w:r>
      <w:r>
        <w:rPr>
          <w:rFonts w:ascii="Times New Roman;Times;serif" w:hAnsi="Times New Roman;Times;serif"/>
          <w:i/>
          <w:sz w:val="20"/>
        </w:rPr>
        <w:t xml:space="preserve">provided </w:t>
      </w:r>
      <w:r>
        <w:rPr>
          <w:rFonts w:ascii="Times New Roman;Times;serif" w:hAnsi="Times New Roman;Times;serif"/>
          <w:sz w:val="20"/>
        </w:rPr>
        <w:t>that no Additional Amounts shall be payable:</w:t>
      </w:r>
    </w:p>
    <w:tbl>
      <w:tblPr>
        <w:tblW w:w="1893" w:type="dxa"/>
        <w:jc w:val="left"/>
        <w:tblInd w:w="0" w:type="dxa"/>
        <w:tblLayout w:type="fixed"/>
        <w:tblCellMar>
          <w:top w:w="0" w:type="dxa"/>
          <w:left w:w="0" w:type="dxa"/>
          <w:bottom w:w="0" w:type="dxa"/>
          <w:right w:w="0" w:type="dxa"/>
        </w:tblCellMar>
      </w:tblPr>
      <w:tblGrid>
        <w:gridCol w:w="23"/>
        <w:gridCol w:w="200"/>
        <w:gridCol w:w="167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(i)</w:t>
            </w:r>
          </w:p>
        </w:tc>
        <w:tc>
          <w:tcPr>
            <w:tcW w:w="167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for or on account of:</w:t>
            </w:r>
          </w:p>
        </w:tc>
      </w:tr>
    </w:tbl>
    <w:tbl>
      <w:tblPr>
        <w:tblW w:w="5463" w:type="dxa"/>
        <w:jc w:val="left"/>
        <w:tblInd w:w="0" w:type="dxa"/>
        <w:tblLayout w:type="fixed"/>
        <w:tblCellMar>
          <w:top w:w="0" w:type="dxa"/>
          <w:left w:w="0" w:type="dxa"/>
          <w:bottom w:w="0" w:type="dxa"/>
          <w:right w:w="0" w:type="dxa"/>
        </w:tblCellMar>
      </w:tblPr>
      <w:tblGrid>
        <w:gridCol w:w="23"/>
        <w:gridCol w:w="275"/>
        <w:gridCol w:w="516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516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any applicable taxes that would not have been imposed but for:</w:t>
            </w:r>
          </w:p>
        </w:tc>
      </w:tr>
    </w:tbl>
    <w:p>
      <w:pPr>
        <w:pStyle w:val="TextBody"/>
        <w:bidi w:val="0"/>
        <w:spacing w:before="0" w:after="200"/>
        <w:ind w:left="2160" w:right="0" w:firstLine="720"/>
        <w:jc w:val="left"/>
        <w:rPr>
          <w:rFonts w:ascii="Times New Roman;Times;serif" w:hAnsi="Times New Roman;Times;serif"/>
          <w:sz w:val="20"/>
        </w:rPr>
      </w:pPr>
      <w:r>
        <w:rPr>
          <w:rFonts w:ascii="Times New Roman;Times;serif" w:hAnsi="Times New Roman;Times;serif"/>
          <w:sz w:val="20"/>
        </w:rPr>
        <w:t>(1)the existence of any present or former connection between the relevant Holder or beneficial owner of such Note and the Relevant Jurisdiction, other than merely acquiring or holding such Note, receiving cash and/or ADSs (together with the payment of cash for any Fractional ADS) or other consideration upon conversion of such Note or the receipt of payments or the exercise or enforcement of rights thereunder, including, without limitation, such Holder or beneficial owner being or having been a national, domiciliary or resident of such Relevant Jurisdiction or treated as a resident thereof or being or having been physically present or engaged in a trade or business therein or having had a permanent establishment therein;</w:t>
      </w:r>
    </w:p>
    <w:p>
      <w:pPr>
        <w:pStyle w:val="TextBody"/>
        <w:bidi w:val="0"/>
        <w:spacing w:before="0" w:after="200"/>
        <w:ind w:left="2160" w:right="0" w:firstLine="720"/>
        <w:jc w:val="left"/>
        <w:rPr>
          <w:rFonts w:ascii="Times New Roman;Times;serif" w:hAnsi="Times New Roman;Times;serif"/>
          <w:sz w:val="20"/>
        </w:rPr>
      </w:pPr>
      <w:r>
        <w:rPr>
          <w:rFonts w:ascii="Times New Roman;Times;serif" w:hAnsi="Times New Roman;Times;serif"/>
          <w:sz w:val="20"/>
        </w:rPr>
        <w:t>(2)the presentation of such Note (in cases in which presentation is required) more than 30 days after the later of the date on which the payment of the principal of (including the Redemption Price, the Repurchase Price and Fundamental Change Repurchase Price, if applicable) and interest on, such Note or the payment of cash and/or the delivery of ADSs (together with payment of cash for any Fractional ADS)</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2160" w:right="0" w:hanging="0"/>
        <w:jc w:val="left"/>
        <w:rPr>
          <w:rFonts w:ascii="Times New Roman;Times;serif" w:hAnsi="Times New Roman;Times;serif"/>
          <w:sz w:val="20"/>
        </w:rPr>
      </w:pPr>
      <w:r>
        <w:rPr>
          <w:rFonts w:ascii="Times New Roman;Times;serif" w:hAnsi="Times New Roman;Times;serif"/>
          <w:sz w:val="20"/>
        </w:rPr>
        <w:t>or other consideration upon conversion of such Note became due and payable pursuant to the terms thereof or was made or duly provided for;</w:t>
      </w:r>
    </w:p>
    <w:p>
      <w:pPr>
        <w:pStyle w:val="TextBody"/>
        <w:bidi w:val="0"/>
        <w:spacing w:before="0" w:after="200"/>
        <w:ind w:left="2160" w:right="0" w:firstLine="720"/>
        <w:jc w:val="left"/>
        <w:rPr>
          <w:rFonts w:ascii="Times New Roman;Times;serif" w:hAnsi="Times New Roman;Times;serif"/>
          <w:sz w:val="20"/>
        </w:rPr>
      </w:pPr>
      <w:r>
        <w:rPr>
          <w:rFonts w:ascii="Times New Roman;Times;serif" w:hAnsi="Times New Roman;Times;serif"/>
          <w:sz w:val="20"/>
        </w:rPr>
        <w:t>(3)the failure of the Holder or beneficial owner to comply with a timely written request from the Company or any successor of the Company, addressed to the Holder, to the extent such Holder or beneficial owner is legally entitled, to provide certification, information, documents or other evidence concerning such Holder’s or beneficial owner’s nationality, residence, identity or connection with the Relevant Taxing Jurisdiction, or to make any declaration or satisfy any other reporting requirement relating to such matters, if and to the extent that due and timely compliance with such request is required by statute, regulation or administrative practice of the Relevant Jurisdiction in order to reduce or eliminate any withholding or deduction as to which Additional Amounts would have otherwise been payable to such Holder or beneficial owner; or</w:t>
      </w:r>
    </w:p>
    <w:p>
      <w:pPr>
        <w:pStyle w:val="TextBody"/>
        <w:bidi w:val="0"/>
        <w:spacing w:before="0" w:after="200"/>
        <w:ind w:left="2160" w:right="0" w:firstLine="720"/>
        <w:jc w:val="left"/>
        <w:rPr>
          <w:rFonts w:ascii="Times New Roman;Times;serif" w:hAnsi="Times New Roman;Times;serif"/>
          <w:sz w:val="20"/>
        </w:rPr>
      </w:pPr>
      <w:r>
        <w:rPr>
          <w:rFonts w:ascii="Times New Roman;Times;serif" w:hAnsi="Times New Roman;Times;serif"/>
          <w:sz w:val="20"/>
        </w:rPr>
        <w:t>(4)the presentation of such Note (in cases in which presentation is required) for payment in the Relevant Jurisdiction, unless such Note could not have been presented for payment elsewhere;</w:t>
      </w:r>
    </w:p>
    <w:p>
      <w:pPr>
        <w:pStyle w:val="TextBody"/>
        <w:bidi w:val="0"/>
        <w:spacing w:before="0" w:after="200"/>
        <w:ind w:left="1440" w:right="0" w:firstLine="720"/>
        <w:jc w:val="both"/>
        <w:rPr>
          <w:rFonts w:ascii="Times New Roman;Times;serif" w:hAnsi="Times New Roman;Times;serif"/>
          <w:sz w:val="20"/>
        </w:rPr>
      </w:pPr>
      <w:r>
        <w:rPr>
          <w:rFonts w:ascii="Times New Roman;Times;serif" w:hAnsi="Times New Roman;Times;serif"/>
          <w:sz w:val="20"/>
        </w:rPr>
        <w:t>(B)any estate, inheritance, gift, sale, transfer, personal property or similar applicable tax or any excise or similar taxes imposed with respect to a transfer;</w:t>
      </w:r>
    </w:p>
    <w:p>
      <w:pPr>
        <w:pStyle w:val="TextBody"/>
        <w:bidi w:val="0"/>
        <w:spacing w:before="0" w:after="200"/>
        <w:ind w:left="1440" w:right="0" w:firstLine="720"/>
        <w:jc w:val="left"/>
        <w:rPr>
          <w:rFonts w:ascii="Times New Roman;Times;serif" w:hAnsi="Times New Roman;Times;serif"/>
          <w:sz w:val="20"/>
        </w:rPr>
      </w:pPr>
      <w:r>
        <w:rPr>
          <w:rFonts w:ascii="Times New Roman;Times;serif" w:hAnsi="Times New Roman;Times;serif"/>
          <w:sz w:val="20"/>
        </w:rPr>
        <w:t>(C)any applicable tax that is payable otherwise than by withholding, deduction for any other collection at source from payments or deliveries under or with respect to the Notes;</w:t>
      </w:r>
    </w:p>
    <w:p>
      <w:pPr>
        <w:pStyle w:val="TextBody"/>
        <w:bidi w:val="0"/>
        <w:spacing w:before="0" w:after="200"/>
        <w:ind w:left="1440" w:right="0" w:firstLine="720"/>
        <w:jc w:val="left"/>
        <w:rPr>
          <w:rFonts w:ascii="Times New Roman;Times;serif" w:hAnsi="Times New Roman;Times;serif"/>
          <w:sz w:val="20"/>
        </w:rPr>
      </w:pPr>
      <w:r>
        <w:rPr>
          <w:rFonts w:ascii="Times New Roman;Times;serif" w:hAnsi="Times New Roman;Times;serif"/>
          <w:sz w:val="20"/>
        </w:rPr>
        <w:t>(D)any applicable tax required to be withheld or deducted under Sections 1471 to 1474 of the Code (or any amended or successor versions of such Sections) (“</w:t>
      </w:r>
      <w:r>
        <w:rPr>
          <w:rFonts w:ascii="Times New Roman;Times;serif" w:hAnsi="Times New Roman;Times;serif"/>
          <w:b/>
          <w:sz w:val="20"/>
        </w:rPr>
        <w:t>FATCA</w:t>
      </w:r>
      <w:r>
        <w:rPr>
          <w:rFonts w:ascii="Times New Roman;Times;serif" w:hAnsi="Times New Roman;Times;serif"/>
          <w:sz w:val="20"/>
        </w:rPr>
        <w:t>”), any regulations or other official guidance thereunder, any intergovernmental agreement or agreement pursuant to Section 1471(b)(1) of the Code entered into in connection with FATCA, or any law, regulation or other official guidance enacted in any jurisdiction implementing FATCA or an intergovernmental agreement; or</w:t>
      </w:r>
    </w:p>
    <w:p>
      <w:pPr>
        <w:pStyle w:val="TextBody"/>
        <w:bidi w:val="0"/>
        <w:spacing w:before="0" w:after="200"/>
        <w:ind w:left="1440" w:right="0" w:firstLine="720"/>
        <w:jc w:val="left"/>
        <w:rPr>
          <w:rFonts w:ascii="Times New Roman;Times;serif" w:hAnsi="Times New Roman;Times;serif"/>
          <w:sz w:val="20"/>
        </w:rPr>
      </w:pPr>
      <w:r>
        <w:rPr>
          <w:rFonts w:ascii="Times New Roman;Times;serif" w:hAnsi="Times New Roman;Times;serif"/>
          <w:sz w:val="20"/>
        </w:rPr>
        <w:t>(E)any combination of applicable taxes referred to in the preceding clauses (A), (B), (C) or (D); or</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with respect to any payment of the principal of (including the Redemption Price, the Repurchase Price and the Fundamental Change Repurchase Price, if applicable), and interest on, such Note or the payment of cash and/or delivery of ADSs (together with payment of cash for any Fractional ADS) or other consideration upon conversion of such Note to a Holder, if the Holder is a fiduciary, partnership or person other than the sole beneficial owner of that payment to the extent that such payment would be required to be included in the income under the laws of the Relevant Jurisdiction, for tax purposes, of a beneficiary or settlor with respect to the fiduciary, a</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partner or member of that partnership or a beneficial owner who would not have been entitled to such Additional Amounts had that beneficiary, settlor, partner, member or beneficial owner been the Holder thereof.</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the Company or its successor becomes obligated to pay Additional Amounts with respect to any payment or delivery under or with respect to the Notes, the Company or its successor shall deliver to the Trustee and the Paying Agent, if other than the Trustee, on a date that is at least 30 days prior to the date of that payment or delivery (unless the obligation to pay Additional Amounts arises after the 30th day prior to that payment or delivery date, in which case the Company or its successor shall notify the Trustee and the Paying Agent promptly thereafter) an Officers’ Certificate stating the fact that Additional Amounts will be payable and the amount estimated to be so payable. The Officers’ Certificate must also set forth any other information reasonably necessary to enable the Paying Agent or the Conversion Agent, as the case may be, (on behalf of the Company and subject to receipt of funds from the Company pursuant to the last paragraph in Section 4.04(a)) to pay Additional Amounts to Holders on the relevant payment or delivery date. The Trustee and the Paying Agent shall be entitled to rely solely on such Officers’ Certificate as conclusive proof that such payments are necessary. The Company or its successor shall provide the Trustee and the Paying Agent with documentation reasonably satisfactory to the Trustee evidencing the payment of Additional Amounts.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Company or its successor shall make all withholdings and deductions required by law and shall remit the full amount deducted or withheld to the relevant tax authority in accordance with applicable law. Upon request, the Company or its successor shall provide to the Trustee and the Paying Agent, if other than the Trustee, an official receipt or, if official receipts are not obtainable, an Officers’ Certificate evidencing the payment of any applicable taxes so deducted or withheld. Copies of those receipts or other documentation, as the case may be, shall be made available by the Trustee to the Holders of the Notes upon written request.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Any reference in this Indenture or the Notes in any context to the payment of cash and/or the delivery of ADSs (together with payment of cash for any Fractional ADS) or other consideration upon conversion of any Note or the payment of principal of (including the Redemption Price, the Repurchase Price and Fundamental Change Repurchase Price, if applicable) and any premium or interest, (including any Additional Interest) on any Note or any other amount payable with respect to such Note, shall be deemed to include payment of Additional Amounts to the extent that, in such context, Additional Amounts are, were or would be payable with respect to that amount pursuant to this Section 4.07.</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Notwithstanding any other provisions, the Company or its successor, the Trustee and the Paying Agent shall be entitled to make any withholding or deduction pursuant to FATCA.</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If the Company or its successor is required to make any deduction or withholding from any payments or deliveries with respect to the Notes, it will deliver to the Trustee and the Paying Agent, if other than the Trustee, official tax receipts evidencing the remittance to the relevant tax authorities of the amounts so withheld or deducted.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The foregoing obligations shall survive termination or discharge of this Indenture.</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4.08</w:t>
      </w:r>
      <w:r>
        <w:rPr>
          <w:rFonts w:ascii="Times New Roman;Times;serif" w:hAnsi="Times New Roman;Times;serif"/>
          <w:i/>
          <w:sz w:val="20"/>
        </w:rPr>
        <w:t>Stay, Extension and Usury Laws</w:t>
      </w:r>
      <w:r>
        <w:rPr>
          <w:rFonts w:ascii="Times New Roman;Times;serif" w:hAnsi="Times New Roman;Times;serif"/>
          <w:sz w:val="20"/>
        </w:rPr>
        <w:t>.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if any,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4.09</w:t>
      </w:r>
      <w:r>
        <w:rPr>
          <w:rFonts w:ascii="Times New Roman;Times;serif" w:hAnsi="Times New Roman;Times;serif"/>
          <w:i/>
          <w:sz w:val="20"/>
        </w:rPr>
        <w:t>Compliance Certificate; Statements as to Defaults</w:t>
      </w:r>
      <w:r>
        <w:rPr>
          <w:rFonts w:ascii="Times New Roman;Times;serif" w:hAnsi="Times New Roman;Times;serif"/>
          <w:sz w:val="20"/>
        </w:rPr>
        <w:t>. The Company shall deliver to the Trustee within 120 days after the end of each fiscal year of the Company (beginning with the fiscal year ending on December 31, 2021) an Officers’ Certificate stating that a review has been conducted of the Company’s activities under this Indenture and the Company has fulfilled its obligations hereunder, and whether the authorized Officers thereof have knowledge of any Default by the Company that occurred during the previous year that is then continuing and, if so, specifying each such Default and the nature thereof.</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addition, the Company shall deliver to the Trustee, as soon as reasonably practicable, and in any event within 30 days after the Company becomes aware of the occurrence of any Default if such Default is then continuing, an Officers’ Certificate setting forth the details of such Default, its status and the action that the Company is taking or proposing to take in respect thereof. The Trustee shall have no responsibility to take any steps to ascertain whether any Event of Default or Default has occurred, and until (i) a Responsible Officer of the Trustee has received an Officers’ Certificate regarding such an occurrence, or (ii) the Trustee has received written notice at the Corporate Trust Office from the Holders of at least 25% in aggregate principal amount of the Notes then outstanding regarding such an occurrence, the Trustee is entitled to assume, without liability, that no Event of Default or Default has occurred.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4.10</w:t>
      </w:r>
      <w:r>
        <w:rPr>
          <w:rFonts w:ascii="Times New Roman;Times;serif" w:hAnsi="Times New Roman;Times;serif"/>
          <w:i/>
          <w:sz w:val="20"/>
        </w:rPr>
        <w:t>Further Instruments and Acts</w:t>
      </w:r>
      <w:r>
        <w:rPr>
          <w:rFonts w:ascii="Times New Roman;Times;serif" w:hAnsi="Times New Roman;Times;serif"/>
          <w:sz w:val="20"/>
        </w:rPr>
        <w:t>. Upon request of the Trustee, the Company will execute and deliver such further instruments and do such further acts as may be reasonably necessary or proper to carry out more effectively the purposes of this Indenture.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5</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LISTS OF HOLDERS AND REPORTS BY THE COMPANY AND THE TRUSTEE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5.01</w:t>
      </w:r>
      <w:r>
        <w:rPr>
          <w:rFonts w:ascii="Times New Roman;Times;serif" w:hAnsi="Times New Roman;Times;serif"/>
          <w:i/>
          <w:sz w:val="20"/>
        </w:rPr>
        <w:t>Lists of Holders</w:t>
      </w:r>
      <w:r>
        <w:rPr>
          <w:rFonts w:ascii="Times New Roman;Times;serif" w:hAnsi="Times New Roman;Times;serif"/>
          <w:sz w:val="20"/>
        </w:rPr>
        <w:t>. The Company covenants and agrees that it will furnish or cause to be furnished to the Trustee, semi-annually, not more than 15 days after each April 1 and October 1 in each year beginning with April 1, 2024,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5.02</w:t>
      </w:r>
      <w:r>
        <w:rPr>
          <w:rFonts w:ascii="Times New Roman;Times;serif" w:hAnsi="Times New Roman;Times;serif"/>
          <w:i/>
          <w:sz w:val="20"/>
        </w:rPr>
        <w:t>Preservation and Disclosure of Lists</w:t>
      </w:r>
      <w:r>
        <w:rPr>
          <w:rFonts w:ascii="Times New Roman;Times;serif" w:hAnsi="Times New Roman;Times;serif"/>
          <w:sz w:val="20"/>
        </w:rPr>
        <w:t>.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destroy any list furnished to it as provided in Section 5.01 upon receipt of a new list so furnished.</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ARTICLE 6</w:t>
        <w:br/>
        <w:t>DEFAULTS AND REMEDIES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6.01</w:t>
      </w:r>
      <w:r>
        <w:rPr>
          <w:rFonts w:ascii="Times New Roman;Times;serif" w:hAnsi="Times New Roman;Times;serif"/>
          <w:i/>
          <w:sz w:val="20"/>
        </w:rPr>
        <w:t>Events of Default</w:t>
      </w:r>
      <w:r>
        <w:rPr>
          <w:rFonts w:ascii="Times New Roman;Times;serif" w:hAnsi="Times New Roman;Times;serif"/>
          <w:sz w:val="20"/>
        </w:rPr>
        <w:t>. The following events shall be “</w:t>
      </w:r>
      <w:r>
        <w:rPr>
          <w:rFonts w:ascii="Times New Roman;Times;serif" w:hAnsi="Times New Roman;Times;serif"/>
          <w:b/>
          <w:sz w:val="20"/>
        </w:rPr>
        <w:t>Events of Default</w:t>
      </w:r>
      <w:r>
        <w:rPr>
          <w:rFonts w:ascii="Times New Roman;Times;serif" w:hAnsi="Times New Roman;Times;serif"/>
          <w:sz w:val="20"/>
        </w:rPr>
        <w:t>” with respect to the Notes: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default in any payment of interest or Additional Amounts, if any, on any Note when due and payable and the default continues for a period of 30 days;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default in the payment of principal of any Note when due and payable on the Maturity Date, upon redemption in accordance with Section 16.01, Section 16.02 or Section 16.03, upon any required repurchase, upon declaration of acceleration or otherwise;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failure by the Company to comply with its obligations to convert the Notes in accordance with this Indenture upon exercise of a Holder’s conversion right and such failure continues for a period of five Business Days;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failure by the Company to issue a Fundamental Change Company Notice in accordance with Section 15.02(c) or notice of a Make-Whole Fundamental Change in accordance with Section 14.03(a) or notice in accordance with Section 14.03(g) in each case, when due and such failure continues for a period of five Business Days;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failure by the Company to comply with its obligations under Article 11;</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failure by the Company for 60 days after written notice from the Trustee to the Company, or from the Holders of at least 25% in aggregate principal amount of the Notes then outstanding to the Company and the Trustee, has been received by the Company to comply with any of its other agreements contained in the Notes or this Indenture;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default by the Company or any Significant Subsidiary of the Company with respect to any mortgage, agreement or other instrument under which there may be outstanding, or by which there may be secured or evidenced, any indebtedness for money borrowed in excess of US$60 million (or the foreign currency equivalent thereof) in the aggregate of the Company and/or any such Significant Subsidiary, whether such indebtedness now exists or shall hereafter be created (i) resulting in such indebtedness becoming or being declared due and payable or (ii) constituting a failure to pay the principal or interest, if any, of any such debt when due and payable at its stated maturity, upon required repurchase, upon declaration of acceleration or otherwise;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a final judgment for the payment of US$60 million (or the foreign currency equivalent thereof) or more (excluding any amounts covered by insurance) rendered against the Company or any Significant Subsidiary of the Company, which judgment is not paid, bonded or</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otherwise discharged or stayed within 60 days after (i) the date on which the right to appeal thereof has expired if no such appeal has commenced, or (ii) the date on which all rights to appeal have been extinguished;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Company or any Significant Subsidiary shall commence a voluntary case or other proceeding seeking liquidation, reorganization or other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an involuntary case or other proceeding shall be commenced against the Company or any Significant Subsidiary seeking liquidation, 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30 consecutive days.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6.02</w:t>
      </w:r>
      <w:r>
        <w:rPr>
          <w:rFonts w:ascii="Times New Roman;Times;serif" w:hAnsi="Times New Roman;Times;serif"/>
          <w:i/>
          <w:sz w:val="20"/>
        </w:rPr>
        <w:t>Acceleration; Rescission and Annulment</w:t>
      </w:r>
      <w:r>
        <w:rPr>
          <w:rFonts w:ascii="Times New Roman;Times;serif" w:hAnsi="Times New Roman;Times;serif"/>
          <w:sz w:val="20"/>
        </w:rPr>
        <w:t>.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6.01(i) or Section 6.01(j) with respect to the Company or any of its Significant Subsidiaries), unless the principal of all of the Notes shall have already become due and payable, the Trustee may by notice in writing to the Company, or the Holders of at least 25% in aggregate principal amount of the Notes then outstanding determined in accordance with Section 8.04, by notice in writing to the Company and to the Trustee may, and the Trustee at the request of such Holders shall (subject to being indemnified and/or secured and/or pre-funded to its satisfaction), declare 100% of the principal of, and accrued and unpaid interest, if any on, all the Notes to be due and payable immediately, and upon any such declaration the same shall become and shall automatically be immediately due and payable, notwithstanding anything contained in this Indenture or in the Notes to the contrary. If an Event of Default specified in Section 6.01(i) or Section 6.01(j) with respect to the Company or any of its Significant Subsidiaries occurs and is continuing, 100% of the principal of, and accrued and unpaid interest, if any, on, all Notes shall become and shall automatically be immediately due and payable without any action on the part of the Trustee. If an Event of Default occurs and is continuing, the Agents and any other agents of the Company appointed under this Indenture will be required to act on the direction of the Trustee.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hereinafter provided, the Company shall pay or shall deposit with the Trustee a sum sufficient to pay installments of accrued and unpaid interest, if any, upon all Notes and the principal of any and all Notes that shall have become due otherwise than by acceleration (with interest on overdue installments of accrued and unpaid interest, to the extent that payment of such interest is enforceable under applicable law, and on such principal at the rate per annum borne by the Notes </w:t>
      </w:r>
      <w:r>
        <w:rPr>
          <w:rFonts w:ascii="Times New Roman;Times;serif" w:hAnsi="Times New Roman;Times;serif"/>
          <w:i/>
          <w:sz w:val="20"/>
        </w:rPr>
        <w:t xml:space="preserve">plus </w:t>
      </w:r>
      <w:r>
        <w:rPr>
          <w:rFonts w:ascii="Times New Roman;Times;serif" w:hAnsi="Times New Roman;Times;serif"/>
          <w:sz w:val="20"/>
        </w:rPr>
        <w:t>one percent) and amounts due to the Trustee pursuant to Section 7.06, and if (1) rescission would not conflict with any judgment or decree of a court of competent jurisdiction and (2) any and all existing Events of Default under this Indenture, other than the non-payment of the principal of and accrued and unpaid interest, if any, on Notes that shall have become due solely by such acceleration, shall have been cured or waived pursuant to Section 6.09, then and in every such case (except as provided in the immediately succeeding sentence)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Notwithstanding anything to the contrary herein, no such waiver or rescission and annulment shall extend to or shall affect any Default or Event of Default resulting from (i) the non-payment of the principal of, or accrued and unpaid interest, if any, on any Notes, (ii) a failure to repurchase any Notes when required or (iii) a failure to pay or deliver, as the case may be, the consideration due upon conversion of the Notes.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6.03</w:t>
      </w:r>
      <w:r>
        <w:rPr>
          <w:rFonts w:ascii="Times New Roman;Times;serif" w:hAnsi="Times New Roman;Times;serif"/>
          <w:i/>
          <w:sz w:val="20"/>
        </w:rPr>
        <w:t>Additional Interest</w:t>
      </w:r>
      <w:r>
        <w:rPr>
          <w:rFonts w:ascii="Times New Roman;Times;serif" w:hAnsi="Times New Roman;Times;serif"/>
          <w:sz w:val="20"/>
        </w:rPr>
        <w:t>. Notwithstanding anything in this Indenture or in the Notes to the contrary, to the extent the Company elects, the sole remedy for Event of Default relating to the Company’s failure to comply with its obligations as set forth in Section 4.06(b) shall after the occurrence of such an Event of Default consist exclusively of the right to receive Additional Interest on the Notes at a rate equal to:</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0.25% per annum of the principal amount of the Notes outstanding for each day during the period beginning on, and including, the date on which such an Event of Default first occurs and ending on the earlier of (i) the date on which such Event of Default is cured or validly waived and (ii) the 90th day immediately following, and including, the date on which such Event of Default first occurred; and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such Event of Default has not been cured or validly waived prior to the 91st day immediately following, and including, the date on which such Event of Default first occurred, 0.50% per annum of the principal amount of the Notes outstanding for each day during the period beginning on, and including, the 91st day immediately following, and including, the date on which such an Event of Default first occurred and ending on the earlier of (i) the date on which such Event of Default is cured or validly waived and (ii) the 180th day immediately following, and including, the date on which such Event of Default first occurred.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Interest payable pursuant to this Section 6.03 shall be in addition to, not in lieu of, any Additional Interest payable pursuant to Section 4.06(d) or Section 4.06(e). In no event shall Additional Interest accrue on the Notes on any day under this Indenture (taking any Additional Interest payable pursuant to this Section 6.03 together with any Additional Interest payable</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pursuant to Section 4.06(d) and Section 4.06(e)) at an annual rate accruing in excess of 0.50%, in the aggregate, for any violation or Default caused by the Company’s failure to be current in respect of its Exchange Act reporting obligations. If the Company so elects, such Additional Interest shall be payable in the same manner and on the same dates as regular interest on the Notes. On the 181st day after such Event of Default (if the Event of Default with respect to the Company’s obligations under Section 4.06(b) is not cured or waived prior to such 181st day), the Notes will be subject to acceleration as provided in Section 6.02. In the event the Company does not elect to pay Additional Interest following an Event of Default in accordance with this Section 6.03 or the Company elected to make such payment but does not pay the Additional Interest when due, the Notes shall be subject to acceleration as provided in Section 6.02.</w:t>
      </w:r>
    </w:p>
    <w:p>
      <w:pPr>
        <w:pStyle w:val="TextBody"/>
        <w:bidi w:val="0"/>
        <w:spacing w:before="0" w:after="200"/>
        <w:ind w:left="0" w:right="0" w:firstLine="719"/>
        <w:jc w:val="left"/>
        <w:rPr>
          <w:rFonts w:ascii="Times New Roman;Times;serif" w:hAnsi="Times New Roman;Times;serif"/>
          <w:sz w:val="20"/>
        </w:rPr>
      </w:pPr>
      <w:r>
        <w:rPr>
          <w:rFonts w:ascii="Times New Roman;Times;serif" w:hAnsi="Times New Roman;Times;serif"/>
          <w:sz w:val="20"/>
        </w:rPr>
        <w:t>In order to elect to pay Additional Interest as the sole remedy during the first 180 days after the occurrence of any Event of Default described in the immediately preceding paragraph, the Company must notify in writing all Holders of the Notes, the Trustee and the Paying Agent of such election prior to the beginning of such 180-day period. Upon the failure to timely give such notice, the Notes shall be immediately subject to acceleration as provided in Section 6.02.</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6.04</w:t>
      </w:r>
      <w:r>
        <w:rPr>
          <w:rFonts w:ascii="Times New Roman;Times;serif" w:hAnsi="Times New Roman;Times;serif"/>
          <w:i/>
          <w:sz w:val="20"/>
        </w:rPr>
        <w:t>Payments of Notes on Default; Suit Therefor</w:t>
      </w:r>
      <w:r>
        <w:rPr>
          <w:rFonts w:ascii="Times New Roman;Times;serif" w:hAnsi="Times New Roman;Times;serif"/>
          <w:sz w:val="20"/>
        </w:rPr>
        <w:t xml:space="preserve">. If an Event of Default described in clause (a) or (b) of Section 6.01 shall have occurred, the Company shall, upon demand of the Trustee acting in its own discretion or at the request of Holders of at least 25% in aggregate principal amount of the Notes then outstanding determined in accordance with Section 8.04 and subject to indemnity and/or security and/or pre-funding satisfactory to the Trustee, pay to the Trustee, for the benefit of the Holders of the Notes, the whole amount then due and payable on the Notes for principal and interest, if any, with interest on any overdue principal and interest, if any, at the rate per annum borne by the Notes at such time </w:t>
      </w:r>
      <w:r>
        <w:rPr>
          <w:rFonts w:ascii="Times New Roman;Times;serif" w:hAnsi="Times New Roman;Times;serif"/>
          <w:i/>
          <w:sz w:val="20"/>
        </w:rPr>
        <w:t xml:space="preserve">plus </w:t>
      </w:r>
      <w:r>
        <w:rPr>
          <w:rFonts w:ascii="Times New Roman;Times;serif" w:hAnsi="Times New Roman;Times;serif"/>
          <w:sz w:val="20"/>
        </w:rPr>
        <w:t>one percent,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pStyle w:val="TextBody"/>
        <w:bidi w:val="0"/>
        <w:spacing w:before="0" w:after="200"/>
        <w:ind w:left="0" w:right="0" w:firstLine="719"/>
        <w:jc w:val="left"/>
        <w:rPr>
          <w:rFonts w:ascii="Times New Roman;Times;serif" w:hAnsi="Times New Roman;Times;serif"/>
          <w:sz w:val="20"/>
        </w:rPr>
      </w:pPr>
      <w:r>
        <w:rPr>
          <w:rFonts w:ascii="Times New Roman;Times;serif" w:hAnsi="Times New Roman;Times;serif"/>
          <w:sz w:val="20"/>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other papers or documents and to take such other actions as it may deem necessary or advisable in order to have the claims of the Trustee (including any claim for the compensation, properly incurred expenses, properly incurred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to it for compensation, properly incurred expenses, advances and properly incurred disbursements, including agents and counsel fees and expenses, and including any other amounts due to the Trustee under Section 7.06, incurred by it up to the date of such distribution. To the extent that such payment of compensation, properly incurred expenses, advances and properly incurred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compensation, properly incurred expenses, properly incurred disbursements and advances of the Trustee, its agents and counsel, be for the ratable benefit of the Holders of the Notes.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6.05</w:t>
      </w:r>
      <w:r>
        <w:rPr>
          <w:rFonts w:ascii="Times New Roman;Times;serif" w:hAnsi="Times New Roman;Times;serif"/>
          <w:i/>
          <w:sz w:val="20"/>
        </w:rPr>
        <w:t>Application of Monies Collected by Trustee</w:t>
      </w:r>
      <w:r>
        <w:rPr>
          <w:rFonts w:ascii="Times New Roman;Times;serif" w:hAnsi="Times New Roman;Times;serif"/>
          <w:sz w:val="20"/>
        </w:rPr>
        <w:t>. Any monies or property collected by the Trustee pursuant to this Article 6 with respect to the Notes shall be applied in the following order, at the date or dates fixed by the Trustee for the distribution of such monies, upon presentation of the several Notes, and stamping thereon the payment, if only partially paid, and upon surrender thereof, if fully paid:</w:t>
      </w:r>
    </w:p>
    <w:p>
      <w:pPr>
        <w:pStyle w:val="TextBody"/>
        <w:bidi w:val="0"/>
        <w:spacing w:before="0" w:after="200"/>
        <w:ind w:left="0" w:right="0" w:firstLine="719"/>
        <w:jc w:val="left"/>
        <w:rPr>
          <w:rFonts w:ascii="Times New Roman;Times;serif" w:hAnsi="Times New Roman;Times;serif"/>
          <w:sz w:val="20"/>
        </w:rPr>
      </w:pPr>
      <w:r>
        <w:rPr>
          <w:rFonts w:ascii="Times New Roman;Times;serif" w:hAnsi="Times New Roman;Times;serif"/>
          <w:b/>
          <w:sz w:val="20"/>
        </w:rPr>
        <w:t>First</w:t>
      </w:r>
      <w:r>
        <w:rPr>
          <w:rFonts w:ascii="Times New Roman;Times;serif" w:hAnsi="Times New Roman;Times;serif"/>
          <w:sz w:val="20"/>
        </w:rPr>
        <w:t>, to the payment of all amounts due to the Trustee, including to its agents and counsel, hereunder and any payments due to the Paying Agent, the Transfer Agent, the Conversion Agent and the Note Registrar hereunder;</w:t>
      </w:r>
    </w:p>
    <w:p>
      <w:pPr>
        <w:pStyle w:val="TextBody"/>
        <w:bidi w:val="0"/>
        <w:spacing w:before="0" w:after="200"/>
        <w:ind w:left="0" w:right="0" w:firstLine="719"/>
        <w:jc w:val="left"/>
        <w:rPr>
          <w:rFonts w:ascii="Times New Roman;Times;serif" w:hAnsi="Times New Roman;Times;serif"/>
          <w:sz w:val="20"/>
        </w:rPr>
      </w:pPr>
      <w:r>
        <w:rPr>
          <w:rFonts w:ascii="Times New Roman;Times;serif" w:hAnsi="Times New Roman;Times;serif"/>
          <w:b/>
          <w:sz w:val="20"/>
        </w:rPr>
        <w:t>Second</w:t>
      </w:r>
      <w:r>
        <w:rPr>
          <w:rFonts w:ascii="Times New Roman;Times;serif" w:hAnsi="Times New Roman;Times;serif"/>
          <w:sz w:val="20"/>
        </w:rPr>
        <w:t>, in case the principal of the outstanding Notes shall not have become due and be unpaid, to the payment of interest, if any, on, the Notes in default in the order of the date due of the payments of such interest, with interest (to the extent that such interest has been collected by the Trustee) upon such overdue payments at the rate per annum borne by the Notes at such time (including, without duplication, any additional interest on such overdue payments pursuant to Section 6.04), such payments to be made ratably to the Persons entitled thereto;</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sz w:val="20"/>
        </w:rPr>
        <w:t>Third</w:t>
      </w:r>
      <w:r>
        <w:rPr>
          <w:rFonts w:ascii="Times New Roman;Times;serif" w:hAnsi="Times New Roman;Times;serif"/>
          <w:sz w:val="20"/>
        </w:rPr>
        <w:t xml:space="preserve">, in case the principal of the outstanding Notes shall have become due, by declaration or otherwise, and be unpaid to the payment of the whole amount (including, if applicable, the payment of the Redemption Price, Repurchase Price or Fundamental Change Repurchase Price and any cash due upon conversion) then owing and unpaid upon the Notes for principal and interest, if any, with interest on the overdue principal and, to the extent that such interest has been collected by the Trustee, upon overdue installments of interest at the rate per annum borne by the Notes at such time </w:t>
      </w:r>
      <w:r>
        <w:rPr>
          <w:rFonts w:ascii="Times New Roman;Times;serif" w:hAnsi="Times New Roman;Times;serif"/>
          <w:i/>
          <w:sz w:val="20"/>
        </w:rPr>
        <w:t xml:space="preserve">plus </w:t>
      </w:r>
      <w:r>
        <w:rPr>
          <w:rFonts w:ascii="Times New Roman;Times;serif" w:hAnsi="Times New Roman;Times;serif"/>
          <w:sz w:val="20"/>
        </w:rPr>
        <w:t>one percent, and in case such monies shall be insufficient to pay in full the whole amounts so due and unpaid upon the Notes, then to the payment of such principal (including, if applicable, the Redemption Price, Repurchase Price or Fundamental Change Repurchase Price and the cash due upon conversion) and interest without preference or priority of principal over interest, if any, or of interest over principal or of any installment of interest over any other installment of interest, or of any Note over any other Note, ratably to the aggregate of such principal (including, if applicable, the Redemption Price, Repurchase Price or Fundamental Change Repurchase Price) and accrued and unpaid interest; and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sz w:val="20"/>
        </w:rPr>
        <w:t>Fourth</w:t>
      </w:r>
      <w:r>
        <w:rPr>
          <w:rFonts w:ascii="Times New Roman;Times;serif" w:hAnsi="Times New Roman;Times;serif"/>
          <w:sz w:val="20"/>
        </w:rPr>
        <w:t>, to the payment of the remainder, if any, to the Company.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6.06</w:t>
      </w:r>
      <w:r>
        <w:rPr>
          <w:rFonts w:ascii="Times New Roman;Times;serif" w:hAnsi="Times New Roman;Times;serif"/>
          <w:i/>
          <w:sz w:val="20"/>
        </w:rPr>
        <w:t>Proceedings by Holders</w:t>
      </w:r>
      <w:r>
        <w:rPr>
          <w:rFonts w:ascii="Times New Roman;Times;serif" w:hAnsi="Times New Roman;Times;serif"/>
          <w:sz w:val="20"/>
        </w:rPr>
        <w:t>. Except to enforce the right to receive payment of principal (including, if applicable, the Redemption Price, the Repurchase Price or Fundamental Change Repurchase Price) or interest, if any, when due, or the right to receive payment or delivery of the consideration due upon conversion, no Holder of any Note shall have any right by virtue of or by availing of any provision of this Indenture to institute any suit, action or proceeding in equity or at law upon or under or with respect to this Indenture, or for the appointment of a receiver, trustee, liquidator, custodian or other similar official, or for any other remedy hereunder, unless: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such Holder previously shall have given to the Trustee written notice of an Event of Default and of the continuance thereof, as herein provided;</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Holders of at least 25% in aggregate principal amount of the Notes then outstanding shall have made written request upon the Trustee to institute such action, suit or proceeding in its own name as Trustee hereunder;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such Holders shall have offered to the Trustee such security and/or indemnity and/or pre-funding satisfactory to it against any loss, liability or expense to be incurred therein or thereby;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Trustee for 60 days after its receipt of such notice, request and offer of security and/or indemnity and/or pre-funding, shall have not complied with such written request of the Holders to institute any such action, suit or proceeding; and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no direction that, in the opinion of the Trustee, is inconsistent with such written request shall have been given to the Trustee by the Holders of a majority of the aggregate principal amount of the Notes then outstanding within such 60-day period pursuant to Section 6.09,</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Notwithstanding any other provision of this Indenture and any provision of any Note, the right of any Holder to receive payment or delivery, as the case may be, of (x) the principal (including the Redemption Price, the Repurchase Price and the Fundamental Change Repurchase Price, if applicable) of, (y) 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 on or after such respective dates against the Company shall not be impaired or affected without the consent of such Holder.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6.07</w:t>
      </w:r>
      <w:r>
        <w:rPr>
          <w:rFonts w:ascii="Times New Roman;Times;serif" w:hAnsi="Times New Roman;Times;serif"/>
          <w:i/>
          <w:sz w:val="20"/>
        </w:rPr>
        <w:t>Proceedings by Trustee</w:t>
      </w:r>
      <w:r>
        <w:rPr>
          <w:rFonts w:ascii="Times New Roman;Times;serif" w:hAnsi="Times New Roman;Times;serif"/>
          <w:sz w:val="20"/>
        </w:rPr>
        <w:t>.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6.08</w:t>
      </w:r>
      <w:r>
        <w:rPr>
          <w:rFonts w:ascii="Times New Roman;Times;serif" w:hAnsi="Times New Roman;Times;serif"/>
          <w:i/>
          <w:sz w:val="20"/>
        </w:rPr>
        <w:t>Remedies Cumulative and Continuing</w:t>
      </w:r>
      <w:r>
        <w:rPr>
          <w:rFonts w:ascii="Times New Roman;Times;serif" w:hAnsi="Times New Roman;Times;serif"/>
          <w:sz w:val="20"/>
        </w:rPr>
        <w:t>. Except as provided in the last paragraph of Section 2.06, all powers and remedies given by this Article 6 to the Trustee or to the Holders shall, to the extent permitted by law, be deemed cumulative and not exclusive of any</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6.09</w:t>
      </w:r>
      <w:r>
        <w:rPr>
          <w:rFonts w:ascii="Times New Roman;Times;serif" w:hAnsi="Times New Roman;Times;serif"/>
          <w:i/>
          <w:sz w:val="20"/>
        </w:rPr>
        <w:t>Direction of Proceedings and Waiver of Defaults by Majority of Holders</w:t>
      </w:r>
      <w:r>
        <w:rPr>
          <w:rFonts w:ascii="Times New Roman;Times;serif" w:hAnsi="Times New Roman;Times;serif"/>
          <w:sz w:val="20"/>
        </w:rPr>
        <w:t xml:space="preserve">.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Notes;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(a) such direction shall not be in conflict with any rule of law or with this Indenture, and (b) the Trustee may take any other action deemed proper by the Trustee that is not inconsistent with such direction. The Trustee may refuse to follow any direction that conflicts with law or this Indenture, that may involve the Trustee in personal liability, or if it is not provided with security and/or indemnity and/or pre-funding to its satisfaction, or that the Trustee determines is unduly prejudicial to the rights of any other Holder (it being understood that the Trustee does not have an affirmative duty to ascertain whether or not such actions or forbearances are unduly prejudicial to such Holders). In addition, the Trustee will not be required to expend its own funds under any circumstances. The Holders of a majority in aggregate principal amount of the Notes at the time outstanding determined in accordance with Section 8.04 may on behalf of the Holders of all of the Notes waive any past Default or Event of Default hereunder and its consequences except (i) a default in the payment of accrued and unpaid interest, if any, on, or the principal (including, if applicable, the Redemption Price, Repurchase Price or Fundamental Change Repurchase Price) of, the Notes when due that has not been cured pursuant to the provisions of Section 6.02, (ii) a failure by the Company to pay or deliver, or cause to be delivered, as the case may be, the consideration due upon conversion of the Notes or (iii) a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6.10</w:t>
      </w:r>
      <w:r>
        <w:rPr>
          <w:rFonts w:ascii="Times New Roman;Times;serif" w:hAnsi="Times New Roman;Times;serif"/>
          <w:i/>
          <w:sz w:val="20"/>
        </w:rPr>
        <w:t>Notice of Defaults and Events of Default</w:t>
      </w:r>
      <w:r>
        <w:rPr>
          <w:rFonts w:ascii="Times New Roman;Times;serif" w:hAnsi="Times New Roman;Times;serif"/>
          <w:sz w:val="20"/>
        </w:rPr>
        <w:t xml:space="preserve">. If a Default or Event of Default occurs and is continuing and is notified in writing to the Trustee, the Trustee shall, within 90 days after the occurrence and continuance of such Default or Event of Default, deliver to all Holders (at the Company’s expense) as the names and addresses of such Holders appear upon the Note Register, notice of all Defaults so notified in writing, unless such Defaults shall have been cured or waived before the giving of such notice; </w:t>
      </w:r>
      <w:r>
        <w:rPr>
          <w:rFonts w:ascii="Times New Roman;Times;serif" w:hAnsi="Times New Roman;Times;serif"/>
          <w:i/>
          <w:sz w:val="20"/>
        </w:rPr>
        <w:t xml:space="preserve">provided </w:t>
      </w:r>
      <w:r>
        <w:rPr>
          <w:rFonts w:ascii="Times New Roman;Times;serif" w:hAnsi="Times New Roman;Times;serif"/>
          <w:sz w:val="20"/>
        </w:rPr>
        <w:t>that the Trustee shall not be deemed</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to have knowledge of any occurrence of a Default or Event of Default unless a responsible officer of the Trustee has received written notice specifying such Default or Event of Default. Except in the case of a Default in the payment of the principal of (including the Redemption Price, the Repurchase Price and the Fundamental Change Repurchase Price, if applicable), or accrued and unpaid interest, if any, on, any of the Notes or a Default in the payment or delivery of the consideration due upon conversion, the Trustee shall be protected in withholding such notice if and so long as the Trustee’s board of directors, a Responsible Officer, an executive committee or a committee of Responsible Officers of the Trustee (in its sole discretion) in good faith determines that the withholding of such notice is in the interests of the Holders.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6.11</w:t>
      </w:r>
      <w:r>
        <w:rPr>
          <w:rFonts w:ascii="Times New Roman;Times;serif" w:hAnsi="Times New Roman;Times;serif"/>
          <w:i/>
          <w:sz w:val="20"/>
        </w:rPr>
        <w:t>Undertaking to Pay Costs</w:t>
      </w:r>
      <w:r>
        <w:rPr>
          <w:rFonts w:ascii="Times New Roman;Times;serif" w:hAnsi="Times New Roman;Times;serif"/>
          <w:sz w:val="20"/>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costs, including attorneys’ fees and expenses, against any party litigant in such suit, having due regard to the merits and good faith of the claims or defenses made by such party litigant; </w:t>
      </w:r>
      <w:r>
        <w:rPr>
          <w:rFonts w:ascii="Times New Roman;Times;serif" w:hAnsi="Times New Roman;Times;serif"/>
          <w:i/>
          <w:sz w:val="20"/>
        </w:rPr>
        <w:t xml:space="preserve">provided </w:t>
      </w:r>
      <w:r>
        <w:rPr>
          <w:rFonts w:ascii="Times New Roman;Times;serif" w:hAnsi="Times New Roman;Times;serif"/>
          <w:sz w:val="20"/>
        </w:rPr>
        <w:t>that the provisions of this Section 6.11 (to the extent permitted by law) shall not apply to any suit instituted by or against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Redemption Price, the Repurchase Price and Fundamental Change Repurchase Price with respect to the Notes being repurchased as provided in this Indenture) on or after the due date expressed or provided for in such Note or to any suit for the enforcement of the right to convert any Note in accordance with the provisions of Article 14.</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ARTICLE 7</w:t>
        <w:br/>
        <w:t>CONCERNING THE TRUSTEE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7.01</w:t>
      </w:r>
      <w:r>
        <w:rPr>
          <w:rFonts w:ascii="Times New Roman;Times;serif" w:hAnsi="Times New Roman;Times;serif"/>
          <w:i/>
          <w:sz w:val="20"/>
        </w:rPr>
        <w:t>Duties and Responsibilities of Trustee</w:t>
      </w:r>
      <w:r>
        <w:rPr>
          <w:rFonts w:ascii="Times New Roman;Times;serif" w:hAnsi="Times New Roman;Times;serif"/>
          <w:sz w:val="20"/>
        </w:rPr>
        <w:t xml:space="preserve">. The Trustee, prior to the occurrence of an Event of Default and after the curing or waiver of all Events of Default that may have occurred, undertakes to perform such duties and only such duties as are specifically set forth in this Indenture and no implied covenants or obligations will be read into the Indenture against the Trustee. In case an Event of Default, of which the Trustee has actual written notice, has occurred that has not been cured or waived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Times;serif" w:hAnsi="Times New Roman;Times;serif"/>
          <w:i/>
          <w:sz w:val="20"/>
        </w:rPr>
        <w:t xml:space="preserve">provided </w:t>
      </w:r>
      <w:r>
        <w:rPr>
          <w:rFonts w:ascii="Times New Roman;Times;serif" w:hAnsi="Times New Roman;Times;serif"/>
          <w:sz w:val="20"/>
        </w:rPr>
        <w:t>that the Trustee will be under no obligation to exercise any of the rights or powers under this Indenture at the request or direction of any of the Holders unless such Holders have offered to the Trustee indemnity and/or security and/or pre-funding satisfactory to it against the losses, costs, liabilities or expenses that might be incurred by it in compliance with such request or direction.</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 provision of this Indenture shall be construed to relieve the Trustee from liability for its own grossly negligent action, its own grossly negligent failure to act or its own willful misconduct, except that: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prior to the occurrence of an Event of Default and after the curing or waiving of all Events of Default that may have occurred:</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or any of the Agents; and</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absence of gross negligence and willful misconduct on the part of the Trustee, as determined in a final decision of a court of competent jurisdiction, the Trustee may conclusively and without liability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statements, opinions or conclusions stated therein);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Trustee shall not be liable for any error of judgment made in good faith by a Responsible Officer or Responsible Officers of the Trustee, unless it shall be proved in a final decision in a court of competent jurisdiction that the Trustee was grossly negligent in ascertaining the pertinent facts;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whether or not therein provided, every provision of this Indenture relating to the conduct or affecting the liability of, or affording protection to, the Trustee shall be subject to the provisions of this Section;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if any party fails to deliver a notice relating to an event the fact of which, pursuant to this Indenture, requires notice to be sent to the Trustee, the Trustee may conclusively and</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without liability rely on its failure to receive such notice as reason to act as if no such event occurred;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in the event that the Trustee or any of its affiliates is also acting as Note Registrar, Paying Agent, Conversion Agent or Transfer Agent hereunder, the rights immunities, privileges, disclaimers from liability and protections (including the right to compensation and indemnity) afforded to the Trustee pursuant to this Article 7 shall also be afforded to such Note Registrar, Paying Agent, Conversion Agent or Transfer Agent;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Trustee shall have no duty to inquire, no duty to determine and no duty to monitor as to the performance of the Company’s covenants in this Indenture or the financial performance of the Company; the Trustee shall be entitled to assume, until it has received written notice in accordance with this Indenture, that the Company is properly performing its duties hereunder;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the Trustee shall be under no obligation to enforce any of the provisions of this Indenture unless it is instructed by Holders of at least 25% of the aggregate principal amount of outstanding Notes and is provided with security and/or indemnity and/or pre-funding satisfactory to it;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the Trustee will be under no obligation to exercise any of its rights or powers under this Indenture at the request or direction of any of the Holders unless such Holders have offered to the Trustee indemnity and/or security and/or pre-funding satisfactory to it against any costs, expenses and liabilities that might be incurred by it in compliance with such requests or direction.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before the Trustee acts or refrains from acting, it may require an Officers’ Certificate or an Opinion of Counsel prepared and delivered at the cost of the Company conforming to Section 17.06 and the Trustee and the Agents may rely conclusively on such certificate or opinion and will not be liable for any action it takes or omits to take in good faith in reliance on such Officers’ Certificate or Opinion of Counsel;</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rPr>
        <w:t>in connection with the exercise by it of its trusts, powers, authorities or discretions (including, without limitation, any modification, waiver, authorization or determination), the Trustee shall have regard to the general interests of the Holders as a class but shall not have regard to any interests arising from circumstances particular to individual Holders (whatever their number) and in particular, but without limitation, shall not have regard to the consequences of the exercise of its trusts, powers, authorities or discretions for individual Holders (whatever</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their number) resulting from their being for any purpose domiciled or resident in, or otherwise connected with, or subject to the jurisdiction of, any country, state or territory; and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rPr>
        <w:t>the Trustee is not obliged to do or omit to do anything which in its reasonable opinion, would or may be illegal or would constitute a breach of any duty of confidentiality, or any law, rule, regulation, or any decree, order or judgment of any court, or practice, request, direction, notice, announcement or similar action (whether or not having the force of law) of any relevant government, government agency, regulatory authority, stock exchange or self-regulatory organization to which the Trustee is subject. The Trustee may without liability to do anything which is, in its reasonable opinion, necessary to comply with any such law, directive or regulations.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None of the provisions contained in this Indenture shall require the Trustee to expend or risk its own funds or otherwise incur any financial liability in the performance of any of its duties or in the exercise of any of its rights or powers.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7.02</w:t>
      </w:r>
      <w:r>
        <w:rPr>
          <w:rFonts w:ascii="Times New Roman;Times;serif" w:hAnsi="Times New Roman;Times;serif"/>
          <w:i/>
          <w:sz w:val="20"/>
        </w:rPr>
        <w:t xml:space="preserve">Reliance on Documents, Opinions, Etc. </w:t>
      </w:r>
      <w:r>
        <w:rPr>
          <w:rFonts w:ascii="Times New Roman;Times;serif" w:hAnsi="Times New Roman;Times;serif"/>
          <w:sz w:val="20"/>
        </w:rPr>
        <w:t>Except as otherwise provided in Section 7.01:</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Trustee may conclusively and without liability rely and shall be fully protected in acting or refraining from acting upon any resolution, certificate, statement, instrument, opinion, report, notice, request, consent, order, bond, Note, coupon or other paper or document (whether in its original or facsimile form) believed by it in good faith to be genuine and to have been signed or presented by the proper party or parties;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Trustee may execute any of the trusts or powers hereunder or perform any duties hereunder either directly or by or through agents, delegates, custodians, nominees or attorneys and the Trustee shall not be responsible for any misconduct or negligence on the part of</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any agent, delegate, representative, custodian, nominee or attorney appointed by it with due care hereunder;</w:t>
      </w:r>
    </w:p>
    <w:tbl>
      <w:tblPr>
        <w:tblW w:w="7263" w:type="dxa"/>
        <w:jc w:val="left"/>
        <w:tblInd w:w="0" w:type="dxa"/>
        <w:tblLayout w:type="fixed"/>
        <w:tblCellMar>
          <w:top w:w="0" w:type="dxa"/>
          <w:left w:w="0" w:type="dxa"/>
          <w:bottom w:w="0" w:type="dxa"/>
          <w:right w:w="0" w:type="dxa"/>
        </w:tblCellMar>
      </w:tblPr>
      <w:tblGrid>
        <w:gridCol w:w="23"/>
        <w:gridCol w:w="200"/>
        <w:gridCol w:w="704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(f)</w:t>
            </w:r>
          </w:p>
        </w:tc>
        <w:tc>
          <w:tcPr>
            <w:tcW w:w="704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permissive rights of the Trustee enumerated herein shall not be construed as duties;</w:t>
            </w:r>
          </w:p>
        </w:tc>
      </w:tr>
    </w:tbl>
    <w:tbl>
      <w:tblPr>
        <w:tblW w:w="10205" w:type="dxa"/>
        <w:jc w:val="left"/>
        <w:tblInd w:w="0" w:type="dxa"/>
        <w:tblLayout w:type="fixed"/>
        <w:tblCellMar>
          <w:top w:w="0" w:type="dxa"/>
          <w:left w:w="0" w:type="dxa"/>
          <w:bottom w:w="0" w:type="dxa"/>
          <w:right w:w="0" w:type="dxa"/>
        </w:tblCellMar>
      </w:tblPr>
      <w:tblGrid>
        <w:gridCol w:w="23"/>
        <w:gridCol w:w="194"/>
        <w:gridCol w:w="9988"/>
      </w:tblGrid>
      <w:tr>
        <w:trPr/>
        <w:tc>
          <w:tcPr>
            <w:tcW w:w="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(g)</w:t>
            </w:r>
          </w:p>
        </w:tc>
        <w:tc>
          <w:tcPr>
            <w:tcW w:w="998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under no circumstances and notwithstanding any contrary provision included herein, neither the Trustee, the Paying Agent, the Conversion Agent nor the Note Registrar shall be responsible or liable for special, indirect, punitive, or consequential damages or loss of any kind whatsoever (including, but not limited to, loss of profit) irrespective of whether any of them have been advised of the likelihood of such loss or damage and regardless of the form of action; this provision shall remain in full force and effect notwithstanding the discharge of the Notes, the termination of this Indenture or the resignation, replacement or removal of the Trustee, the Paying Agent, the Conversion Agent and the Note Registrar;</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the Trustee, the Paying Agent, the Conversion Agent and the Note Registrar may refrain from taking any action in any jurisdiction if the taking of such action in that jurisdiction would, in its opinion based upon legal advice in the relevant jurisdiction, be contrary to any law of that jurisdiction or, to the extent applicable, of New York; furthermore, the Trustee may also refrain from taking such action if it would otherwise render it liable to any person in that jurisdiction or New York or if, in its opinion based on such legal advice, it would not have the power to do the relevant thing in that jurisdiction by virtue of any applicable law in that jurisdiction or in New York or if it is determined by any court or other competent authority in that jurisdiction that it does not have such power;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Trustee shall not be deemed to have knowledge of any Default or Event of Default with respect to the Notes, unless a written notice of such Default or Event of Default shall have been received by the Trustee at the Corporate Trust Office of the Trustee in accordance with Section 17.03;</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 xml:space="preserve">the Trustee </w:t>
      </w:r>
      <w:r>
        <w:rPr>
          <w:rFonts w:ascii="Times New Roman;Times;serif" w:hAnsi="Times New Roman;Times;serif"/>
          <w:color w:val="454647"/>
          <w:sz w:val="20"/>
        </w:rPr>
        <w:t xml:space="preserve">shall </w:t>
      </w:r>
      <w:r>
        <w:rPr>
          <w:rFonts w:ascii="Times New Roman;Times;serif" w:hAnsi="Times New Roman;Times;serif"/>
          <w:sz w:val="20"/>
        </w:rPr>
        <w:t xml:space="preserve">not be required to </w:t>
      </w:r>
      <w:r>
        <w:rPr>
          <w:rFonts w:ascii="Times New Roman;Times;serif" w:hAnsi="Times New Roman;Times;serif"/>
          <w:color w:val="454647"/>
          <w:sz w:val="20"/>
        </w:rPr>
        <w:t xml:space="preserve">give </w:t>
      </w:r>
      <w:r>
        <w:rPr>
          <w:rFonts w:ascii="Times New Roman;Times;serif" w:hAnsi="Times New Roman;Times;serif"/>
          <w:sz w:val="20"/>
        </w:rPr>
        <w:t xml:space="preserve">any bond or surety in respect of the performance of its powers </w:t>
      </w:r>
      <w:r>
        <w:rPr>
          <w:rFonts w:ascii="Times New Roman;Times;serif" w:hAnsi="Times New Roman;Times;serif"/>
          <w:color w:val="454647"/>
          <w:sz w:val="20"/>
        </w:rPr>
        <w:t xml:space="preserve">and </w:t>
      </w:r>
      <w:r>
        <w:rPr>
          <w:rFonts w:ascii="Times New Roman;Times;serif" w:hAnsi="Times New Roman;Times;serif"/>
          <w:sz w:val="20"/>
        </w:rPr>
        <w:t>duties hereunder;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 xml:space="preserve">the Trustee may request that the </w:t>
      </w:r>
      <w:r>
        <w:rPr>
          <w:rFonts w:ascii="Times New Roman;Times;serif" w:hAnsi="Times New Roman;Times;serif"/>
          <w:color w:val="454647"/>
          <w:sz w:val="20"/>
        </w:rPr>
        <w:t xml:space="preserve">Company </w:t>
      </w:r>
      <w:r>
        <w:rPr>
          <w:rFonts w:ascii="Times New Roman;Times;serif" w:hAnsi="Times New Roman;Times;serif"/>
          <w:sz w:val="20"/>
        </w:rPr>
        <w:t xml:space="preserve">deliver Officers’ Certificates </w:t>
      </w:r>
      <w:r>
        <w:rPr>
          <w:rFonts w:ascii="Times New Roman;Times;serif" w:hAnsi="Times New Roman;Times;serif"/>
          <w:color w:val="454647"/>
          <w:sz w:val="20"/>
        </w:rPr>
        <w:t xml:space="preserve">setting </w:t>
      </w:r>
      <w:r>
        <w:rPr>
          <w:rFonts w:ascii="Times New Roman;Times;serif" w:hAnsi="Times New Roman;Times;serif"/>
          <w:sz w:val="20"/>
        </w:rPr>
        <w:t xml:space="preserve">forth the names of individuals and their titles and specimen </w:t>
      </w:r>
      <w:r>
        <w:rPr>
          <w:rFonts w:ascii="Times New Roman;Times;serif" w:hAnsi="Times New Roman;Times;serif"/>
          <w:color w:val="454647"/>
          <w:sz w:val="20"/>
        </w:rPr>
        <w:t xml:space="preserve">signatures </w:t>
      </w:r>
      <w:r>
        <w:rPr>
          <w:rFonts w:ascii="Times New Roman;Times;serif" w:hAnsi="Times New Roman;Times;serif"/>
          <w:sz w:val="20"/>
        </w:rPr>
        <w:t>of officers authorized at such time to take specified actions pursuant to this Indenture</w:t>
      </w:r>
      <w:r>
        <w:rPr>
          <w:rFonts w:ascii="Times New Roman;Times;serif" w:hAnsi="Times New Roman;Times;serif"/>
          <w:color w:val="606161"/>
          <w:sz w:val="20"/>
        </w:rPr>
        <w:t xml:space="preserve">, </w:t>
      </w:r>
      <w:r>
        <w:rPr>
          <w:rFonts w:ascii="Times New Roman;Times;serif" w:hAnsi="Times New Roman;Times;serif"/>
          <w:sz w:val="20"/>
        </w:rPr>
        <w:t>which Officers</w:t>
      </w:r>
      <w:r>
        <w:rPr>
          <w:rFonts w:ascii="Times New Roman;Times;serif" w:hAnsi="Times New Roman;Times;serif"/>
          <w:color w:val="606161"/>
          <w:sz w:val="20"/>
        </w:rPr>
        <w:t xml:space="preserve">' </w:t>
      </w:r>
      <w:r>
        <w:rPr>
          <w:rFonts w:ascii="Times New Roman;Times;serif" w:hAnsi="Times New Roman;Times;serif"/>
          <w:color w:val="454647"/>
          <w:sz w:val="20"/>
        </w:rPr>
        <w:t xml:space="preserve">Certificates </w:t>
      </w:r>
      <w:r>
        <w:rPr>
          <w:rFonts w:ascii="Times New Roman;Times;serif" w:hAnsi="Times New Roman;Times;serif"/>
          <w:sz w:val="20"/>
        </w:rPr>
        <w:t xml:space="preserve">may be signed by any Person authorized to sign an Officers' </w:t>
      </w:r>
      <w:r>
        <w:rPr>
          <w:rFonts w:ascii="Times New Roman;Times;serif" w:hAnsi="Times New Roman;Times;serif"/>
          <w:color w:val="454647"/>
          <w:sz w:val="20"/>
        </w:rPr>
        <w:t>Certificate</w:t>
      </w:r>
      <w:r>
        <w:rPr>
          <w:rFonts w:ascii="Times New Roman;Times;serif" w:hAnsi="Times New Roman;Times;serif"/>
          <w:color w:val="606161"/>
          <w:sz w:val="20"/>
        </w:rPr>
        <w:t xml:space="preserve">, </w:t>
      </w:r>
      <w:r>
        <w:rPr>
          <w:rFonts w:ascii="Times New Roman;Times;serif" w:hAnsi="Times New Roman;Times;serif"/>
          <w:sz w:val="20"/>
        </w:rPr>
        <w:t xml:space="preserve">as the case may be, including any Person specified as so authorized in any such certificate previously delivered </w:t>
      </w:r>
      <w:r>
        <w:rPr>
          <w:rFonts w:ascii="Times New Roman;Times;serif" w:hAnsi="Times New Roman;Times;serif"/>
          <w:color w:val="454647"/>
          <w:sz w:val="20"/>
        </w:rPr>
        <w:t xml:space="preserve">and </w:t>
      </w:r>
      <w:r>
        <w:rPr>
          <w:rFonts w:ascii="Times New Roman;Times;serif" w:hAnsi="Times New Roman;Times;serif"/>
          <w:sz w:val="20"/>
        </w:rPr>
        <w:t xml:space="preserve">not </w:t>
      </w:r>
      <w:r>
        <w:rPr>
          <w:rFonts w:ascii="Times New Roman;Times;serif" w:hAnsi="Times New Roman;Times;serif"/>
          <w:color w:val="454647"/>
          <w:sz w:val="20"/>
        </w:rPr>
        <w:t>superseded;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 xml:space="preserve">the Trustee shall not be responsible or liable for any action it takes or omits to take in good faith which </w:t>
      </w:r>
      <w:r>
        <w:rPr>
          <w:rFonts w:ascii="Times New Roman;Times;serif" w:hAnsi="Times New Roman;Times;serif"/>
          <w:color w:val="454647"/>
          <w:sz w:val="20"/>
        </w:rPr>
        <w:t xml:space="preserve">it </w:t>
      </w:r>
      <w:r>
        <w:rPr>
          <w:rFonts w:ascii="Times New Roman;Times;serif" w:hAnsi="Times New Roman;Times;serif"/>
          <w:sz w:val="20"/>
        </w:rPr>
        <w:t>reasonably believes to be authorized or within its rights or powers;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rPr>
        <w:t xml:space="preserve">the Trustee shall not be responsible or liable for any action taken or omitted by it in good faith at the direction, in accordance with Section 6.09, of the Holders of not less than a majority in aggregate principal amount of the Notes at the time outstanding determined in accordance with Section 8.04 as to the time, method and place of </w:t>
      </w:r>
      <w:r>
        <w:rPr>
          <w:rFonts w:ascii="Times New Roman;Times;serif" w:hAnsi="Times New Roman;Times;serif"/>
          <w:color w:val="454647"/>
          <w:sz w:val="20"/>
        </w:rPr>
        <w:t xml:space="preserve">conducting </w:t>
      </w:r>
      <w:r>
        <w:rPr>
          <w:rFonts w:ascii="Times New Roman;Times;serif" w:hAnsi="Times New Roman;Times;serif"/>
          <w:sz w:val="20"/>
        </w:rPr>
        <w:t>any proceeding for</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any remedy available to the Trustee </w:t>
      </w:r>
      <w:r>
        <w:rPr>
          <w:rFonts w:ascii="Times New Roman;Times;serif" w:hAnsi="Times New Roman;Times;serif"/>
          <w:color w:val="454647"/>
          <w:sz w:val="20"/>
        </w:rPr>
        <w:t xml:space="preserve">or </w:t>
      </w:r>
      <w:r>
        <w:rPr>
          <w:rFonts w:ascii="Times New Roman;Times;serif" w:hAnsi="Times New Roman;Times;serif"/>
          <w:sz w:val="20"/>
        </w:rPr>
        <w:t xml:space="preserve">the exercising of any power conferred by this </w:t>
      </w:r>
      <w:r>
        <w:rPr>
          <w:rFonts w:ascii="Times New Roman;Times;serif" w:hAnsi="Times New Roman;Times;serif"/>
          <w:color w:val="454647"/>
          <w:sz w:val="20"/>
        </w:rPr>
        <w:t>Indenture; and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rPr>
        <w:t>the Trustee shall not be responsible or any inaccuracy in the information obtained from the Company or for any inaccuracy or omission in the records which may result from such information or any failure by the Trustee to perform its duties as set forth herein as a result of any inaccuracy or incompleteness of such information; and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rPr>
        <w:t>neither the Trustee nor any agent thereof shall have any responsibility or liability for any actions taken or not taken by the Depositary.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7.03</w:t>
      </w:r>
      <w:r>
        <w:rPr>
          <w:rFonts w:ascii="Times New Roman;Times;serif" w:hAnsi="Times New Roman;Times;serif"/>
          <w:i/>
          <w:sz w:val="20"/>
        </w:rPr>
        <w:t xml:space="preserve">No Responsibility for Recitals, Etc. </w:t>
      </w:r>
      <w:r>
        <w:rPr>
          <w:rFonts w:ascii="Times New Roman;Times;serif" w:hAnsi="Times New Roman;Times;serif"/>
          <w:sz w:val="20"/>
        </w:rPr>
        <w:t>The recitals, statements, warranties and representations contained herein and in the Notes (except in the Trustee’s certificate of authentication) shall be taken as the statements of the Company, and the Trustee assumes no responsibility for the correctness of the same. The Trustee makes no representations as to the accuracy or correctness of the same or for any failure by the Company or any other party to disclose events that may have occurred and may affect the significance or accuracy of such information, or the execution, legality, effectiveness, adequacy, genuineness, validity, enforceability or admissibility in evidence of this Indenture or of the Notes. The Trustee shall not be accountable for the use or application by the Company of any Notes or the proceeds of any Notes authenticated and delivered by the Trustee in conformity with the provisions of this Indenture. Notwithstanding the generality of the foregoing, each Holder shall be solely responsible for making its own independent appraisal of, and investigation into, the financial condition, creditworthiness, condition, affairs, status and nature of the Company, and the Trustee shall not at any time have any responsibility for the same and each Holder shall not rely on the Trustee in respect thereof. The Trustee shall have no responsibility or liability with respect to any information, statement or recital in the offering memorandum, prospectus, prospectus supplement or other disclosure material prepared or distributed with respect to any of the Notes.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7.04</w:t>
      </w:r>
      <w:r>
        <w:rPr>
          <w:rFonts w:ascii="Times New Roman;Times;serif" w:hAnsi="Times New Roman;Times;serif"/>
          <w:i/>
          <w:sz w:val="20"/>
        </w:rPr>
        <w:t>Trustee, Paying Agents, Conversion Agents or Note Registrar May Own Notes</w:t>
      </w:r>
      <w:r>
        <w:rPr>
          <w:rFonts w:ascii="Times New Roman;Times;serif" w:hAnsi="Times New Roman;Times;serif"/>
          <w:sz w:val="20"/>
        </w:rPr>
        <w:t>. The Trustee, any Paying Agent, any Conversion Agent or Note Registrar, in its individual or any other capacity, may engage in business and contractual relationships with the Company or its Affiliates and may become the owner or pledgee of Notes with the same rights it would have if it were not the Trustee, Paying Agent, Conversion Agent or Note Registrar, and nothing herein shall obligate any of them to account for any profits earned from any business or transactional relationship.</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7.05</w:t>
      </w:r>
      <w:r>
        <w:rPr>
          <w:rFonts w:ascii="Times New Roman;Times;serif" w:hAnsi="Times New Roman;Times;serif"/>
          <w:i/>
          <w:sz w:val="20"/>
        </w:rPr>
        <w:t>Monies and ADSs to Be Held in Trust</w:t>
      </w:r>
      <w:r>
        <w:rPr>
          <w:rFonts w:ascii="Times New Roman;Times;serif" w:hAnsi="Times New Roman;Times;serif"/>
          <w:sz w:val="20"/>
        </w:rPr>
        <w:t>. All monies and ADSs received by the Trustee shall, until used or applied as herein provided, be held in trust for the purposes for which they were received. Money and ADSs held by the Trustee in trust or by the Paying Agent hereunder need not be segregated from other funds or property except to the extent required by law. Neither the Trustee nor the Paying Agent shall be under any liability for interest on any money or ADSs received by it hereunder.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7.06</w:t>
      </w:r>
      <w:r>
        <w:rPr>
          <w:rFonts w:ascii="Times New Roman;Times;serif" w:hAnsi="Times New Roman;Times;serif"/>
          <w:i/>
          <w:sz w:val="20"/>
        </w:rPr>
        <w:t>Compensation, Expenses and Indemnification of Trustee and Agents</w:t>
      </w:r>
      <w:r>
        <w:rPr>
          <w:rFonts w:ascii="Times New Roman;Times;serif" w:hAnsi="Times New Roman;Times;serif"/>
          <w:sz w:val="20"/>
        </w:rPr>
        <w:t>. (a) The Company covenants and agrees to pay to the Trustee from time to time, and the Trustee shall be entitled to, compensation for all services rendered by it hereunder in any capacity (which shall</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not be limited by any provision of law in regard to the compensation of a trustee of an express trust) as mutually agreed to in writing between the Trustee and the Company (which sum shall be paid free and clear of deduction and withholding on account of taxation, set-off and counterclaim), and the Company will pay or reimburse the Trustee upon its request for all properly incurred expenses, disbursements and advances properly incurred or made by the Trustee in accordance with any of the provisions of this Indenture in any capacity thereunder (including the compensation and the properly incurred expenses, disbursements and advances of its agents and counsel and of all Persons not regularly in its employ) except any such expense, disbursement or advance as shall have been caused by its gross negligence or willful misconduct as proven in a final decision in a court of competent jurisdiction. The Company also covenants to indemnify the Trustee (which for the purposes of this Section 7.06 shall be deemed to include its officers, directors, agents and employees) in any capacity under this Indenture (including without limitation as Note Registrar, Transfer Agent, Conversion Agent and Paying Agent) and any other document or transaction entered into in connection herewith, and to hold it harmless against, any loss, claim, damage, liability or expense, including taxes (other than taxes based upon, measured by or determined by the income of the Trustee) (whether arising from third party claims or claims by or against the Company) incurred without gross negligence or willful misconduct on the part of the Trustee, its officers, directors, agents or employees, as the case may be, as proven in a final decision of a court of competent jurisdiction, and arising out of or in connection with the acceptance or administration of this Indenture or in any other capacity hereunder, including the costs and expenses of defending themselves against any claim of liability in the process of enforcing this indemnity. The obligations of the Company under this Section 7.06 to compensate or indemnify the Trustee and to pay or reimburse the Trustee for expenses, disbursements and advances shall be secured by a senior claim to which the Notes are hereby made subordinate on all money or property held or collected by the Trustee, except, subject to the effect of Section 6.05, funds held in trust herewith for the benefit of the Holders of particular Notes. The Trustee’s right to receive payment of any amounts due under this Section 7.06 shall not be subordinate to any other liability or indebtedness of the Company. The indemnity under this Section 7.06(a) is payable upon demand by the Trustee. The obligation of the Company under this Section 7.06(a) shall survive the satisfaction and discharge of the Notes, the termination or discharge of this Indenture and the resignation, replacement or removal or the Trustee. The indemnification provided in this Section 7.06(a) shall extend to the officers, directors, agents and employees of the Trustee. Subject to Section 7.02(e), any negligence or misconduct of any agent, delegate, attorney or representative, in each case, of the Trustee, shall not affect indemnification of the Trustee.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Without prejudice to any other rights available to the Trustee under applicable law, when the Trustee and its agents incur expenses or render services after an Event of Default specified in Section 6.01(i) or Section 6.01(j) occurs, the expenses and the compensation for the services are intended to constitute expenses of administration under any bankruptcy, insolvency or similar laws. If a Default or Event of Default shall have occurred or if the Trustee finds it expedient or necessary or is requested by the Company and/or the Holders to undertake duties which are of an exceptional nature or otherwise outside the scope of the Trustee’s normal duties under this Indenture, the Company will pay such additional remuneration as the Company and the Trustee may separately agree in writing.</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Paying Agent, the Transfer Agent, the Conversion Agent and the Note Registrar shall be entitled to the compensation to be agreed upon in writing with the Company for all services rendered by it under this Indenture, and the Company agrees promptly to pay such compensation and to reimburse the Paying Agent, the Transfer Agent, the Conversion Agent and the Note Registrar for its out-of-pocket expenses (including fees and expenses of counsel) properly incurred by it in connection with the services rendered by it under this Indenture. The Company hereby agrees to indemnify the Paying Agent, the Transfer Agent, the Conversion Agent and the Note Registrar and their respective officers, directors, agents and employees and any successors thereto for, and to hold it harmless against, any loss, liability or expense (including fees and expenses of counsel) properly incurred without gross negligence or willful misconduct on its part arising out of or in connection with its acting as the Paying Agent, the Transfer Agent, the Conversion Agent and the Note Registrar hereunder. The obligations of the Company under this paragraph (b) shall survive the payment of the Notes, the termination or discharge of the Indenture and the resignation, replacement or removal of the Paying Agent, the Transfer Agent, the Conversion Agent and the Note Registrar.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7.07</w:t>
      </w:r>
      <w:r>
        <w:rPr>
          <w:rFonts w:ascii="Times New Roman;Times;serif" w:hAnsi="Times New Roman;Times;serif"/>
          <w:i/>
          <w:sz w:val="20"/>
        </w:rPr>
        <w:t>Officers’ Certificate as Evidence</w:t>
      </w:r>
      <w:r>
        <w:rPr>
          <w:rFonts w:ascii="Times New Roman;Times;serif" w:hAnsi="Times New Roman;Times;serif"/>
          <w:sz w:val="20"/>
        </w:rPr>
        <w:t>.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be deemed to be conclusively proved and established by an Officers’ Certificate delivered to the Trustee, and such Officers’ Certificate shall be full warrant to the Trustee for any action taken or omitted by it under the provisions of this Indenture upon the faith thereof.</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7.08</w:t>
      </w:r>
      <w:r>
        <w:rPr>
          <w:rFonts w:ascii="Times New Roman;Times;serif" w:hAnsi="Times New Roman;Times;serif"/>
          <w:i/>
          <w:sz w:val="20"/>
        </w:rPr>
        <w:t>Eligibility of Trustee</w:t>
      </w:r>
      <w:r>
        <w:rPr>
          <w:rFonts w:ascii="Times New Roman;Times;serif" w:hAnsi="Times New Roman;Times;serif"/>
          <w:sz w:val="20"/>
        </w:rPr>
        <w:t>. There shall at all times be a Trustee hereunder which shall be a Person that is eligible pursuant to the Trust Indenture Act to act as such and has a combined capital and surplus of at least US$50,000,000.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7.09</w:t>
      </w:r>
      <w:r>
        <w:rPr>
          <w:rFonts w:ascii="Times New Roman;Times;serif" w:hAnsi="Times New Roman;Times;serif"/>
          <w:i/>
          <w:sz w:val="20"/>
        </w:rPr>
        <w:t>Resignation or Removal of Trustee</w:t>
      </w:r>
      <w:r>
        <w:rPr>
          <w:rFonts w:ascii="Times New Roman;Times;serif" w:hAnsi="Times New Roman;Times;serif"/>
          <w:sz w:val="20"/>
        </w:rPr>
        <w:t>. (a) The Trustee may at any time resign by giving 30 days written notice of such resignation to the Company and by mailing notice thereof to the Holders at their addresses as they shall appear on the Note Register.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60 days after the mailing of such notice of resignation to the Holders, the resigning Trustee may appoint a successor trustee on behalf of and at the expense of the Company or it may at the expense of the Company petition any court of competent jurisdiction for the appointment of a successor trustee, or any Holder who has been a bona fide holder of a Note or Notes for at least six months may, subject to the provisions of Section 6.11, on behalf of himself or herself and all others similarly situated, petition any such court for the appointment of a successor trustee. Such court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may thereupon, after such notice, if any, as it may deem proper and prescribe, appoint a successor trustee.</w:t>
      </w:r>
    </w:p>
    <w:tbl>
      <w:tblPr>
        <w:tblW w:w="4473" w:type="dxa"/>
        <w:jc w:val="left"/>
        <w:tblInd w:w="0" w:type="dxa"/>
        <w:tblLayout w:type="fixed"/>
        <w:tblCellMar>
          <w:top w:w="0" w:type="dxa"/>
          <w:left w:w="0" w:type="dxa"/>
          <w:bottom w:w="0" w:type="dxa"/>
          <w:right w:w="0" w:type="dxa"/>
        </w:tblCellMar>
      </w:tblPr>
      <w:tblGrid>
        <w:gridCol w:w="23"/>
        <w:gridCol w:w="245"/>
        <w:gridCol w:w="420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w:t>
            </w:r>
          </w:p>
        </w:tc>
        <w:tc>
          <w:tcPr>
            <w:tcW w:w="420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In case at any time any of the following shall occur:</w:t>
            </w:r>
          </w:p>
        </w:tc>
      </w:tr>
    </w:tbl>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Trustee shall cease to be eligible in accordance with the provisions of Section 7.08 and shall fail to resign after written request therefor by the Company or by any such Holder, or</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Any resignation or removal of the Trustee and appointment of a successor trustee pursuant to any of the provisions of this Section 7.09 shall become effective upon acceptance of appointment by the successor trustee as provided in Section 7.10.</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7.10</w:t>
      </w:r>
      <w:r>
        <w:rPr>
          <w:rFonts w:ascii="Times New Roman;Times;serif" w:hAnsi="Times New Roman;Times;serif"/>
          <w:i/>
          <w:sz w:val="20"/>
        </w:rPr>
        <w:t>Acceptance by Successor Trustee</w:t>
      </w:r>
      <w:r>
        <w:rPr>
          <w:rFonts w:ascii="Times New Roman;Times;serif" w:hAnsi="Times New Roman;Times;serif"/>
          <w:sz w:val="20"/>
        </w:rPr>
        <w:t>.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to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fully and certainly vesting in and confirming to such successor trustee all such rights and powers. Any trustee ceasing to act shall, nevertheless, retain a senior claim to which the Notes are hereby made subordinate on all money or property held or collected by such trustee as such, except for funds held in trust for the benefit of Holders of particular Notes, to secure any amounts then due to it pursuant to the provisions of Section 7.06.</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 successor trustee shall accept appointment as provided in this Section 7.10 unless at the time of such acceptance such successor trustee shall be eligible under the provisions of Section 7.08.</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Upon acceptance of appointment by a successor trustee as provided in this Section 7.10, each of the Company and the successor trustee, at the written direction and at the expense of the Company shall mail or cause to be mailed notice of the succession of such trustee hereunder to the Holders at their addresses as they shall appear on the Note Register. If the Company fails to mail such notice within ten days after acceptance of appointment by the successor trustee, the successor trustee shall cause such notice to be mailed at the expense of the Company.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7.11</w:t>
      </w:r>
      <w:r>
        <w:rPr>
          <w:rFonts w:ascii="Times New Roman;Times;serif" w:hAnsi="Times New Roman;Times;serif"/>
          <w:i/>
          <w:sz w:val="20"/>
        </w:rPr>
        <w:t xml:space="preserve">Succession by Merger, Etc. </w:t>
      </w:r>
      <w:r>
        <w:rPr>
          <w:rFonts w:ascii="Times New Roman;Times;serif" w:hAnsi="Times New Roman;Times;serif"/>
          <w:sz w:val="20"/>
        </w:rPr>
        <w:t xml:space="preserve">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Times New Roman;Times;serif" w:hAnsi="Times New Roman;Times;serif"/>
          <w:i/>
          <w:sz w:val="20"/>
        </w:rPr>
        <w:t xml:space="preserve">provided </w:t>
      </w:r>
      <w:r>
        <w:rPr>
          <w:rFonts w:ascii="Times New Roman;Times;serif" w:hAnsi="Times New Roman;Times;serif"/>
          <w:sz w:val="20"/>
        </w:rPr>
        <w:t>that in the case of any corporation or other entity succeeding to all or substantially all of the corporate trust business of the Trustee such corporation or other entity shall be eligible under the provisions of Section 7.08.</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and deliver such Notes so authenticated; and in case at that time any of the Notes shall not have been authenticated, any successor to the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the right to adopt the certificate of authentication of any predecessor trustee or to authenticate Notes in the name of any predecessor trustee shall apply only to its successor or successors by merger, conversion or consolidation.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7.12</w:t>
      </w:r>
      <w:r>
        <w:rPr>
          <w:rFonts w:ascii="Times New Roman;Times;serif" w:hAnsi="Times New Roman;Times;serif"/>
          <w:i/>
          <w:sz w:val="20"/>
        </w:rPr>
        <w:t>Trustee’s Application for Instructions from the Company</w:t>
      </w:r>
      <w:r>
        <w:rPr>
          <w:rFonts w:ascii="Times New Roman;Times;serif" w:hAnsi="Times New Roman;Times;serif"/>
          <w:sz w:val="20"/>
        </w:rPr>
        <w:t>.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for any action taken by, or omission of, the Trustee in accordance with a proposal included in such application on or after the date specified in such application (which date shall</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ARTICLE 8</w:t>
        <w:br/>
        <w:t>CONCERNING THE HOLDERS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8.01</w:t>
      </w:r>
      <w:r>
        <w:rPr>
          <w:rFonts w:ascii="Times New Roman;Times;serif" w:hAnsi="Times New Roman;Times;serif"/>
          <w:i/>
          <w:sz w:val="20"/>
        </w:rPr>
        <w:t>Action by Holders</w:t>
      </w:r>
      <w:r>
        <w:rPr>
          <w:rFonts w:ascii="Times New Roman;Times;serif" w:hAnsi="Times New Roman;Times;serif"/>
          <w:sz w:val="20"/>
        </w:rPr>
        <w:t>.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fix, but shall not be required to, in advance of such solicitation, a date as the record date for determining Holders entitled to take such action. The record date if one is selected shall be not more than fifteen days prior to the date of commencement of solicitation of such action.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8.02</w:t>
      </w:r>
      <w:r>
        <w:rPr>
          <w:rFonts w:ascii="Times New Roman;Times;serif" w:hAnsi="Times New Roman;Times;serif"/>
          <w:i/>
          <w:sz w:val="20"/>
        </w:rPr>
        <w:t>Proof of Execution by Holders</w:t>
      </w:r>
      <w:r>
        <w:rPr>
          <w:rFonts w:ascii="Times New Roman;Times;serif" w:hAnsi="Times New Roman;Times;serif"/>
          <w:sz w:val="20"/>
        </w:rPr>
        <w:t>. Subject to the provisions of Section 7.01, Section 7.02 and Section 9.05, proof of the execution of any instrument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8.03</w:t>
      </w:r>
      <w:r>
        <w:rPr>
          <w:rFonts w:ascii="Times New Roman;Times;serif" w:hAnsi="Times New Roman;Times;serif"/>
          <w:i/>
          <w:sz w:val="20"/>
        </w:rPr>
        <w:t>Who Are Deemed Absolute Owners</w:t>
      </w:r>
      <w:r>
        <w:rPr>
          <w:rFonts w:ascii="Times New Roman;Times;serif" w:hAnsi="Times New Roman;Times;serif"/>
          <w:sz w:val="20"/>
        </w:rPr>
        <w:t>. The Company, the Trustee, any Paying Agent, any Transfer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of and (subject to Section 2.03) accrued and unpaid interest, if any, on such Note, for the purpose of conversion of such Note and for all other purposes; and neither the Company nor the Trustee nor any Paying Agent nor any Transfer Agent nor any Conversion Agent nor any Note Registrar shall be affected by any notice to the contrary. The sole registered holder of a Global Note shall be the Depositary or its nominee. All such payments or deliveries so made to any Holder for the time being, or upon its order, shall be valid, and, to the extent of the sums or ADSs so paid or delivered, effectual to satisfy and discharge the liability for monies payable or ADSs deliverable upon any such Note. Notwithstanding anything to the contrary in this Indenture or the Notes following an Event of Default, any owner of a beneficial interest in a</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Global Note may directly enforce against the Company, without the consent, solicitation, proxy, authorization or any other action of the Depositary or any other Person, such owner’s right to exchange such beneficial interest for a Note in certificated form in accordance with the provisions of this Indenture.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8.04</w:t>
      </w:r>
      <w:r>
        <w:rPr>
          <w:rFonts w:ascii="Times New Roman;Times;serif" w:hAnsi="Times New Roman;Times;serif"/>
          <w:i/>
          <w:sz w:val="20"/>
        </w:rPr>
        <w:t>Company-Owned Notes Disregarded</w:t>
      </w:r>
      <w:r>
        <w:rPr>
          <w:rFonts w:ascii="Times New Roman;Times;serif" w:hAnsi="Times New Roman;Times;serif"/>
          <w:sz w:val="20"/>
        </w:rPr>
        <w:t xml:space="preserve">. In determining whether the Holders of the requisite aggregate principal amount of Notes have concurred in any direction, consent, waiver or other action under this Indenture, Notes that are owned by the Company, by any Subsidiary or Consolidated Affiliated Entity thereof or by any Affiliate of the Company or any Subsidiary or Consolidated Affiliated Entity thereof shall be disregarded and deemed not to be outstanding for the purpose of any such determination; </w:t>
      </w:r>
      <w:r>
        <w:rPr>
          <w:rFonts w:ascii="Times New Roman;Times;serif" w:hAnsi="Times New Roman;Times;serif"/>
          <w:i/>
          <w:sz w:val="20"/>
        </w:rPr>
        <w:t xml:space="preserve">provided </w:t>
      </w:r>
      <w:r>
        <w:rPr>
          <w:rFonts w:ascii="Times New Roman;Times;serif" w:hAnsi="Times New Roman;Times;serif"/>
          <w:sz w:val="20"/>
        </w:rPr>
        <w:t>that for the purposes of determining whether the Trustee shall be protected in relying on any such direction, consent, waiver or other action only Notes in respect of which a Responsible Officer is notified in writing shall be so disregarded. Notes so owned that have been pledged in good faith may be regarded as outstanding for the purposes of this Section 8.04 if the pledgee shall establish its right to so act with respect to such Notes and that the pledgee is not the Company, a Subsidiary or Consolidated Affiliated Entity thereof or an Affiliate of the Company or a Subsidiary or Consolidated Affiliated Entity thereof. Within five days of acquisition of the Notes by any of the above described persons or entities or at the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8.05</w:t>
      </w:r>
      <w:r>
        <w:rPr>
          <w:rFonts w:ascii="Times New Roman;Times;serif" w:hAnsi="Times New Roman;Times;serif"/>
          <w:i/>
          <w:sz w:val="20"/>
        </w:rPr>
        <w:t>Revocation of Consents; Future Holders Bound</w:t>
      </w:r>
      <w:r>
        <w:rPr>
          <w:rFonts w:ascii="Times New Roman;Times;serif" w:hAnsi="Times New Roman;Times;serif"/>
          <w:sz w:val="20"/>
        </w:rPr>
        <w:t>.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ARTICLE 9</w:t>
        <w:br/>
        <w:t>HOLDERS’ MEETINGS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9.01</w:t>
      </w:r>
      <w:r>
        <w:rPr>
          <w:rFonts w:ascii="Times New Roman;Times;serif" w:hAnsi="Times New Roman;Times;serif"/>
          <w:i/>
          <w:sz w:val="20"/>
        </w:rPr>
        <w:t>Purpose of Meetings</w:t>
      </w:r>
      <w:r>
        <w:rPr>
          <w:rFonts w:ascii="Times New Roman;Times;serif" w:hAnsi="Times New Roman;Times;serif"/>
          <w:sz w:val="20"/>
        </w:rPr>
        <w:t>. A meeting of Holders may be called at any time and from time to time pursuant to the provisions of this Article 9 for any of the following purposes: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to give any notice to the Company or to the Trustee or to give any directions to the Trustee permitted under this Indenture, or to consent to the waiving of any Default or Event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of Default hereunder and its consequences, or to take any other action authorized to be taken by Holders pursuant to any of the provisions of Article 6;</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to remove the Trustee and nominate a successor trustee pursuant to the provisions of Article 7;</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to consent to the execution of an indenture or indentures supplemental hereto pursuant to the provisions of Section 10.02; or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to take any other action authorized to be taken by or on behalf of the Holders of any specified aggregate principal amount of the Notes under any other provision of this Indenture or under applicable law.</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9.02</w:t>
      </w:r>
      <w:r>
        <w:rPr>
          <w:rFonts w:ascii="Times New Roman;Times;serif" w:hAnsi="Times New Roman;Times;serif"/>
          <w:i/>
          <w:sz w:val="20"/>
        </w:rPr>
        <w:t>Call of Meetings by Trustee</w:t>
      </w:r>
      <w:r>
        <w:rPr>
          <w:rFonts w:ascii="Times New Roman;Times;serif" w:hAnsi="Times New Roman;Times;serif"/>
          <w:sz w:val="20"/>
        </w:rPr>
        <w:t>. The Trustee may (in its sole discretion and without obligation) at any time call a meeting of Holders to take any action specified in Section 9.01, to be held at such time and at such place as the Trustee shall determine, including virtually. Notice of every meeting of the Holders, setting forth the time and the place of such meeting and in general terms the action proposed to be taken at such meeting and the establishment of any record date pursuant to Section 8.01, shall be mailed to Holders of such Notes at their addresses as they shall appear on the Note Register. Such notice shall also be mailed to the Company. Such notices shall be mailed not less than 20 nor more than 90 days prior to the date fixed for the meeting.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Any meeting of Holders shall be valid without notice if the Holders of all Notes then outstanding are present in person or by proxy (including virtually) or if notice is waived before or after the meeting by the Holders of all Notes then outstanding, and if the Company and the Trustee are either present by duly authorized representatives or have, before or after the meeting, waived notice.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9.03</w:t>
      </w:r>
      <w:r>
        <w:rPr>
          <w:rFonts w:ascii="Times New Roman;Times;serif" w:hAnsi="Times New Roman;Times;serif"/>
          <w:i/>
          <w:sz w:val="20"/>
        </w:rPr>
        <w:t>Call of Meetings by Company or Holders</w:t>
      </w:r>
      <w:r>
        <w:rPr>
          <w:rFonts w:ascii="Times New Roman;Times;serif" w:hAnsi="Times New Roman;Times;serif"/>
          <w:sz w:val="20"/>
        </w:rPr>
        <w:t>.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mailed the notice of such meeting within 20 days after receipt of such request, then the Company or such Holders may determine the time and the place for such meeting and may call such meeting to take any action authorized in Section 9.01, by mailing notice thereof as provided in Section 9.02.</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9.04</w:t>
      </w:r>
      <w:r>
        <w:rPr>
          <w:rFonts w:ascii="Times New Roman;Times;serif" w:hAnsi="Times New Roman;Times;serif"/>
          <w:i/>
          <w:sz w:val="20"/>
        </w:rPr>
        <w:t>Qualifications for Voting</w:t>
      </w:r>
      <w:r>
        <w:rPr>
          <w:rFonts w:ascii="Times New Roman;Times;serif" w:hAnsi="Times New Roman;Times;serif"/>
          <w:sz w:val="20"/>
        </w:rPr>
        <w:t>.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9.05</w:t>
      </w:r>
      <w:r>
        <w:rPr>
          <w:rFonts w:ascii="Times New Roman;Times;serif" w:hAnsi="Times New Roman;Times;serif"/>
          <w:i/>
          <w:sz w:val="20"/>
        </w:rPr>
        <w:t>Regulations</w:t>
      </w:r>
      <w:r>
        <w:rPr>
          <w:rFonts w:ascii="Times New Roman;Times;serif" w:hAnsi="Times New Roman;Times;serif"/>
          <w:sz w:val="20"/>
        </w:rPr>
        <w:t>. Notwithstanding any other provisions of this Indenture, the Trustee may make such reasonable regulations as it may deem advisable for any meeting of</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Notes represented at the meeting and entitled to vote at the meeting.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Subject to the provisions of Section 8.04, at any meeting of Holders each Holder or proxyholder shall be entitled to one vote for each US$1,000 principal amount of Notes held or represented by him or her;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Minutes shall be made of all resolutions and proceedings at every meeting and, if purporting to be signed by the chairman of that meeting or of the next succeeding meeting of Holders of the Notes, shall be conclusive evidence of the matters in them. Until the contrary is proved every meeting for which minutes have been so made and signed shall be deemed to have been duly convened and held and all resolutions passed or proceedings transacted at it to have been duly passed and transacted.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9.06</w:t>
      </w:r>
      <w:r>
        <w:rPr>
          <w:rFonts w:ascii="Times New Roman;Times;serif" w:hAnsi="Times New Roman;Times;serif"/>
          <w:i/>
          <w:sz w:val="20"/>
        </w:rPr>
        <w:t>Voting</w:t>
      </w:r>
      <w:r>
        <w:rPr>
          <w:rFonts w:ascii="Times New Roman;Times;serif" w:hAnsi="Times New Roman;Times;serif"/>
          <w:sz w:val="20"/>
        </w:rPr>
        <w:t>.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Any record so signed and verified shall be conclusive evidence of the matters therein stated.</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9.07</w:t>
      </w:r>
      <w:r>
        <w:rPr>
          <w:rFonts w:ascii="Times New Roman;Times;serif" w:hAnsi="Times New Roman;Times;serif"/>
          <w:i/>
          <w:sz w:val="20"/>
        </w:rPr>
        <w:t>No Delay of Rights by Meeting</w:t>
      </w:r>
      <w:r>
        <w:rPr>
          <w:rFonts w:ascii="Times New Roman;Times;serif" w:hAnsi="Times New Roman;Times;serif"/>
          <w:sz w:val="20"/>
        </w:rPr>
        <w:t>.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ARTICLE 10</w:t>
        <w:br/>
        <w:t>SUPPLEMENTAL INDENTURES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10.01</w:t>
      </w:r>
      <w:r>
        <w:rPr>
          <w:rFonts w:ascii="Times New Roman;Times;serif" w:hAnsi="Times New Roman;Times;serif"/>
          <w:i/>
          <w:sz w:val="20"/>
        </w:rPr>
        <w:t>Supplemental Indentures Without Consent of Holders</w:t>
      </w:r>
      <w:r>
        <w:rPr>
          <w:rFonts w:ascii="Times New Roman;Times;serif" w:hAnsi="Times New Roman;Times;serif"/>
          <w:sz w:val="20"/>
        </w:rPr>
        <w:t>. The Company, when authorized by the resolutions of the Board of Directors, and the Trustee, at the Company’s expense and direction, may from time to time and at any time amend or supplement this Indenture or the Notes for one or more of the following purposes:</w:t>
      </w:r>
    </w:p>
    <w:tbl>
      <w:tblPr>
        <w:tblW w:w="4908" w:type="dxa"/>
        <w:jc w:val="left"/>
        <w:tblInd w:w="0" w:type="dxa"/>
        <w:tblLayout w:type="fixed"/>
        <w:tblCellMar>
          <w:top w:w="0" w:type="dxa"/>
          <w:left w:w="0" w:type="dxa"/>
          <w:bottom w:w="0" w:type="dxa"/>
          <w:right w:w="0" w:type="dxa"/>
        </w:tblCellMar>
      </w:tblPr>
      <w:tblGrid>
        <w:gridCol w:w="23"/>
        <w:gridCol w:w="230"/>
        <w:gridCol w:w="465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465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to cure any ambiguity, omission, defect or inconsistency;</w:t>
            </w:r>
          </w:p>
        </w:tc>
      </w:tr>
    </w:tbl>
    <w:tbl>
      <w:tblPr>
        <w:tblW w:w="10205" w:type="dxa"/>
        <w:jc w:val="left"/>
        <w:tblInd w:w="0" w:type="dxa"/>
        <w:tblLayout w:type="fixed"/>
        <w:tblCellMar>
          <w:top w:w="0" w:type="dxa"/>
          <w:left w:w="0" w:type="dxa"/>
          <w:bottom w:w="0" w:type="dxa"/>
          <w:right w:w="0" w:type="dxa"/>
        </w:tblCellMar>
      </w:tblPr>
      <w:tblGrid>
        <w:gridCol w:w="23"/>
        <w:gridCol w:w="233"/>
        <w:gridCol w:w="9949"/>
      </w:tblGrid>
      <w:tr>
        <w:trPr/>
        <w:tc>
          <w:tcPr>
            <w:tcW w:w="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w:t>
            </w:r>
          </w:p>
        </w:tc>
        <w:tc>
          <w:tcPr>
            <w:tcW w:w="9949"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to provide for the assumption by a Successor Company of the obligations of the Company under this Indenture and the Notes pursuant to Article 11;</w:t>
            </w:r>
          </w:p>
        </w:tc>
      </w:tr>
    </w:tbl>
    <w:tbl>
      <w:tblPr>
        <w:tblW w:w="7428" w:type="dxa"/>
        <w:jc w:val="left"/>
        <w:tblInd w:w="0" w:type="dxa"/>
        <w:tblLayout w:type="fixed"/>
        <w:tblCellMar>
          <w:top w:w="0" w:type="dxa"/>
          <w:left w:w="0" w:type="dxa"/>
          <w:bottom w:w="0" w:type="dxa"/>
          <w:right w:w="0" w:type="dxa"/>
        </w:tblCellMar>
      </w:tblPr>
      <w:tblGrid>
        <w:gridCol w:w="23"/>
        <w:gridCol w:w="230"/>
        <w:gridCol w:w="717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(c)</w:t>
            </w:r>
          </w:p>
        </w:tc>
        <w:tc>
          <w:tcPr>
            <w:tcW w:w="717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to add guarantees or any credit enhancements of similar nature with respect to the Notes;</w:t>
            </w:r>
          </w:p>
        </w:tc>
      </w:tr>
    </w:tbl>
    <w:tbl>
      <w:tblPr>
        <w:tblW w:w="1878" w:type="dxa"/>
        <w:jc w:val="left"/>
        <w:tblInd w:w="0" w:type="dxa"/>
        <w:tblLayout w:type="fixed"/>
        <w:tblCellMar>
          <w:top w:w="0" w:type="dxa"/>
          <w:left w:w="0" w:type="dxa"/>
          <w:bottom w:w="0" w:type="dxa"/>
          <w:right w:w="0" w:type="dxa"/>
        </w:tblCellMar>
      </w:tblPr>
      <w:tblGrid>
        <w:gridCol w:w="23"/>
        <w:gridCol w:w="245"/>
        <w:gridCol w:w="161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w:t>
            </w:r>
          </w:p>
        </w:tc>
        <w:tc>
          <w:tcPr>
            <w:tcW w:w="161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to secure the Notes;</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to add to the covenants or Events of Defaults of the Company for the benefit of the Holders or surrender any right or power conferred upon the Company;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upon the occurrence of any transaction or event described in Section 14.07(a), to (i) provide that the Notes are convertible into Reference Property, subject to Section 14.02, and (ii) effect the related changes to the terms of the Notes described under Section 14.07(a), in each case, in accordance with Section 14.07;</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to make any change that does not adversely affect the rights of any Holder in any material respect;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to make changes in connection with an acceptance for listing on a Permitted Exchange as contemplated in Section 10.03;</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to comply with the rules of the Depositary;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to evidence and provide for the acceptance of the appointment of a successor trustee in accordance with this Indenture; or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to conform the provisions of this Indenture or the Notes to the “Description of the Notes” section of the Offering Memorandum.</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Upon the written request of the Company, the Trustee is hereby authorized to join with the Company in the execution of any such amendment or supplement to this Indenture or the Notes,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 The Trustee shall seek an Officers’ Certificate and an Opinion of Counsel, at the Company’s expense, that any such amendment or supplement, and the execution and delivery of the supplemental indenture to this Indenture or the Notes is authorized and permitted by the terms of this Indenture and that all conditions precedent hereto have been satisfied, and that the supplemental indenture or amendment or supplement are enforceable against the Company, subject to customary assumptions, limitations, exceptions and qualifications.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Any amendment or supplement to this Indenture or the Notes authorized by the provisions of this Section 10.01 may be executed by the Company and the Trustee without the consent of the Holders of any of the Notes at the time outstanding, notwithstanding any of the provisions of Section 10.02.</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10.02</w:t>
      </w:r>
      <w:r>
        <w:rPr>
          <w:rFonts w:ascii="Times New Roman;Times;serif" w:hAnsi="Times New Roman;Times;serif"/>
          <w:i/>
          <w:sz w:val="20"/>
        </w:rPr>
        <w:t>Supplemental Indentures with Consent of Holders</w:t>
      </w:r>
      <w:r>
        <w:rPr>
          <w:rFonts w:ascii="Times New Roman;Times;serif" w:hAnsi="Times New Roman;Times;serif"/>
          <w:sz w:val="20"/>
        </w:rPr>
        <w:t xml:space="preserve">. 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Notes), the Company, when authorized by the resolutions of the Board of Directors, and the Trustee, at the Company’s expense, may from time to time and at any time enter into an indenture or indentures supplemental hereto for the purpose of adding any provisions to or changing in any manner or eliminating any of the provisions of this Indenture or any supplemental indenture or the Notes or modifying in any manner the rights of the Holders;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without the consent of each Holder of an outstanding Note affected, no such supplemental indenture shall:</w:t>
      </w:r>
    </w:p>
    <w:tbl>
      <w:tblPr>
        <w:tblW w:w="7173" w:type="dxa"/>
        <w:jc w:val="left"/>
        <w:tblInd w:w="0" w:type="dxa"/>
        <w:tblLayout w:type="fixed"/>
        <w:tblCellMar>
          <w:top w:w="0" w:type="dxa"/>
          <w:left w:w="0" w:type="dxa"/>
          <w:bottom w:w="0" w:type="dxa"/>
          <w:right w:w="0" w:type="dxa"/>
        </w:tblCellMar>
      </w:tblPr>
      <w:tblGrid>
        <w:gridCol w:w="23"/>
        <w:gridCol w:w="230"/>
        <w:gridCol w:w="692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692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 xml:space="preserve">reduce the amount of Notes whose Holders must consent to an amendment or waiver; </w:t>
            </w:r>
          </w:p>
        </w:tc>
      </w:tr>
    </w:tbl>
    <w:tbl>
      <w:tblPr>
        <w:tblW w:w="7293" w:type="dxa"/>
        <w:jc w:val="left"/>
        <w:tblInd w:w="0" w:type="dxa"/>
        <w:tblLayout w:type="fixed"/>
        <w:tblCellMar>
          <w:top w:w="0" w:type="dxa"/>
          <w:left w:w="0" w:type="dxa"/>
          <w:bottom w:w="0" w:type="dxa"/>
          <w:right w:w="0" w:type="dxa"/>
        </w:tblCellMar>
      </w:tblPr>
      <w:tblGrid>
        <w:gridCol w:w="23"/>
        <w:gridCol w:w="245"/>
        <w:gridCol w:w="702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w:t>
            </w:r>
          </w:p>
        </w:tc>
        <w:tc>
          <w:tcPr>
            <w:tcW w:w="702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reduce the rate of or extend the stated time for payment of interest, if any, on any Note;</w:t>
            </w:r>
          </w:p>
        </w:tc>
      </w:tr>
    </w:tbl>
    <w:tbl>
      <w:tblPr>
        <w:tblW w:w="5448" w:type="dxa"/>
        <w:jc w:val="left"/>
        <w:tblInd w:w="0" w:type="dxa"/>
        <w:tblLayout w:type="fixed"/>
        <w:tblCellMar>
          <w:top w:w="0" w:type="dxa"/>
          <w:left w:w="0" w:type="dxa"/>
          <w:bottom w:w="0" w:type="dxa"/>
          <w:right w:w="0" w:type="dxa"/>
        </w:tblCellMar>
      </w:tblPr>
      <w:tblGrid>
        <w:gridCol w:w="23"/>
        <w:gridCol w:w="230"/>
        <w:gridCol w:w="519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(c)</w:t>
            </w:r>
          </w:p>
        </w:tc>
        <w:tc>
          <w:tcPr>
            <w:tcW w:w="519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reduce the principal of or extend the Maturity Date of any Note;</w:t>
            </w:r>
          </w:p>
        </w:tc>
      </w:tr>
    </w:tbl>
    <w:tbl>
      <w:tblPr>
        <w:tblW w:w="6333" w:type="dxa"/>
        <w:jc w:val="left"/>
        <w:tblInd w:w="0" w:type="dxa"/>
        <w:tblLayout w:type="fixed"/>
        <w:tblCellMar>
          <w:top w:w="0" w:type="dxa"/>
          <w:left w:w="0" w:type="dxa"/>
          <w:bottom w:w="0" w:type="dxa"/>
          <w:right w:w="0" w:type="dxa"/>
        </w:tblCellMar>
      </w:tblPr>
      <w:tblGrid>
        <w:gridCol w:w="23"/>
        <w:gridCol w:w="245"/>
        <w:gridCol w:w="606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w:t>
            </w:r>
          </w:p>
        </w:tc>
        <w:tc>
          <w:tcPr>
            <w:tcW w:w="606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make any change that adversely affects the conversion rights of any Notes;</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reduce the Repurchase Price payable on the Repurchase Date, the Fundamental Change Repurchase Price or the Redemption Price of any Note or amend or modify in any manner adverse to the Holders the Company’s obligation to make such payments, whether through an amendment or waiver of provisions in the covenants, definitions or otherwise;</w:t>
      </w:r>
    </w:p>
    <w:tbl>
      <w:tblPr>
        <w:tblW w:w="5148" w:type="dxa"/>
        <w:jc w:val="left"/>
        <w:tblInd w:w="0" w:type="dxa"/>
        <w:tblLayout w:type="fixed"/>
        <w:tblCellMar>
          <w:top w:w="0" w:type="dxa"/>
          <w:left w:w="0" w:type="dxa"/>
          <w:bottom w:w="0" w:type="dxa"/>
          <w:right w:w="0" w:type="dxa"/>
        </w:tblCellMar>
      </w:tblPr>
      <w:tblGrid>
        <w:gridCol w:w="23"/>
        <w:gridCol w:w="200"/>
        <w:gridCol w:w="492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(f)</w:t>
            </w:r>
          </w:p>
        </w:tc>
        <w:tc>
          <w:tcPr>
            <w:tcW w:w="492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make any Note payable in a currency other than U.S. dollars;</w:t>
            </w:r>
          </w:p>
        </w:tc>
      </w:tr>
    </w:tbl>
    <w:tbl>
      <w:tblPr>
        <w:tblW w:w="2928" w:type="dxa"/>
        <w:jc w:val="left"/>
        <w:tblInd w:w="0" w:type="dxa"/>
        <w:tblLayout w:type="fixed"/>
        <w:tblCellMar>
          <w:top w:w="0" w:type="dxa"/>
          <w:left w:w="0" w:type="dxa"/>
          <w:bottom w:w="0" w:type="dxa"/>
          <w:right w:w="0" w:type="dxa"/>
        </w:tblCellMar>
      </w:tblPr>
      <w:tblGrid>
        <w:gridCol w:w="23"/>
        <w:gridCol w:w="245"/>
        <w:gridCol w:w="26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(g)</w:t>
            </w:r>
          </w:p>
        </w:tc>
        <w:tc>
          <w:tcPr>
            <w:tcW w:w="266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change the ranking of the Notes;</w:t>
            </w:r>
          </w:p>
        </w:tc>
      </w:tr>
    </w:tbl>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impair the right of any Holder to receive payment of principal and interest, if any, on such Holder’s Notes on or after the due dates therefor or to institute suit for the enforcement of any payment on or with respect to such Holder’s Note;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change the Company’s obligation to pay Additional Amounts on any Note; or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make any change in this Article 10 that requires each Holder’s consent or in the waiver provisions in Section 6.02 or Section 6.09.</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Upon the written request of the Company, and upon the filing with the Trustee of evidence of the consent of Holders as aforesaid and subject to Section 10.05, the Trustee shall join with the Company in the execution of such supplemental indenture unless (i) the Trustee has not received an Officers’ Certificate and an Opinion of Counsel that such supplemental indenture is authorized and permitted by the terms of this Indenture and not contrary to law or (ii) such supplemental indenture affects the Trustee’s own rights, duties or immunities under this Indenture or otherwise, in which case the Trustee may in its discretion, but shall not be obligated to, enter into such supplemental indenture.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Holders do not need under this Section 10.02 to approve the particular form of any proposed supplemental indenture. It shall be sufficient if such Holders approve the substance thereof. After any supplemental indenture becomes effective under Section 10.01 or Section 10.02, the Company shall mail to the Holders (with a copy to the Trustee) a notice briefly describing such supplemental indenture. However, the failure to give such notice to all the Holders, or any defect in the notice, will not impair or affect the validity of the supplemental indenture.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10.03</w:t>
      </w:r>
      <w:r>
        <w:rPr>
          <w:rFonts w:ascii="Times New Roman;Times;serif" w:hAnsi="Times New Roman;Times;serif"/>
          <w:i/>
          <w:sz w:val="20"/>
        </w:rPr>
        <w:t>Supplemental Indenture in respect of Fundamental Change</w:t>
      </w:r>
      <w:r>
        <w:rPr>
          <w:rFonts w:ascii="Times New Roman;Times;serif" w:hAnsi="Times New Roman;Times;serif"/>
          <w:sz w:val="20"/>
        </w:rPr>
        <w:t>. If a Fundamental Change described in clause (d) of the definition thereof has occurred and the Ordinary Shares (or, as applicable, other Common Equity underlying the Notes or the Reference Property referred to herein) remain listed or have been accepted for listing on a Permitted Exchange (such Ordinary Shares (or, as applicable, other Common Equity or the Reference Property, the “</w:t>
      </w:r>
      <w:r>
        <w:rPr>
          <w:rFonts w:ascii="Times New Roman;Times;serif" w:hAnsi="Times New Roman;Times;serif"/>
          <w:b/>
          <w:sz w:val="20"/>
        </w:rPr>
        <w:t>Listed Equity</w:t>
      </w:r>
      <w:r>
        <w:rPr>
          <w:rFonts w:ascii="Times New Roman;Times;serif" w:hAnsi="Times New Roman;Times;serif"/>
          <w:sz w:val="20"/>
        </w:rPr>
        <w:t>”)), then, from and after the later to occur of (x) the date of such acceptance for listing on a Permitted Exchange, if applicable or (y) the Effective Date of such Fundamental Change (the “</w:t>
      </w:r>
      <w:r>
        <w:rPr>
          <w:rFonts w:ascii="Times New Roman;Times;serif" w:hAnsi="Times New Roman;Times;serif"/>
          <w:b/>
          <w:sz w:val="20"/>
        </w:rPr>
        <w:t>Reference Date</w:t>
      </w:r>
      <w:r>
        <w:rPr>
          <w:rFonts w:ascii="Times New Roman;Times;serif" w:hAnsi="Times New Roman;Times;serif"/>
          <w:sz w:val="20"/>
        </w:rPr>
        <w:t xml:space="preserve">”), Section 14.07 of this Indenture will be deemed to apply </w:t>
      </w:r>
      <w:r>
        <w:rPr>
          <w:rFonts w:ascii="Times New Roman;Times;serif" w:hAnsi="Times New Roman;Times;serif"/>
          <w:i/>
          <w:sz w:val="20"/>
        </w:rPr>
        <w:t xml:space="preserve">mutatis mutandis </w:t>
      </w:r>
      <w:r>
        <w:rPr>
          <w:rFonts w:ascii="Times New Roman;Times;serif" w:hAnsi="Times New Roman;Times;serif"/>
          <w:sz w:val="20"/>
        </w:rPr>
        <w:t>as if the Reference Property for the Notes were the Listed Equity. No later than five Business Days after the Reference Date, the Company shall execute with the Trustee a supplemental indenture containing such provisions that the Board of Directors determines in good faith are appropriate to preserve the economic interests of the Holders and are necessary to reflect the replacement of the ADSs (or Ordinary Shares or other Common Equity or ADSs in respect of Reference Property then underlying the Notes) with the Listed Equity. The Company shall notify the Holders and the Conversion Agent (if other than the Trustee) in writing as promptly as reasonably practicable following the date the Company and the Trustee execute such supplemental indenture, and the Company shall substantially concurrently with such notice either post such supplemental indenture on the Company’s website or disclose the same in a current report on Form 6-K (or any successor form) that is filed with the Commission. If, as of the Reference Date, the Company’s Listed Equity is listed or accepted for listing on more than one permitted exchange, which includes the Hong Kong Stock Exchange, the relevant exchange on which the listed equity</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is listed for purpose of such supplemental indenture (the “</w:t>
      </w:r>
      <w:r>
        <w:rPr>
          <w:rFonts w:ascii="Times New Roman;Times;serif" w:hAnsi="Times New Roman;Times;serif"/>
          <w:b/>
          <w:sz w:val="20"/>
        </w:rPr>
        <w:t>Relevant Exchange</w:t>
      </w:r>
      <w:r>
        <w:rPr>
          <w:rFonts w:ascii="Times New Roman;Times;serif" w:hAnsi="Times New Roman;Times;serif"/>
          <w:sz w:val="20"/>
        </w:rPr>
        <w:t>”) will be the Hong Kong Stock Exchange; otherwise the Relevant Exchange will be the Permitted Exchange for the Listed Equity with the highest trading volume of the Listed Equity as of the Reference Date.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10.04</w:t>
      </w:r>
      <w:r>
        <w:rPr>
          <w:rFonts w:ascii="Times New Roman;Times;serif" w:hAnsi="Times New Roman;Times;serif"/>
          <w:i/>
          <w:sz w:val="20"/>
        </w:rPr>
        <w:t>Effect of Supplemental Indentures</w:t>
      </w:r>
      <w:r>
        <w:rPr>
          <w:rFonts w:ascii="Times New Roman;Times;serif" w:hAnsi="Times New Roman;Times;serif"/>
          <w:sz w:val="20"/>
        </w:rPr>
        <w:t>. Upon the execution of any supplemental indenture pursuant to the provisions of this Article 10, this Indenture shall be and be deemed to be modified and amended in accordance therewith and the respective rights, limitation of rights, obligations, duties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10.05</w:t>
      </w:r>
      <w:r>
        <w:rPr>
          <w:rFonts w:ascii="Times New Roman;Times;serif" w:hAnsi="Times New Roman;Times;serif"/>
          <w:i/>
          <w:sz w:val="20"/>
        </w:rPr>
        <w:t>Notation on Notes</w:t>
      </w:r>
      <w:r>
        <w:rPr>
          <w:rFonts w:ascii="Times New Roman;Times;serif" w:hAnsi="Times New Roman;Times;serif"/>
          <w:sz w:val="20"/>
        </w:rPr>
        <w:t>. Notes authenticated and delivered after the execution of any supplemental indenture pursuant to the provisions of this Article 10 may, at the Company’s expense, bear a notation in form approved by the Trustee as to any matter provided for in such supplemental indenture. If the Company or the Trustee shall so determine, new Notes so modified as to conform, in the opinion of the Trustee and the Board of Directors, to any modification of this Indenture contained in any such supplemental indenture may, at the Company’s expense, be prepared and executed by the Company, authenticated by the Trustee upon receipt of a Company Order and delivered in exchange for the Notes then outstanding, upon surrender of such Notes then outstanding.</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10.06</w:t>
      </w:r>
      <w:r>
        <w:rPr>
          <w:rFonts w:ascii="Times New Roman;Times;serif" w:hAnsi="Times New Roman;Times;serif"/>
          <w:i/>
          <w:sz w:val="20"/>
        </w:rPr>
        <w:t>Evidence of Compliance of Supplemental Indenture to Be Furnished Trustee</w:t>
      </w:r>
      <w:r>
        <w:rPr>
          <w:rFonts w:ascii="Times New Roman;Times;serif" w:hAnsi="Times New Roman;Times;serif"/>
          <w:sz w:val="20"/>
        </w:rPr>
        <w:t>. In addition to the documents required by Section 17.06, the Trustee shall receive an Officers’ Certificate and an Opinion of Counsel as conclusive evidence that any supplemental indenture executed pursuant hereto complies with the requirements of this Article 10 and is permitted or authorized by this Indenture and with respect to such Opinion of Counsel, that such supplemental indenture is the valid and binding obligation of the Company enforceable in accordance with its terms, subject to customary assumptions, limitations, exceptions and qualifications.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11</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CONSOLIDATION, MERGER, SALE, CONVEYANCE AND LEASE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11.01</w:t>
      </w:r>
      <w:r>
        <w:rPr>
          <w:rFonts w:ascii="Times New Roman;Times;serif" w:hAnsi="Times New Roman;Times;serif"/>
          <w:i/>
          <w:sz w:val="20"/>
        </w:rPr>
        <w:t>Company May Consolidate, Etc. on Certain Terms</w:t>
      </w:r>
      <w:r>
        <w:rPr>
          <w:rFonts w:ascii="Times New Roman;Times;serif" w:hAnsi="Times New Roman;Times;serif"/>
          <w:sz w:val="20"/>
        </w:rPr>
        <w:t>. Subject to the provisions of Section 11.02, the Company shall not consolidate with, merge with or into, or sell, convey, transfer or lease all or substantially all of the consolidated assets of the Company, its Subsidiaries and its Consolidated Affiliated Entities, taken as a whole, to another Person, unless: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resulting, surviving or transferee Person (the “</w:t>
      </w:r>
      <w:r>
        <w:rPr>
          <w:rFonts w:ascii="Times New Roman;Times;serif" w:hAnsi="Times New Roman;Times;serif"/>
          <w:b/>
          <w:sz w:val="20"/>
        </w:rPr>
        <w:t>Successor Company</w:t>
      </w:r>
      <w:r>
        <w:rPr>
          <w:rFonts w:ascii="Times New Roman;Times;serif" w:hAnsi="Times New Roman;Times;serif"/>
          <w:sz w:val="20"/>
        </w:rPr>
        <w:t>”), if not the Company, shall be a corporation organized and existing under the laws of the Cayman Islands, the British Virgin Islands, Bermuda or Hong Kong and the Successor Company (if not the Company) shall expressly assume, by supplemental indenture all of the obligations of the Company under the Notes and this Indenture (including, for the avoidance of doubt, the obligation to pay Additional Amounts pursuant to Section 4.07);</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the Company will not be the resulting or surviving corporation, the Company shall have, at or prior to the effective date of such transaction, delivered to the Trustee an Officers’ Certificate and an Opinion of Counsel, each stating that the execution and delivery of the supplemental indenture do not conflict with the requirements set forth in the Indenture and that all conditions precedent to the execution and delivery of such supplemental indenture have been satisfied and that such supplemental indenture is enforceable against the Company, subject to customary assumptions, limitations, exceptions and qualifications; and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immediately after giving effect to such transaction, no Default or Event of Default shall have occurred and be continuing under this Indenture.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For purposes of this Section 11.01, the sale, conveyance, transfer or lease of all or substantially all of the assets of one or more Subsidiaries or Consolidated Affiliated Entities of the Company to another Person, which properties and assets, if held by the Company instead of such Subsidiaries or Consolidated Affiliated Entities, would constitute all or substantially all of the assets of the Company on a consolidated basis, shall be deemed to be the sale, conveyance, transfer or lease of all or substantially all of the consolidated assets of the Company to another Person.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11.02</w:t>
      </w:r>
      <w:r>
        <w:rPr>
          <w:rFonts w:ascii="Times New Roman;Times;serif" w:hAnsi="Times New Roman;Times;serif"/>
          <w:i/>
          <w:sz w:val="20"/>
        </w:rPr>
        <w:t>Successor Corporation to Be Substituted</w:t>
      </w:r>
      <w:r>
        <w:rPr>
          <w:rFonts w:ascii="Times New Roman;Times;serif" w:hAnsi="Times New Roman;Times;serif"/>
          <w:sz w:val="20"/>
        </w:rPr>
        <w:t>. In case of any such consolidation, merger, sale, conveyance, transfer or lease and upon the assumption by the Successor Company, by supplemental indenture, executed and delivered to the Trustee and satisfactory in form to the Trustee, of the due and punctual payment of the principal of and accrued and unpaid interest, if any, on all of the Notes (including, for the avoidance of doubt, any Additional Amounts), the due and punctual delivery or payment, as the case may be, of any consideration due upon conversion of the Notes (including, for the avoidance of doubt, any Additional Amounts) and the due and punctual performance of all of the covenants and conditions of this Indenture to be performed by the Company, such Successor Company (if not the Company) shall succeed to and, except in the case of a lease of all or substantially all of the Company’s properties and assets, shall be substituted for the Company, with the same effect as if it had been named herein as the party of the first part.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case of any such consolidation, merger, sale, conveyance, transfer or lease, such changes in phraseology and form (but not in substance) may be made in the Notes thereafter to be issued as may be appropriate.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11.03</w:t>
      </w:r>
      <w:r>
        <w:rPr>
          <w:rFonts w:ascii="Times New Roman;Times;serif" w:hAnsi="Times New Roman;Times;serif"/>
          <w:i/>
          <w:sz w:val="20"/>
        </w:rPr>
        <w:t>Opinion of Counsel to Be Given to Trustee</w:t>
      </w:r>
      <w:r>
        <w:rPr>
          <w:rFonts w:ascii="Times New Roman;Times;serif" w:hAnsi="Times New Roman;Times;serif"/>
          <w:sz w:val="20"/>
        </w:rPr>
        <w:t>. No consolidation, merger, sale, conveyance, transfer or lease shall be effective unless the Trustee shall receive an Officers’ Certificate and an Opinion of Counsel as conclusive evidence that any such consolidation, merger, sale, conveyance, transfer or lease and any such assumption and, if a supplemental indenture is required in connection with such transaction, such supplemental indenture, complies with the provisions of this Article 11, that all conditions precedent thereto have been satisfied and that the Notes and such supplemental indenture are the legal, valid and binding obligations of the Successor Company, enforceable against it in accordance with its terms, subject to customary assumptions, , limitations, exceptions and qualifications.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12</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IMMUNITY OF INCORPORATORS, STOCKHOLDERS, OFFICERS AND DIRECTORS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12.01</w:t>
      </w:r>
      <w:r>
        <w:rPr>
          <w:rFonts w:ascii="Times New Roman;Times;serif" w:hAnsi="Times New Roman;Times;serif"/>
          <w:i/>
          <w:sz w:val="20"/>
        </w:rPr>
        <w:t>Indenture and Notes Solely Corporate Obligations</w:t>
      </w:r>
      <w:r>
        <w:rPr>
          <w:rFonts w:ascii="Times New Roman;Times;serif" w:hAnsi="Times New Roman;Times;serif"/>
          <w:sz w:val="20"/>
        </w:rPr>
        <w:t>. No recourse for the payment of the principal of or accrued and unpaid interest, if any,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ARTICLE 13</w:t>
        <w:br/>
        <w:t>INTENTIONALLY OMITTED</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ARTICLE 14</w:t>
        <w:br/>
        <w:t>CONVERSION OF NOTES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14.01</w:t>
      </w:r>
      <w:r>
        <w:rPr>
          <w:rFonts w:ascii="Times New Roman;Times;serif" w:hAnsi="Times New Roman;Times;serif"/>
          <w:i/>
          <w:sz w:val="20"/>
        </w:rPr>
        <w:t>Conversion Privilege</w:t>
      </w:r>
      <w:r>
        <w:rPr>
          <w:rFonts w:ascii="Times New Roman;Times;serif" w:hAnsi="Times New Roman;Times;serif"/>
          <w:sz w:val="20"/>
        </w:rPr>
        <w:t>. Subject to and upon compliance with the provisions of this Article 14, each Holder of a Note shall have the right, at such Holder’s option, to convert all or any portion (if the portion to be converted is US$1,000 principal amount or an integral multiple thereof) of such Note, at any time prior to the close of business on the second Scheduled Trading Day immediately preceding the Maturity Date at an initial conversion rate of 89.9685 ADSs (subject to adjustment as provided in this Article 14, the “</w:t>
      </w:r>
      <w:r>
        <w:rPr>
          <w:rFonts w:ascii="Times New Roman;Times;serif" w:hAnsi="Times New Roman;Times;serif"/>
          <w:b/>
          <w:sz w:val="20"/>
        </w:rPr>
        <w:t>Conversion Rate</w:t>
      </w:r>
      <w:r>
        <w:rPr>
          <w:rFonts w:ascii="Times New Roman;Times;serif" w:hAnsi="Times New Roman;Times;serif"/>
          <w:sz w:val="20"/>
        </w:rPr>
        <w:t>”) per US$1,000 principal amount of Notes (subject to, and in accordance with, the settlement provisions of Section 14.02, the “</w:t>
      </w:r>
      <w:r>
        <w:rPr>
          <w:rFonts w:ascii="Times New Roman;Times;serif" w:hAnsi="Times New Roman;Times;serif"/>
          <w:b/>
          <w:sz w:val="20"/>
        </w:rPr>
        <w:t>Conversion Obligation</w:t>
      </w:r>
      <w:r>
        <w:rPr>
          <w:rFonts w:ascii="Times New Roman;Times;serif" w:hAnsi="Times New Roman;Times;serif"/>
          <w:sz w:val="20"/>
        </w:rPr>
        <w:t>”). For the avoidance of doubt, “Conversion Rate” as of a particular date without setting forth a particular time on such date shall mean the Conversion Rate immediately after the close of business on such date.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 xml:space="preserve">Section 14.02 </w:t>
      </w:r>
      <w:r>
        <w:rPr>
          <w:rFonts w:ascii="Times New Roman;Times;serif" w:hAnsi="Times New Roman;Times;serif"/>
          <w:i/>
          <w:sz w:val="20"/>
        </w:rPr>
        <w:t>Conversion Procedure; Settlement Upon Conversion</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Subject to this Section 14.02, Section 14.03(b) and Section 14.07(a), upon conversion of any Note, the Company shall pay or deliver, as the case may be, to the converting Holder, in respect of each US$1,000 principal amount of Notes being converted, cash (“</w:t>
      </w:r>
      <w:r>
        <w:rPr>
          <w:rFonts w:ascii="Times New Roman;Times;serif" w:hAnsi="Times New Roman;Times;serif"/>
          <w:b/>
          <w:sz w:val="20"/>
        </w:rPr>
        <w:t>Cash Settlement</w:t>
      </w:r>
      <w:r>
        <w:rPr>
          <w:rFonts w:ascii="Times New Roman;Times;serif" w:hAnsi="Times New Roman;Times;serif"/>
          <w:sz w:val="20"/>
        </w:rPr>
        <w:t>”), ADSs together with cash, if applicable, in lieu of delivering any fractional ADSs (“</w:t>
      </w:r>
      <w:r>
        <w:rPr>
          <w:rFonts w:ascii="Times New Roman;Times;serif" w:hAnsi="Times New Roman;Times;serif"/>
          <w:b/>
          <w:sz w:val="20"/>
        </w:rPr>
        <w:t>Fractional ADSs</w:t>
      </w:r>
      <w:r>
        <w:rPr>
          <w:rFonts w:ascii="Times New Roman;Times;serif" w:hAnsi="Times New Roman;Times;serif"/>
          <w:sz w:val="20"/>
        </w:rPr>
        <w:t>”) (in accordance with subsection (j) of this Section 14.02 (“</w:t>
      </w:r>
      <w:r>
        <w:rPr>
          <w:rFonts w:ascii="Times New Roman;Times;serif" w:hAnsi="Times New Roman;Times;serif"/>
          <w:b/>
          <w:sz w:val="20"/>
        </w:rPr>
        <w:t>Physical Settlement</w:t>
      </w:r>
      <w:r>
        <w:rPr>
          <w:rFonts w:ascii="Times New Roman;Times;serif" w:hAnsi="Times New Roman;Times;serif"/>
          <w:sz w:val="20"/>
        </w:rPr>
        <w:t>”)) or a combination of cash and ADSs, together with cash, if applicable, in lieu of delivering any Fractional ADS in accordance with subsection (j) of this Section 14.02 (“</w:t>
      </w:r>
      <w:r>
        <w:rPr>
          <w:rFonts w:ascii="Times New Roman;Times;serif" w:hAnsi="Times New Roman;Times;serif"/>
          <w:b/>
          <w:sz w:val="20"/>
        </w:rPr>
        <w:t>Combination Settlement</w:t>
      </w:r>
      <w:r>
        <w:rPr>
          <w:rFonts w:ascii="Times New Roman;Times;serif" w:hAnsi="Times New Roman;Times;serif"/>
          <w:sz w:val="20"/>
        </w:rPr>
        <w:t>”), at its election, as set forth in this Section 14.02.</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All conversions for which the relevant Conversion Date occurs after the Company’s issuance of a Redemption Notice with respect to the Notes and prior to the close of business on the second Scheduled Trading Day prior to the related Redemption Date, as applicable, and all conversions for which the relevant Conversion Date occurs on or after the 30</w:t>
      </w:r>
      <w:r>
        <w:rPr>
          <w:rFonts w:ascii="Times New Roman;Times;serif" w:hAnsi="Times New Roman;Times;serif"/>
          <w:sz w:val="15"/>
        </w:rPr>
        <w:t>th</w:t>
      </w:r>
      <w:r>
        <w:rPr>
          <w:rFonts w:ascii="Times New Roman;Times;serif" w:hAnsi="Times New Roman;Times;serif"/>
          <w:sz w:val="20"/>
        </w:rPr>
        <w:t xml:space="preserve"> Scheduled Trading Day immediately preceding the Maturity Date will be settled using the same Settlement Method.</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Except for any conversions for which the relevant Conversion Date occurs after the Company’s issuance of a Redemption Notice with respect to the Notes but prior to the close of business on the second Scheduled Trading Day prior to the related Redemption Date, as applicable, and any conversions for which the relevant Conversion Date occurs on or after the 30</w:t>
      </w:r>
      <w:r>
        <w:rPr>
          <w:rFonts w:ascii="Times New Roman;Times;serif" w:hAnsi="Times New Roman;Times;serif"/>
          <w:sz w:val="15"/>
        </w:rPr>
        <w:t xml:space="preserve">th </w:t>
      </w:r>
      <w:r>
        <w:rPr>
          <w:rFonts w:ascii="Times New Roman;Times;serif" w:hAnsi="Times New Roman;Times;serif"/>
          <w:sz w:val="20"/>
        </w:rPr>
        <w:t>Scheduled Trading Day immediately preceding the Maturity Date, the Company shall use the same Settlement Method for all conversions with the same Conversion Date, but the Company shall not have any obligation to use the same Settlement Method with respect to conversions with different Conversion Dates.</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If, in respect of any Conversion Date (or, in the case of any conversions for which the relevant Conversion Date occurs after the date of issuance of a Redemption Notice with respect to the Notes and prior to the close of business on the second Scheduled Trading Day prior to the related Redemption Date, as applicable, in such Redemption Notice or on or after the 30</w:t>
      </w:r>
      <w:r>
        <w:rPr>
          <w:rFonts w:ascii="Times New Roman;Times;serif" w:hAnsi="Times New Roman;Times;serif"/>
          <w:sz w:val="15"/>
        </w:rPr>
        <w:t>th</w:t>
      </w:r>
      <w:r>
        <w:rPr>
          <w:rFonts w:ascii="Times New Roman;Times;serif" w:hAnsi="Times New Roman;Times;serif"/>
          <w:sz w:val="20"/>
        </w:rPr>
        <w:t xml:space="preserve"> Scheduled Trading Day immediately preceding the Maturity Date, no later than the 31</w:t>
      </w:r>
      <w:r>
        <w:rPr>
          <w:rFonts w:ascii="Times New Roman;Times;serif" w:hAnsi="Times New Roman;Times;serif"/>
          <w:sz w:val="15"/>
        </w:rPr>
        <w:t>st</w:t>
      </w:r>
      <w:r>
        <w:rPr>
          <w:rFonts w:ascii="Times New Roman;Times;serif" w:hAnsi="Times New Roman;Times;serif"/>
          <w:sz w:val="20"/>
        </w:rPr>
        <w:t xml:space="preserve"> Schedule Trading Day immediately preceding the Maturity Date, as the case may be), the Company elects a Settlement Method, the Company shall deliver a written notice (the “</w:t>
      </w:r>
      <w:r>
        <w:rPr>
          <w:rFonts w:ascii="Times New Roman;Times;serif" w:hAnsi="Times New Roman;Times;serif"/>
          <w:b/>
          <w:sz w:val="20"/>
        </w:rPr>
        <w:t>Settlement Notice</w:t>
      </w:r>
      <w:r>
        <w:rPr>
          <w:rFonts w:ascii="Times New Roman;Times;serif" w:hAnsi="Times New Roman;Times;serif"/>
          <w:sz w:val="20"/>
        </w:rPr>
        <w:t>”) of the relevant Settlement Method in respect of such Conversion Date (or such period, as the case may be) to converting Holders, the Trustee and the Conversion Agent (if other than the Trustee) no later than the close of business on the second Trading Day immediately following the relevant Conversion Date (or, in the case of any conversions for which the relevant Conversion Date occurs after the date of issuance of a Redemption Notice with respect to the Notes and prior to the close of business on the second Scheduled Trading Day prior to the related Redemption Date, as applicable, in such Redemption Notice or on or after the 30</w:t>
      </w:r>
      <w:r>
        <w:rPr>
          <w:rFonts w:ascii="Times New Roman;Times;serif" w:hAnsi="Times New Roman;Times;serif"/>
          <w:sz w:val="15"/>
        </w:rPr>
        <w:t>th</w:t>
      </w:r>
      <w:r>
        <w:rPr>
          <w:rFonts w:ascii="Times New Roman;Times;serif" w:hAnsi="Times New Roman;Times;serif"/>
          <w:sz w:val="20"/>
        </w:rPr>
        <w:t xml:space="preserve"> Scheduled Trading Day immediately preceding the Maturity Date, no later than the 31</w:t>
      </w:r>
      <w:r>
        <w:rPr>
          <w:rFonts w:ascii="Times New Roman;Times;serif" w:hAnsi="Times New Roman;Times;serif"/>
          <w:sz w:val="15"/>
        </w:rPr>
        <w:t>st</w:t>
      </w:r>
      <w:r>
        <w:rPr>
          <w:rFonts w:ascii="Times New Roman;Times;serif" w:hAnsi="Times New Roman;Times;serif"/>
          <w:sz w:val="20"/>
        </w:rPr>
        <w:t xml:space="preserve"> Scheduled Trading Day immediately preceding the Maturity Date) (in each case, the “</w:t>
      </w:r>
      <w:r>
        <w:rPr>
          <w:rFonts w:ascii="Times New Roman;Times;serif" w:hAnsi="Times New Roman;Times;serif"/>
          <w:b/>
          <w:sz w:val="20"/>
        </w:rPr>
        <w:t>Settlement Method Election</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b/>
          <w:sz w:val="20"/>
        </w:rPr>
        <w:t>Deadline</w:t>
      </w:r>
      <w:r>
        <w:rPr>
          <w:rFonts w:ascii="Times New Roman;Times;serif" w:hAnsi="Times New Roman;Times;serif"/>
          <w:sz w:val="20"/>
        </w:rPr>
        <w:t>”). If the Company does not elect a Settlement Method prior to the deadline set forth in the immediately preceding sentence, the Company shall no longer have the right to elect Cash Settlement or Physical Settlement and the Company shall be deemed to have elected Physical Settlement in respect of its Conversion Obligation (such settlement method, the “</w:t>
      </w:r>
      <w:r>
        <w:rPr>
          <w:rFonts w:ascii="Times New Roman;Times;serif" w:hAnsi="Times New Roman;Times;serif"/>
          <w:b/>
          <w:sz w:val="20"/>
        </w:rPr>
        <w:t>Default Settlement Method</w:t>
      </w:r>
      <w:r>
        <w:rPr>
          <w:rFonts w:ascii="Times New Roman;Times;serif" w:hAnsi="Times New Roman;Times;serif"/>
          <w:sz w:val="20"/>
        </w:rPr>
        <w:t>” initially elected by the Company). Such Settlement Notice shall specify the relevant Settlement Method and in the case of an election of Combination Settlement, the relevant Settlement Notice shall indicate the Specified Dollar Amount per US$1,000 principal amount of Notes. If the Company delivers a Settlement Notice electing Combination Settlement in respect of its Conversion Obligation but does not indicate a Specified Dollar Amount per US$1,000 principal amount of Notes in such Settlement Notice, the Specified Dollar Amount per US$1,000 principal amount of Notes shall be deemed to be US$1,000.</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The Company may, by written notice to Holders, the Trustee and the Conversion Agent (if other than the Trustee), prior to the 30</w:t>
      </w:r>
      <w:r>
        <w:rPr>
          <w:rFonts w:ascii="Times New Roman;Times;serif" w:hAnsi="Times New Roman;Times;serif"/>
          <w:sz w:val="15"/>
        </w:rPr>
        <w:t>th</w:t>
      </w:r>
      <w:r>
        <w:rPr>
          <w:rFonts w:ascii="Times New Roman;Times;serif" w:hAnsi="Times New Roman;Times;serif"/>
          <w:sz w:val="20"/>
        </w:rPr>
        <w:t xml:space="preserve"> Scheduled Trading Day immediately preceding the Maturity Date, change the Default Settlement Method or elect to irrevocably fix the Settlement Method to any Settlement Method that the Company is then permitted to elect, including Combination Settlement with a Specified Dollar Amount per $1,000 principal amount of Notes of $1,000 or with an ability to continue to set the Specified Dollar Amount per $1,000 principal amount of Notes at or above any specific amount set forth in such election notice, that will apply to all Note conversions with a Conversion Date that is on or after the date the Company sends such notice. If the Company changes the Default Settlement Method or elects to irrevocably fix the Settlement Method, in either case, to Combination Settlement with an ability to continue to set the Specified Dollar Amount per $1,000 principal amount of Notes at or above a specified amount, the Company shall, after the date of such change or election, as the case may be, inform Holders converting their Notes, the Trustee and the Conversion Agent (if other than the Trustee) in writing of such Specified Dollar Amount in respect of the relevant conversion or conversions no later than the relevant Settlement Method Election Deadline for such conversion or conversions, or, if the Company does not timely inform the Holders, the Trustee and the Conversion Agent of the Specified Dollar Amount, such Specified Dollar Amount shall be the specific amount set forth in the change or election notice or, if no specific amount was set forth in the change or election notice, such Specified Dollar Amount shall be deemed to be $1,000 per $1,000 principal amount of Notes. If the Company changes the Default Settlement Method or irrevocably fixes the Settlement Method, then the Company shall concurrently either post the Default Settlement Method or fixed Settlement Method, as applicable, on the Company’s website or disclose the same in a current report on Form 6-K (or any successor form) that is filed with the Commission. Notwithstanding the foregoing, no such change in the Default Settlement Method or irrevocable election will affect any Settlement Method theretofore elected (or deemed to be elected) with respect to any Conversion Date pursuant to this Section 14.02. For the avoidance of doubt, such change or election (as the case may be), if made, will be effective without the need to amend this Indenture or the Notes, including pursuant to Section 10.02(a). However, the Company may nonetheless choose to execute such an amendment at the Company’s option.</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Subject to Section 14.03 and Section 14.04, the cash, ADSs or a combination of cash and ADSs, as applicable, in respect of any conversion of Notes (the “</w:t>
      </w:r>
      <w:r>
        <w:rPr>
          <w:rFonts w:ascii="Times New Roman;Times;serif" w:hAnsi="Times New Roman;Times;serif"/>
          <w:b/>
          <w:sz w:val="20"/>
        </w:rPr>
        <w:t>Settlement Amount</w:t>
      </w:r>
      <w:r>
        <w:rPr>
          <w:rFonts w:ascii="Times New Roman;Times;serif" w:hAnsi="Times New Roman;Times;serif"/>
          <w:sz w:val="20"/>
        </w:rPr>
        <w:t>”) shall be computed as follows:</w:t>
      </w:r>
    </w:p>
    <w:p>
      <w:pPr>
        <w:pStyle w:val="TextBody"/>
        <w:bidi w:val="0"/>
        <w:spacing w:before="0" w:after="200"/>
        <w:ind w:left="1440" w:right="0" w:firstLine="720"/>
        <w:jc w:val="left"/>
        <w:rPr>
          <w:rFonts w:ascii="Times New Roman;Times;serif" w:hAnsi="Times New Roman;Times;serif"/>
          <w:sz w:val="20"/>
        </w:rPr>
      </w:pPr>
      <w:r>
        <w:rPr>
          <w:rFonts w:ascii="Times New Roman;Times;serif" w:hAnsi="Times New Roman;Times;serif"/>
          <w:sz w:val="20"/>
        </w:rPr>
        <w:t>(A)if the Company elects (or is deemed to have elected) to satisfy its Conversion Obligation in respect of such conversion by Physical Settlement, the Company shall deliver to the converting Holder in respect of each US$1,000 principal amount of Notes being converted a number of ADSs equal to the Conversion Rate in effect on the Conversion Date for such conversion;</w:t>
      </w:r>
    </w:p>
    <w:p>
      <w:pPr>
        <w:pStyle w:val="TextBody"/>
        <w:bidi w:val="0"/>
        <w:spacing w:before="0" w:after="200"/>
        <w:ind w:left="1440" w:right="0" w:firstLine="720"/>
        <w:jc w:val="left"/>
        <w:rPr>
          <w:rFonts w:ascii="Times New Roman;Times;serif" w:hAnsi="Times New Roman;Times;serif"/>
          <w:sz w:val="20"/>
        </w:rPr>
      </w:pPr>
      <w:r>
        <w:rPr>
          <w:rFonts w:ascii="Times New Roman;Times;serif" w:hAnsi="Times New Roman;Times;serif"/>
          <w:sz w:val="20"/>
        </w:rPr>
        <w:t>(B)if the Company elects (or is deemed to have elected) to satisfy its Conversion Obligation in respect of such conversion by Cash Settlement, the Company shall pay to the converting Holder in respect of each US$1,000 principal amount of Notes being converted cash in an amount equal to the sum of the Daily Conversion Values for each of the 20 consecutive Trading Days during the related Observation Period; and</w:t>
      </w:r>
    </w:p>
    <w:p>
      <w:pPr>
        <w:pStyle w:val="TextBody"/>
        <w:bidi w:val="0"/>
        <w:spacing w:before="0" w:after="200"/>
        <w:ind w:left="1440" w:right="0" w:firstLine="720"/>
        <w:jc w:val="left"/>
        <w:rPr>
          <w:rFonts w:ascii="Times New Roman;Times;serif" w:hAnsi="Times New Roman;Times;serif"/>
          <w:sz w:val="20"/>
        </w:rPr>
      </w:pPr>
      <w:r>
        <w:rPr>
          <w:rFonts w:ascii="Times New Roman;Times;serif" w:hAnsi="Times New Roman;Times;serif"/>
          <w:sz w:val="20"/>
        </w:rPr>
        <w:t>(C)if the Company elects (or is deemed to have elected) to satisfy its Conversion Obligation in respect of such conversion by Combination Settlement, the Company shall pay or deliver, as the case may be, in respect of each US$1,000 principal amount of Notes being converted, a Settlement Amount equal to the sum of the Daily Settlement Amounts for each of the 20 consecutive Trading Days during the related Observation Period.</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The Daily Settlement Amounts (if applicable) and the Daily Conversion Values (if applicable) shall be determined by the Company promptly following the last day of the Observation Period. Promptly after such determination of the Daily Settlement Amounts or the Daily Conversion Values, as the case may be, and the amount of cash payable in lieu of delivering any Fractional ADS, the Company shall notify the Trustee and the Conversion Agent (if other than the Trustee) in writing of the Daily Settlement Amounts or the Daily Conversion Values, as the case may be, and the amount of cash payable in lieu of delivering Fractional ADSs. The Trustee and the Conversion Agent (if other than the Trustee) shall have no responsibility for any such determination.</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w:t>
      </w:r>
      <w:r>
        <w:rPr>
          <w:rFonts w:ascii="Times New Roman;Times;serif" w:hAnsi="Times New Roman;Times;serif"/>
          <w:sz w:val="20"/>
        </w:rPr>
        <w:t>The Company covenants that it has reserved and will keep available at all times a number of Ordinary Shares corresponding to the maximum number of ADSs deliverable upon conversion of the Notes, plus any additional ADSs deliverable pursuant to Section 14.03, assuming Physical Settlement applies to each conversion (such ADSs, “</w:t>
      </w:r>
      <w:r>
        <w:rPr>
          <w:rFonts w:ascii="Times New Roman;Times;serif" w:hAnsi="Times New Roman;Times;serif"/>
          <w:b/>
          <w:sz w:val="20"/>
        </w:rPr>
        <w:t>Make-Whole ADS</w:t>
      </w:r>
      <w:r>
        <w:rPr>
          <w:rFonts w:ascii="Times New Roman;Times;serif" w:hAnsi="Times New Roman;Times;serif"/>
          <w:sz w:val="20"/>
        </w:rPr>
        <w:t>”). The Company also covenants that it will obtain approval to list (i) the maximum number of ADSs deliverable upon conversion of the Notes (assuming Physical Settlement applies to each conversion and excluding any Make-Whole ADSs) on the New York Stock Exchange, (ii) the Ordinary Shares represented by such maximum number of ADSs on the Hong Kong Stock Exchange and (iii) the same number of Ordinary Shares on the Singapore Exchange (in each case, where applicable, subject to official notice of issuance upon conversion of the notes). Prior to the scheduled delivery of any Make- Whole ADSs upon conversion of the Notes, the Company will obtain approval to list (i) such Make-Whole ADSs on the New York Stock Exchange, (ii) the Ordinary Shares</w:t>
      </w:r>
    </w:p>
    <w:p>
      <w:pPr>
        <w:pStyle w:val="TextBody"/>
        <w:bidi w:val="0"/>
        <w:spacing w:before="0" w:after="200"/>
        <w:ind w:left="880" w:right="0" w:firstLine="720"/>
        <w:jc w:val="both"/>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represented by such Make-whole ADSs on the Hong Kong Stock Exchange and (iii) the Ordinary Shares represented by such Make-whole ADSs on the Singapore Exchange (in each case, where applicable, subject to official notice of issuance upon conversion of the notes).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Subject to Section 14.02(e), before any Holder of a Note shall be entitled to convert a Note as set forth above, such Holder shall (i) in the case of a Global Note, (1) subject to the immediately succeeding Clause (3), comply with the procedures of the Depositary in effect at that time for converting a beneficial interest in a Global Note, and the procedures agreed between the Company and the ADS Depositary with respect to any ADSs issued upon conversion of the Notes prior to the Resale Restriction Termination Date, (2) if required, pay funds equal to interest, if any, payable on the next Interest Payment Date to which such Holder is not entitled as set forth in Section 14.02(h), and (3) prior to the Resale Restriction Termination Date, complete, manually sign and deliver a duly completed irrevocable notice to the Conversion Agent, the Company and the ADS Depositary as set forth in the Form of Notice of Conversion (or a facsimile thereof) (a “</w:t>
      </w:r>
      <w:r>
        <w:rPr>
          <w:rFonts w:ascii="Times New Roman;Times;serif" w:hAnsi="Times New Roman;Times;serif"/>
          <w:b/>
          <w:sz w:val="20"/>
        </w:rPr>
        <w:t>Notice of Conversion</w:t>
      </w:r>
      <w:r>
        <w:rPr>
          <w:rFonts w:ascii="Times New Roman;Times;serif" w:hAnsi="Times New Roman;Times;serif"/>
          <w:sz w:val="20"/>
        </w:rPr>
        <w:t>”) and (ii) in the case of a Physical Note (1) complete, manually sign and deliver a duly completed irrevocable Notice of Conversion to the Conversion Agent at the specified office of the Conversion Agent, the Company and the ADS Depositary, and state in writing therein the principal amount of Notes to be converted and the name or names (with addresses) in which such Holder wishes the certificate or certificates for any ADSs to be delivered upon settlement of the Conversion Obligation to be registered, (2) surrender such Notes, duly endorsed to the Company or in blank (and accompanied by appropriate endorsement and transfer documents), at the specified office of the Trustee, (3) if required, furnish appropriate endorsements and transfer documents and (4) if required, pay funds equal to interest, if any, payable on the next Interest Payment Date to which such Holder is not entitled as set forth in Section 14.02(h). The Trustee (and if different, the Conversion Agent) shall notify the Company of any conversion pursuant to this Article 14 on the Conversion Date, or promptly following instructions for such conversion. No Notice of Conversion with respect to any Notes may be delivered and no Notes may be surrendered by a Holder for conversion thereof if such Holder has also delivered a Repurchase Notice or Fundamental Change Repurchase Notice to the Company in respect of such Notes and has not validly withdrawn such Repurchase Notice or Fundamental Change Repurchase Notice, as the case may be, in accordance with Section 15.03. The delivery of the ADSs or any cash in lieu of Fractional ADSs by the ADS Depositary to Holders upon conversion of their Notes or their designated transferees will be governed by the terms of the Unrestricted Deposit Agreement or the Restricted Deposit Agreement, as applicable, the Procedures Letter and by other procedures agreed between the Company and the ADS Depositary with respect to any ADSs issued upon conversion of the Notes.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By converting a beneficial interest in a Global Note into ADSs, the Holder is deemed to represent to the Company and to the ADS Depositary that such Holder is not an “affiliate” (as defined in Rule 144) of the Company and has not been an “affiliate” of the Company during the three months immediately preceding the Conversion Date.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 Note shall be deemed to have been converted immediately prior to the close of business on the date (the “</w:t>
      </w:r>
      <w:r>
        <w:rPr>
          <w:rFonts w:ascii="Times New Roman;Times;serif" w:hAnsi="Times New Roman;Times;serif"/>
          <w:b/>
          <w:sz w:val="20"/>
        </w:rPr>
        <w:t>Conversion Date</w:t>
      </w:r>
      <w:r>
        <w:rPr>
          <w:rFonts w:ascii="Times New Roman;Times;serif" w:hAnsi="Times New Roman;Times;serif"/>
          <w:sz w:val="20"/>
        </w:rPr>
        <w:t xml:space="preserve">”) that the Holder has complied with the requirements set forth in subsection (b) above. Except as set forth in Section 14.03(b) and Section 14.07(a), the Company shall pay or deliver, as the case may be, the consideration due in respect of the Conversion Obligation on the third Business Day immediately following the relevant Conversion Date, if the Company elects Physical Settlement, or on the third Business Day immediately following the last Trading Day of the relevant Observation Period, in the case of any other Settlement Method; </w:t>
      </w:r>
      <w:r>
        <w:rPr>
          <w:rFonts w:ascii="Times New Roman;Times;serif" w:hAnsi="Times New Roman;Times;serif"/>
          <w:i/>
          <w:sz w:val="20"/>
        </w:rPr>
        <w:t xml:space="preserve">provided </w:t>
      </w:r>
      <w:r>
        <w:rPr>
          <w:rFonts w:ascii="Times New Roman;Times;serif" w:hAnsi="Times New Roman;Times;serif"/>
          <w:sz w:val="20"/>
        </w:rPr>
        <w:t>that in respect of (x) all conversions for which the relevant Conversion Date occurs after the issuance of a Redemption Notice by the Company with respect to the Notes and prior to the close of business on the second Scheduled Trading Day prior to the related Redemption Date (as the case may be), (y) all conversions for which the relevant Conversion Date occurs on or after the 30</w:t>
      </w:r>
      <w:r>
        <w:rPr>
          <w:rFonts w:ascii="Times New Roman;Times;serif" w:hAnsi="Times New Roman;Times;serif"/>
          <w:sz w:val="15"/>
        </w:rPr>
        <w:t>th</w:t>
      </w:r>
      <w:r>
        <w:rPr>
          <w:rFonts w:ascii="Times New Roman;Times;serif" w:hAnsi="Times New Roman;Times;serif"/>
          <w:sz w:val="20"/>
        </w:rPr>
        <w:t xml:space="preserve"> Scheduled Trading Days immediately preceding the Maturity Date, if the Company elect Combination Settlement or Cash Settlement, the Company shall pay or deliver, as the case may be, the consideration due in respect of the Conversion Obligation on the second Business Day immediately following the last Trading Day of the relevant Observation Period and (z) all conversions for which the relevant Conversion Date occurs on or after the Interest Payment Date immediately preceding the Maturity Date, if the Company elects Physical Settlement, the Company shall pay or deliver, as the case may be, the consideration due in respect of the Conversion Obligation on the Maturity Date, </w:t>
      </w:r>
      <w:r>
        <w:rPr>
          <w:rFonts w:ascii="Times New Roman;Times;serif" w:hAnsi="Times New Roman;Times;serif"/>
          <w:i/>
          <w:sz w:val="20"/>
        </w:rPr>
        <w:t xml:space="preserve">provided further </w:t>
      </w:r>
      <w:r>
        <w:rPr>
          <w:rFonts w:ascii="Times New Roman;Times;serif" w:hAnsi="Times New Roman;Times;serif"/>
          <w:sz w:val="20"/>
        </w:rPr>
        <w:t>that, solely for the purposes of this Section 14.02(c), the term “Business Day” shall also include days on which banking institutions in the Cayman Islands are authorized or obligated by law or executive order to close. If any ADSs are due to a converting Holder, subject to the Unrestricted Deposit Agreement, the Restricted Deposit Agreement and the Procedures Letter, as applicable, if the Conversion Date occurs prior to the Restriction Termination Date, the Company shall issue or cause to be issued, and deliver (if applicable) to such Holder, or such Holder’s nominee or nominees, the full number of ADSs to which such Holder shall be entitled in book-entry format through the Depositary, in each case, in satisfaction of the Company’s Conversion Obligation.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In case any Note shall be surrendered for partial conversion, the Company shall execute and instruct the Trustee who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If a Holder submits a Note for conversion, the Company shall pay any documentary, stamp, issue, transfer or similar tax due on the delivery of any ADSs upon conversion of the Notes (including due on the issuance of the Ordinary Shares represented by such ADSs), unless the tax is due because the Holder requests such ADSs to be issued in a name other than the Holder’s name, in which case the Holder shall pay that tax. The Company may refuse to deliver the certificates representing the ADSs being issued in a name other than the Holder’s name until the Company or the ADS Depositary, as applicable, receives a sum sufficient to pay any tax that is due by such Holder in accordance with the immediately preceding sentence. The Company shall also pay the ADS Depositary’s fees for the issuance of all ADSs (if any) deliverable upon conversion of the Notes.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Except as provided in Section 14.04, no adjustment shall be made for dividends on any ADSs delivered upon the conversion of any Note as provided in this Article 14.</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Upon the conversion of an interest in a Global Note, the Trustee shall make a notation on such Global Note as to the reduction in the principal amount represented thereby. The Company shall notify the Trustee in writing of any conversion of Notes effected through any Conversion Agent other than the Trustee.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Upon conversion, a Holder shall not receive any separate cash payment for accrued and unpaid interest, if any, except as set forth below and the Company will not adjust the Conversion Rate for any accrued and unpaid interest on the Notes. The Company’s settlement of the Conversion Obligation shall be deemed to satisfy in full its obligation to pay the principal amount of the Note and accrued and unpaid interest, if any, to, but not including, the relevant Conversion Date. As a result, accrued and unpaid interest, if any, to, but not including, the relevant Conversion Date shall be deemed to be paid in full rather than cancelled, extinguished or forfeited. Upon a conversion of Notes into a combination of cash and ADSs, accrued and unpaid interest, if any, will be deemed to be paid first out of the cash paid upon such conversion. Notwithstanding the foregoing, if Notes are converted after the close of business on a Regular Record Date and prior to the open of business on the immediately following Interest Payment Date, Holders of such Notes as of the close of business on such Regular Record Date will receive the full amount of interest, if any, payable on such Notes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interest, if any, payable on the Notes so converted (regardless of whether the converting Holder was the holder of record on the corresponding Regular Record Date); provided that no such payment shall be required (1) for conversions following the Regular Record Date immediately preceding the Maturity Date; (2) if the Company has specified a Redemption Date that is after a Regular Record Date and on or prior to the third Business Day immediately succeeding the corresponding Interest Payment Date; (3) if the Company has specified a Fundamental Change Repurchase Date that is after a Regular Record Date and on or prior to the third Business Day immediately succeeding the corresponding Interest Payment Date; or (4) to the extent of any Defaulted Amounts, if any Defaulted Amounts exists at the time of conversion with respect to such Note. Neither the Trustee nor the Conversion Agent (if other than the Trustee) will have any duty to determine or verify determination by the Company of whether any of the conditions to conversion have been satisfied.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Person in whose name the certificate for any ADSs shall be delivered upon conversion is registered shall be treated as a holder of record of such ADSs for purposes of this Indenture as of the close of business on the relevant Conversion Date (if the Company elects to satisfy the related Conversion Obligation by Physical Settlement) or the last Trading Day of the relevant Observation Period (if the Company elects to satisfy the related Conversion Obligation by Combination Settlement), as the case may be. Upon a conversion of Notes, such Person shall no longer be a Holder of such Notes surrendered for conversion.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The Company shall not issue any Fractional ADS upon conversion of the Notes and shall instead pay cash in lieu of delivering any Fractional ADS deliverable upon conversion based on the Daily VWAP for the relevant Conversion Date (in the case of Physical Settlement) or based on the Daily VWAP for the last Trading Day of the relevant Observation Period (in the case of Combination Settlement). For each Note surrendered for conversion, if the Company has elected (or is deemed to have elected) Combination Settlement, the full number of ADSs that shall be issued upon conversion thereof shall be computed on the basis of the aggregate Daily Settlement Amounts for the relevant Observation Period and any Fractional ADSs remaining after such computation shall be paid in cash.</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In accordance with the Unrestricted Deposit Agreement or the Restricted Deposit Agreement, as applicable, and the Procedures Letter, the Company shall issue to the ADS Custodian such Ordinary Shares required for the issuance of the ADSs upon conversion of the Notes, plus written delivery instructions (if requested by the ADS Depositary or the ADS Custodian) for such ADSs, shall deliver such legal opinions and any other information or documentation and shall comply with the Unrestricted Deposit Agreement and the Restricted Deposit Agreement (as the case may be) and the Procedures Letter, in each case, as required by the ADS Depositary or the ADS Custodian in connection with each issue of Ordinary Shares and issuance and delivery of ADSs.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w:t>
      </w:r>
      <w:r>
        <w:rPr>
          <w:rFonts w:ascii="Times New Roman;Times;serif" w:hAnsi="Times New Roman;Times;serif"/>
          <w:i/>
          <w:sz w:val="20"/>
        </w:rPr>
        <w:t>RESERVED</w:t>
      </w:r>
      <w:r>
        <w:rPr>
          <w:rFonts w:ascii="Times New Roman;Times;serif" w:hAnsi="Times New Roman;Times;serif"/>
          <w:sz w:val="20"/>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Section 14.03 </w:t>
      </w:r>
      <w:r>
        <w:rPr>
          <w:rFonts w:ascii="Times New Roman;Times;serif" w:hAnsi="Times New Roman;Times;serif"/>
          <w:i/>
          <w:sz w:val="20"/>
        </w:rPr>
        <w:t>Increased Conversion Rate Applicable to Certain Notes Surrendered in Connection with Make-Whole Fundamental Changes</w:t>
      </w:r>
      <w:r>
        <w:rPr>
          <w:rFonts w:ascii="Times New Roman;Times;serif" w:hAnsi="Times New Roman;Times;serif"/>
          <w:sz w:val="20"/>
        </w:rPr>
        <w:t>. (a) If a Make-Whole Fundamental Change occurs prior to the Maturity Date and a Holder elects to convert its Notes in connection with such Make-Whole Fundamental Change, the Company shall, under the circumstances described below, increase the Conversion Rate for the Notes so surrendered for conversion by a number of additional ADSs (the “</w:t>
      </w:r>
      <w:r>
        <w:rPr>
          <w:rFonts w:ascii="Times New Roman;Times;serif" w:hAnsi="Times New Roman;Times;serif"/>
          <w:b/>
          <w:sz w:val="20"/>
        </w:rPr>
        <w:t>Additional ADSs</w:t>
      </w:r>
      <w:r>
        <w:rPr>
          <w:rFonts w:ascii="Times New Roman;Times;serif" w:hAnsi="Times New Roman;Times;serif"/>
          <w:sz w:val="20"/>
        </w:rPr>
        <w:t xml:space="preserve">”), as described below. A conversion of Notes shall be deemed for these purposes to be “in connection with” such Make-Whole Fundamental Change if the relevant Notice of Conversion is received by the Conversion Agent from, and including, the Effective Date of the Make-Whole Fundamental Change up to, and including, the second Business Day immediately prior to the related Fundamental Change Repurchase Date (or, in the case of a Make-Whole Fundamental Change that would have been a Fundamental Change but for the </w:t>
      </w:r>
      <w:r>
        <w:rPr>
          <w:rFonts w:ascii="Times New Roman;Times;serif" w:hAnsi="Times New Roman;Times;serif"/>
          <w:i/>
          <w:sz w:val="20"/>
        </w:rPr>
        <w:t xml:space="preserve">proviso </w:t>
      </w:r>
      <w:r>
        <w:rPr>
          <w:rFonts w:ascii="Times New Roman;Times;serif" w:hAnsi="Times New Roman;Times;serif"/>
          <w:sz w:val="20"/>
        </w:rPr>
        <w:t>in clause (b) of the definition thereof, the 35th Trading Day immediately following the Effective Date of such Make-Whole Fundamental Change). The Company shall provide written notification to Holders and the Trustee (and the Conversion Agent, if other than the Trustee) of the Effective Date of any Make-Whole Fundamental Change and issue a press release announcing such Effective Date no later than five Business Days after such Effective Date.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Upon surrender of Notes for conversion in connection with a Make-Whole Fundamental Change, the Company shall, at its option, satisfy the related Conversion Obligation by Physical Settlement, Cash Settlement or Combination Settlement in accordance with Section 14.02;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xml:space="preserve">, that if, at the effective time of a Make-Whole Fundamental Change described in clause (b) of the definition of Fundamental Change, the Reference Property following such Make-Whole Fundamental Change is composed entirely of cash, for any conversion of Notes following the Effective Date of such Make-Whole Fundamental Change, the Conversion Obligation shall be calculated based solely on the ADS Price for the transaction and shall be deemed to be an amount of cash per US$1,000 principal amount of converted Notes equal to the Conversion Rate (including any adjustment for Additional ADSs), </w:t>
      </w:r>
      <w:r>
        <w:rPr>
          <w:rFonts w:ascii="Times New Roman;Times;serif" w:hAnsi="Times New Roman;Times;serif"/>
          <w:i/>
          <w:sz w:val="20"/>
        </w:rPr>
        <w:t xml:space="preserve">multiplied by </w:t>
      </w:r>
      <w:r>
        <w:rPr>
          <w:rFonts w:ascii="Times New Roman;Times;serif" w:hAnsi="Times New Roman;Times;serif"/>
          <w:sz w:val="20"/>
        </w:rPr>
        <w:t>such ADS Price. In such event, the Conversion Obligation will be paid to holders in cash on the third Business Day following the Conversion Date.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number of Additional ADSs, if any, by which the Conversion Rate shall be increased shall be determined by reference to the table below, based on the date on which the Make-Whole Fundamental Change occurs or becomes effective (the “</w:t>
      </w:r>
      <w:r>
        <w:rPr>
          <w:rFonts w:ascii="Times New Roman;Times;serif" w:hAnsi="Times New Roman;Times;serif"/>
          <w:b/>
          <w:sz w:val="20"/>
        </w:rPr>
        <w:t>Effective Date</w:t>
      </w:r>
      <w:r>
        <w:rPr>
          <w:rFonts w:ascii="Times New Roman;Times;serif" w:hAnsi="Times New Roman;Times;serif"/>
          <w:sz w:val="20"/>
        </w:rPr>
        <w:t>”) and the price (the “</w:t>
      </w:r>
      <w:r>
        <w:rPr>
          <w:rFonts w:ascii="Times New Roman;Times;serif" w:hAnsi="Times New Roman;Times;serif"/>
          <w:b/>
          <w:sz w:val="20"/>
        </w:rPr>
        <w:t>ADS Price</w:t>
      </w:r>
      <w:r>
        <w:rPr>
          <w:rFonts w:ascii="Times New Roman;Times;serif" w:hAnsi="Times New Roman;Times;serif"/>
          <w:sz w:val="20"/>
        </w:rPr>
        <w:t>”) paid (or deemed to be paid) per ADS in the Make-Whole Fundamental Change. If the holders of the ADSs receive in exchange for their ADSs only cash in a Make- Whole Fundamental Change described in clause (b) of the definition of Fundamental Change, the ADS Price shall be the cash amount paid per ADS. Otherwise, the ADS Price shall be the average of the Last Reported Sale Prices of the ADSs over the five Trading Day period ending on, and including, the Trading Day immediately preceding the Effective Date of the Make- Whole Fundamental Change.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The ADS Prices set forth in the column headings of the table below shall be adjusted as of any date on which the Conversion Rate of the Notes is otherwise adjusted. The adjusted ADS Prices shall equal the ADS Prices applicable immediately prior to such adjustment, </w:t>
      </w:r>
      <w:r>
        <w:rPr>
          <w:rFonts w:ascii="Times New Roman;Times;serif" w:hAnsi="Times New Roman;Times;serif"/>
          <w:i/>
          <w:sz w:val="20"/>
        </w:rPr>
        <w:t xml:space="preserve">multiplied by </w:t>
      </w:r>
      <w:r>
        <w:rPr>
          <w:rFonts w:ascii="Times New Roman;Times;serif" w:hAnsi="Times New Roman;Times;serif"/>
          <w:sz w:val="20"/>
        </w:rPr>
        <w:t>a fraction, the numerator of which is the Conversion Rate immediately prior to such adjustment giving rise to the ADS Price adjustment and the denominator of which is the Conversion Rate as so adjusted. The number of Additional ADSs set forth in the table below shall be adjusted in the same manner and at the same time as the Conversion Rate as set forth in Section 14.04.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following table sets forth the number of Additional ADSs to be received per US$1,000 principal amount of Notes pursuant to this Section 14.03 for each ADS Price and Effective Date set forth below:</w:t>
      </w:r>
    </w:p>
    <w:p>
      <w:pPr>
        <w:pStyle w:val="TextBody"/>
        <w:bidi w:val="0"/>
        <w:spacing w:before="0" w:after="0"/>
        <w:ind w:left="0" w:right="0" w:hanging="0"/>
        <w:jc w:val="left"/>
        <w:rPr/>
      </w:pPr>
      <w:r>
        <w:rPr/>
        <w:t>​</w:t>
      </w:r>
    </w:p>
    <w:tbl>
      <w:tblPr>
        <w:tblW w:w="11587" w:type="dxa"/>
        <w:jc w:val="center"/>
        <w:tblInd w:w="0" w:type="dxa"/>
        <w:tblLayout w:type="fixed"/>
        <w:tblCellMar>
          <w:top w:w="0" w:type="dxa"/>
          <w:left w:w="0" w:type="dxa"/>
          <w:bottom w:w="0" w:type="dxa"/>
          <w:right w:w="0" w:type="dxa"/>
        </w:tblCellMar>
      </w:tblPr>
      <w:tblGrid>
        <w:gridCol w:w="736"/>
        <w:gridCol w:w="326"/>
        <w:gridCol w:w="586"/>
        <w:gridCol w:w="326"/>
        <w:gridCol w:w="586"/>
        <w:gridCol w:w="326"/>
        <w:gridCol w:w="109"/>
        <w:gridCol w:w="586"/>
        <w:gridCol w:w="326"/>
        <w:gridCol w:w="109"/>
        <w:gridCol w:w="586"/>
        <w:gridCol w:w="326"/>
        <w:gridCol w:w="586"/>
        <w:gridCol w:w="326"/>
        <w:gridCol w:w="511"/>
        <w:gridCol w:w="326"/>
        <w:gridCol w:w="109"/>
        <w:gridCol w:w="511"/>
        <w:gridCol w:w="326"/>
        <w:gridCol w:w="511"/>
        <w:gridCol w:w="326"/>
        <w:gridCol w:w="511"/>
        <w:gridCol w:w="326"/>
        <w:gridCol w:w="511"/>
        <w:gridCol w:w="326"/>
        <w:gridCol w:w="511"/>
        <w:gridCol w:w="326"/>
        <w:gridCol w:w="616"/>
      </w:tblGrid>
      <w:tr>
        <w:trPr/>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467360" cy="175260"/>
                      <wp:effectExtent l="0" t="0" r="0" b="0"/>
                      <wp:wrapNone/>
                      <wp:docPr id="629" name="Frame62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207010" cy="175260"/>
                      <wp:effectExtent l="0" t="0" r="0" b="0"/>
                      <wp:wrapNone/>
                      <wp:docPr id="630" name="Frame6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372110" cy="175260"/>
                      <wp:effectExtent l="0" t="0" r="0" b="0"/>
                      <wp:wrapNone/>
                      <wp:docPr id="631" name="Frame62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207010" cy="175260"/>
                      <wp:effectExtent l="0" t="0" r="0" b="0"/>
                      <wp:wrapNone/>
                      <wp:docPr id="632" name="Frame6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372110" cy="175260"/>
                      <wp:effectExtent l="0" t="0" r="0" b="0"/>
                      <wp:wrapNone/>
                      <wp:docPr id="633" name="Frame63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207010" cy="175260"/>
                      <wp:effectExtent l="0" t="0" r="0" b="0"/>
                      <wp:wrapNone/>
                      <wp:docPr id="634" name="Frame6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69215" cy="175260"/>
                      <wp:effectExtent l="0" t="0" r="0" b="0"/>
                      <wp:wrapNone/>
                      <wp:docPr id="635" name="Frame6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372110" cy="175260"/>
                      <wp:effectExtent l="0" t="0" r="0" b="0"/>
                      <wp:wrapNone/>
                      <wp:docPr id="636" name="Frame63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207010" cy="175260"/>
                      <wp:effectExtent l="0" t="0" r="0" b="0"/>
                      <wp:wrapNone/>
                      <wp:docPr id="637" name="Frame6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69215" cy="175260"/>
                      <wp:effectExtent l="0" t="0" r="0" b="0"/>
                      <wp:wrapNone/>
                      <wp:docPr id="638" name="Frame6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372110" cy="175260"/>
                      <wp:effectExtent l="0" t="0" r="0" b="0"/>
                      <wp:wrapNone/>
                      <wp:docPr id="639" name="Frame63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207010" cy="175260"/>
                      <wp:effectExtent l="0" t="0" r="0" b="0"/>
                      <wp:wrapNone/>
                      <wp:docPr id="640" name="Frame6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372110" cy="175260"/>
                      <wp:effectExtent l="0" t="0" r="0" b="0"/>
                      <wp:wrapNone/>
                      <wp:docPr id="641" name="Frame63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07010" cy="175260"/>
                      <wp:effectExtent l="0" t="0" r="0" b="0"/>
                      <wp:wrapNone/>
                      <wp:docPr id="642" name="Frame6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324485" cy="175260"/>
                      <wp:effectExtent l="0" t="0" r="0" b="0"/>
                      <wp:wrapNone/>
                      <wp:docPr id="643" name="Frame64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207010" cy="175260"/>
                      <wp:effectExtent l="0" t="0" r="0" b="0"/>
                      <wp:wrapNone/>
                      <wp:docPr id="644" name="Frame6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69215" cy="175260"/>
                      <wp:effectExtent l="0" t="0" r="0" b="0"/>
                      <wp:wrapNone/>
                      <wp:docPr id="645" name="Frame6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324485" cy="175260"/>
                      <wp:effectExtent l="0" t="0" r="0" b="0"/>
                      <wp:wrapNone/>
                      <wp:docPr id="646" name="Frame64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207010" cy="175260"/>
                      <wp:effectExtent l="0" t="0" r="0" b="0"/>
                      <wp:wrapNone/>
                      <wp:docPr id="647" name="Frame6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324485" cy="175260"/>
                      <wp:effectExtent l="0" t="0" r="0" b="0"/>
                      <wp:wrapNone/>
                      <wp:docPr id="648" name="Frame64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207010" cy="175260"/>
                      <wp:effectExtent l="0" t="0" r="0" b="0"/>
                      <wp:wrapNone/>
                      <wp:docPr id="649" name="Frame6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324485" cy="175260"/>
                      <wp:effectExtent l="0" t="0" r="0" b="0"/>
                      <wp:wrapNone/>
                      <wp:docPr id="650" name="Frame64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207010" cy="175260"/>
                      <wp:effectExtent l="0" t="0" r="0" b="0"/>
                      <wp:wrapNone/>
                      <wp:docPr id="651" name="Frame6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324485" cy="175260"/>
                      <wp:effectExtent l="0" t="0" r="0" b="0"/>
                      <wp:wrapNone/>
                      <wp:docPr id="652" name="Frame64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207010" cy="175260"/>
                      <wp:effectExtent l="0" t="0" r="0" b="0"/>
                      <wp:wrapNone/>
                      <wp:docPr id="653" name="Frame6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324485" cy="175260"/>
                      <wp:effectExtent l="0" t="0" r="0" b="0"/>
                      <wp:wrapNone/>
                      <wp:docPr id="654" name="Frame65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207010" cy="175260"/>
                      <wp:effectExtent l="0" t="0" r="0" b="0"/>
                      <wp:wrapNone/>
                      <wp:docPr id="655" name="Frame6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391160" cy="175260"/>
                      <wp:effectExtent l="0" t="0" r="0" b="0"/>
                      <wp:wrapNone/>
                      <wp:docPr id="656" name="Frame65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25" w:type="dxa"/>
            <w:gridSpan w:val="26"/>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ADS Price</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Effective Date</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$8.55</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$9.00</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$10.00</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$11.12</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$12.50</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$14.46</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$20.00</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$25.00</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$30.00</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$40.00</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$50.00</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$75.00</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b/>
                <w:sz w:val="14"/>
              </w:rPr>
              <w:t>September 22,</w:t>
            </w:r>
            <w:r>
              <w:rPr>
                <w:rFonts w:ascii="Times New Roman;Times;serif" w:hAnsi="Times New Roman;Times;serif"/>
                <w:sz w:val="14"/>
              </w:rPr>
              <w:t xml:space="preserve"> </w:t>
            </w:r>
            <w:r>
              <w:rPr>
                <w:rFonts w:ascii="Times New Roman;Times;serif" w:hAnsi="Times New Roman;Times;serif"/>
                <w:b/>
                <w:sz w:val="14"/>
              </w:rPr>
              <w:t>2023</w:t>
            </w:r>
          </w:p>
        </w:tc>
        <w:tc>
          <w:tcPr>
            <w:tcW w:w="326" w:type="dxa"/>
            <w:tcBorders/>
            <w:vAlign w:val="center"/>
          </w:tcPr>
          <w:p>
            <w:pPr>
              <w:pStyle w:val="TableContents"/>
              <w:bidi w:val="0"/>
              <w:spacing w:before="0" w:after="0"/>
              <w:ind w:left="0" w:right="0" w:hanging="0"/>
              <w:jc w:val="left"/>
              <w:rPr/>
            </w:pPr>
            <w:r>
              <w:rPr/>
              <w:t>​</w:t>
            </w:r>
          </w:p>
        </w:tc>
        <w:tc>
          <w:tcPr>
            <w:tcW w:w="58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26.9905</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58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24.5589</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58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20.1620</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58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16.4541</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58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13.0824</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9.7544</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4.8195</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2.7644</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1.6133</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0.4863</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0.0584</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1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0.0000</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October 15, 2024</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26.9905</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24.5589</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20.1620</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16.3786</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12.7832</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9.3345</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4.4590</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2.5244</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1.4637</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0.4360</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0.0518</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0.0000</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October 15, 2025</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26.9905</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24.5589</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20.1160</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15.7203</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11.9432</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8.4671</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3.8655</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2.1512</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1.2333</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0.3555</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0.0404</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0.0000</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October 15, 2026</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26.9905</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24.5589</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18.9950</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14.2806</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10.4432</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7.1175</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3.0710</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1.6772</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0.9487</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0.2560</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0.0180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0.0000</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October 15, 2027</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26.9905</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21.7322</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16.1440</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11.8085</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8.2912</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5.3417</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2.1165</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1.1400</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0.6400</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0.1558</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0.0024</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0.0000</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October 15, 2028</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26.9905</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21.1422</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13.9870</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9.0243</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5.4416</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2.9642</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1.0375</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0.5780</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0.3300</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0.0683</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0.0000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0.0000</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October 15, 2029</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26.9905</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21.1422</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10.0310</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0.0000</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0.0000</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0.0000</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0.0000</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0.0000</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0.0000</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0.0000</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0.0000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60" w:hanging="0"/>
              <w:jc w:val="right"/>
              <w:rPr>
                <w:rFonts w:ascii="Times New Roman;Times;serif" w:hAnsi="Times New Roman;Times;serif"/>
                <w:sz w:val="14"/>
              </w:rPr>
            </w:pPr>
            <w:r>
              <w:rPr>
                <w:rFonts w:ascii="Times New Roman;Times;serif" w:hAnsi="Times New Roman;Times;serif"/>
                <w:sz w:val="14"/>
              </w:rPr>
              <w:t>0.0000</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exact ADS Prices and Effective Dates may not be set forth in the table above, in which case: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if the ADS Price is between two ADS Prices in the table above or the Effective Date is between two Effective Dates in the table, the number of Additional ADSs shall be determined by a straight-line interpolation between the number of Additional ADSs set forth for the higher and lower ADS Prices and the earlier and later Effective Dates, as applicable, based on a 365-day year;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if the ADS Price is greater than US$75.00 per ADS (subject to adjustment in the same manner as the ADS Prices set forth in the column headings of the table above pursuant to subsection (d) above), no Additional ADSs shall be added to the Conversion Rate; and</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if the ADS Price is less than US$8.55 per ADS (subject to adjustment in the same manner as the ADS Prices set forth in the column headings of the table above pursuant to subsection (d) above), no Additional ADSs shall be added to the Conversion Rate.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Notwithstanding the foregoing, in no event shall the Conversion Rate per US$1,000 principal amount of Notes exceed 116.9590 ADSs, subject to adjustment in the same manner as the Conversion Rate pursuant to Section 14.04.</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Nothing in this Section 14.03 shall prevent an adjustment to the Conversion Rate pursuant to Section 14.04.</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If the Holder elects to convert its Notes in connection with a Redemption Notice pursuant to Section 16.01, Section 16.02 or Section 16.03, in each case, the Conversion Rate shall be increased by a number of additional ADSs determined pursuant to this Section 14.03(g). The Company shall settle conversions of Notes as described in Section 14.02 and, for the avoidance of doubt, pay Additional Amounts, if any, with respect to any such conversion.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 conversion shall be deemed to be “in connection with” a Redemption Notice pursuant to Section 16.01, Section 16.02 or Section 16.03, in each case, if the relevant Notice of Conversion is received by the Conversion Agent during the period from, and including, the date the Company provides the related Redemption Notice to Holders until the close of business on the second Scheduled Trading Day immediately preceding the relevant Redemption date (or, if the Company fails to pay the Redemption Price, such later date on which the Company pays the Redemption Price).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Simultaneously with providing such Redemption Notice, the Company shall publish a notice containing this information in a newspaper of general circulation in The City of New York or publish the information on the Company’s website or through such other public medium as the Company may use at that time.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number of additional ADSs by which the Conversion Rate will be increased in the event the Company elects to redeem the Notes pursuant to Article 16 hereof will be determined by reference to the table in clause (e) above based on the Redemption Reference Date and the Redemption Reference Price (each as defined below), but determined for purposes of this Section 14.03(g) as if (x) the Holder had elected to convert its Notes in connection with a Make- Whole Fundamental Change, (y) the applicable “Redemption Reference Date” were the “Effective Date” as specified in clause (c) above and (z) the applicable “Redemption Reference Price” were the “ADS price” as specified in clause (c) above. “</w:t>
      </w:r>
      <w:r>
        <w:rPr>
          <w:rFonts w:ascii="Times New Roman;Times;serif" w:hAnsi="Times New Roman;Times;serif"/>
          <w:b/>
          <w:sz w:val="20"/>
        </w:rPr>
        <w:t>Redemption Reference Date</w:t>
      </w:r>
      <w:r>
        <w:rPr>
          <w:rFonts w:ascii="Times New Roman;Times;serif" w:hAnsi="Times New Roman;Times;serif"/>
          <w:sz w:val="20"/>
        </w:rPr>
        <w:t>” means the date the Company delivers the relevant Redemption Notice. “</w:t>
      </w:r>
      <w:r>
        <w:rPr>
          <w:rFonts w:ascii="Times New Roman;Times;serif" w:hAnsi="Times New Roman;Times;serif"/>
          <w:b/>
          <w:sz w:val="20"/>
        </w:rPr>
        <w:t>Redemption Reference Price</w:t>
      </w:r>
      <w:r>
        <w:rPr>
          <w:rFonts w:ascii="Times New Roman;Times;serif" w:hAnsi="Times New Roman;Times;serif"/>
          <w:sz w:val="20"/>
        </w:rPr>
        <w:t>” means, for any conversion in connection with a Redemption Notice pursuant to Section 16.01, Section 16.02 or Section 16.03, as the case may be, the average of the Last Reported Sale Prices of the ADSs over the 5 consecutive Trading Day period ending on, and including the Trading Day immediately preceding, the date the Company delivers the relevant Redemption Notice.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14.04</w:t>
      </w:r>
      <w:r>
        <w:rPr>
          <w:rFonts w:ascii="Times New Roman;Times;serif" w:hAnsi="Times New Roman;Times;serif"/>
          <w:i/>
          <w:sz w:val="20"/>
        </w:rPr>
        <w:t>Adjustment of Conversion Rate</w:t>
      </w:r>
      <w:r>
        <w:rPr>
          <w:rFonts w:ascii="Times New Roman;Times;serif" w:hAnsi="Times New Roman;Times;serif"/>
          <w:sz w:val="20"/>
        </w:rPr>
        <w:t>. If the number of Ordinary Shares represented by the ADSs is changed, after the date of this Indenture, for any reason other than one or more of the events described in this Section 14.04, the Company shall make an appropriate adjustment to the Conversion Rate such that the number of Ordinary Shares represented by the ADSs upon which conversion of the Notes is based remains the same.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Notwithstanding the adjustment provisions described in this Section 14.04, if the Company distributes to holders of the Ordinary Shares any cash, rights, options, warrants, shares of Capital Stock or similar equity interest, evidences of indebtedness or other assets or property of the Company (but excluding Expiring Rights) and a corresponding distribution is not made to holders of the ADSs, but, instead, the ADSs shall represent, in addition to Ordinary Shares, such cash, rights, options, warrants, shares of Capital Stock or similar equity interest, evidences of indebtedness or other assets or property of the Company, then an adjustment to the Conversion Rate described in this Section 14.04 shall not be made until and unless a corresponding distribution (if any) is made to holders of the ADSs, and such adjustment to the Conversion Rate shall be based on the distribution made to the holders of the ADSs and not on the distribution made to the holders of the Ordinary Shares. However, in the event that the Company issues or distributes to all holders of the Ordinary Shares any Expiring Rights, notwithstanding the immediately preceding sentence, the Company shall adjust the Conversion Rate pursuant to Section 14.04(b) (in the case of Expiring Rights described in clause (b) below entitling holders of the Ordinary Shares for a period of not more than 45 calendar days after the announcement date of such issuance to subscribe for or purchase Ordinary Shares or ADSs) or Section 14.04(c) (in the case of all other Expiring Rights).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For the avoidance of doubt, if any event described in this Section 14.04 results in a change to the number of Ordinary Shares represented by the ADSs, then such a change shall be deemed to satisfy the Company’s obligation to effect the relevant adjustment to the Conversion Rate on account of such an event to the extent such change reflects what a corresponding change to the Conversion Rate would have been on account of such event.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Conversion Rate shall be adjusted from time to time by the Company if any of the following events occurs, except that the Company shall not make any adjustments to the Conversion Rate if Holders of the Notes participate (other than in the case of (x) a share split or share combination or (y) a tender or exchange offer), at the same time and upon the same terms as holders of the ADSs and solely as a result of holding the Notes, in any of the transactions described in this Section 14.04, without having to convert their Notes, as if they held a number of ADSs equal to the Conversion Rate, </w:t>
      </w:r>
      <w:r>
        <w:rPr>
          <w:rFonts w:ascii="Times New Roman;Times;serif" w:hAnsi="Times New Roman;Times;serif"/>
          <w:i/>
          <w:sz w:val="20"/>
        </w:rPr>
        <w:t xml:space="preserve">multiplied by </w:t>
      </w:r>
      <w:r>
        <w:rPr>
          <w:rFonts w:ascii="Times New Roman;Times;serif" w:hAnsi="Times New Roman;Times;serif"/>
          <w:sz w:val="20"/>
        </w:rPr>
        <w:t>the principal amount (expressed in thousands) of Notes held by such Holder. Neither the Trustee nor the Conversion Agent shall have any responsibility to monitor or verify the accuracy of any calculation of, or any adjustment to, the Conversion Rate, all of which will be determined by the Company. Notice of any calculation of, or any of such adjustment to, the Conversion Rate shall be given by the Company promptly in writing to the Holders, the Trustee, the Paying Agent and the Conversion Agent and shall be conclusive and binding on the Holders, the Trustee and the Agents, absent manifest error.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If the Company exclusively issues Ordinary Shares as a dividend or distribution on the Ordinary Shares, or if the Company effects a share split or share combination, the Conversion Rate shall be adjusted based on the following formula:</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1095375" cy="428625"/>
            <wp:effectExtent l="0" t="0" r="0" b="0"/>
            <wp:docPr id="65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 name="Image4" descr=""/>
                    <pic:cNvPicPr>
                      <a:picLocks noChangeAspect="1" noChangeArrowheads="1"/>
                    </pic:cNvPicPr>
                  </pic:nvPicPr>
                  <pic:blipFill>
                    <a:blip r:embed="rId59"/>
                    <a:stretch>
                      <a:fillRect/>
                    </a:stretch>
                  </pic:blipFill>
                  <pic:spPr bwMode="auto">
                    <a:xfrm>
                      <a:off x="0" y="0"/>
                      <a:ext cx="1095375" cy="42862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where,</w:t>
      </w:r>
    </w:p>
    <w:tbl>
      <w:tblPr>
        <w:tblW w:w="10205" w:type="dxa"/>
        <w:jc w:val="center"/>
        <w:tblInd w:w="0" w:type="dxa"/>
        <w:tblLayout w:type="fixed"/>
        <w:tblCellMar>
          <w:top w:w="0" w:type="dxa"/>
          <w:left w:w="0" w:type="dxa"/>
          <w:bottom w:w="0" w:type="dxa"/>
          <w:right w:w="0" w:type="dxa"/>
        </w:tblCellMar>
      </w:tblPr>
      <w:tblGrid>
        <w:gridCol w:w="466"/>
        <w:gridCol w:w="211"/>
        <w:gridCol w:w="9528"/>
      </w:tblGrid>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sz w:val="15"/>
              </w:rPr>
              <w:t>0</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Conversion Rate in effect immediately prior to the open of business on the Ex-Dividend Date for the ADSs of such dividend or distribution, or immediately prior to the open of business on the Effective Date of such share split or share combination, as applicable;</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sz w:val="15"/>
              </w:rPr>
              <w:t>1</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Conversion Rate in effect immediately after the open of business on such Ex-Dividend Date or Effective Date, as applicable;</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OS</w:t>
            </w:r>
            <w:r>
              <w:rPr>
                <w:rFonts w:ascii="Times New Roman;Times;serif" w:hAnsi="Times New Roman;Times;serif"/>
                <w:sz w:val="15"/>
              </w:rPr>
              <w:t>0</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number of Ordinary Shares outstanding immediately prior to the open of business on such Ex-Dividend Date or Effective Date, as applicable (before giving effect to any such dividend, distribution, share split or combination); and</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OS</w:t>
            </w:r>
            <w:r>
              <w:rPr>
                <w:rFonts w:ascii="Times New Roman;Times;serif" w:hAnsi="Times New Roman;Times;serif"/>
                <w:sz w:val="15"/>
              </w:rPr>
              <w:t>1</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number of Ordinary Shares outstanding immediately after giving effect to such dividend, distribution, share split or share combination.</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Any adjustment made under this Section 14.04(a) shall become effective immediately after the open of business on the Ex-Dividend Date for the ADSs for such dividend or distribution, or immediately after the open of business on the Effective Date for such share split or share combination, as applicable. If any dividend or distribution of the type described in this Section 14.04(a)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the Company issues to all or substantially all holders of the Ordinary Shares (directly or in the form of ADSs) (other than in connection with a stockholder rights plan) any rights, options or warrants entitling them, for a period of not more than 45 calendar days after the announcement date of such issuance, to subscribe for or purchase Ordinary Shares (directly or in the form of ADSs) at a price per Ordinary Share that is less than the average of the Last Reported Sale Prices of the Ordinary Shares or the ADSs, as the case may be (</w:t>
      </w:r>
      <w:r>
        <w:rPr>
          <w:rFonts w:ascii="Times New Roman;Times;serif" w:hAnsi="Times New Roman;Times;serif"/>
          <w:i/>
          <w:sz w:val="20"/>
        </w:rPr>
        <w:t>divided by</w:t>
      </w:r>
      <w:r>
        <w:rPr>
          <w:rFonts w:ascii="Times New Roman;Times;serif" w:hAnsi="Times New Roman;Times;serif"/>
          <w:sz w:val="20"/>
        </w:rPr>
        <w:t>, in the case of the ADSs, the number of Ordinary Shares then represented by one ADS), for the 10 consecutive Trading Day period ending on, and including, the Trading Day immediately preceding the date of announcement of such issuance, the Conversion Rate shall be increased based on the following formula: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1381125" cy="428625"/>
            <wp:effectExtent l="0" t="0" r="0" b="0"/>
            <wp:docPr id="65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Image5" descr=""/>
                    <pic:cNvPicPr>
                      <a:picLocks noChangeAspect="1" noChangeArrowheads="1"/>
                    </pic:cNvPicPr>
                  </pic:nvPicPr>
                  <pic:blipFill>
                    <a:blip r:embed="rId60"/>
                    <a:stretch>
                      <a:fillRect/>
                    </a:stretch>
                  </pic:blipFill>
                  <pic:spPr bwMode="auto">
                    <a:xfrm>
                      <a:off x="0" y="0"/>
                      <a:ext cx="1381125" cy="42862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where,</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466"/>
        <w:gridCol w:w="211"/>
        <w:gridCol w:w="9528"/>
      </w:tblGrid>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sz w:val="15"/>
              </w:rPr>
              <w:t>0</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Conversion Rate in effect immediately prior to the open of business on the Ex-Dividend Date for the ADSs for such issuance;</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sz w:val="15"/>
              </w:rPr>
              <w:t>1</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Conversion Rate in effect immediately after the open of business on such Ex-Dividend Date;</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OS</w:t>
            </w:r>
            <w:r>
              <w:rPr>
                <w:rFonts w:ascii="Times New Roman;Times;serif" w:hAnsi="Times New Roman;Times;serif"/>
                <w:sz w:val="15"/>
              </w:rPr>
              <w:t>0</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number of Ordinary Shares outstanding immediately prior to the open of business on such Ex-Dividend Date;</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X</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total number of Ordinary Shares (directly or in the form of ADSs) deliverable pursuant to such rights, options or warrants; and</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528" w:type="dxa"/>
            <w:tcBorders/>
            <w:vAlign w:val="center"/>
          </w:tcPr>
          <w:p>
            <w:pPr>
              <w:pStyle w:val="TableContents"/>
              <w:bidi w:val="0"/>
              <w:spacing w:before="0" w:after="200"/>
              <w:ind w:left="0" w:right="0" w:hanging="0"/>
              <w:jc w:val="left"/>
              <w:rPr/>
            </w:pPr>
            <w:r>
              <w:rPr/>
              <w:t>​</w:t>
            </w:r>
          </w:p>
        </w:tc>
      </w:tr>
      <w:tr>
        <w:trPr/>
        <w:tc>
          <w:tcPr>
            <w:tcW w:w="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Y</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the number of Ordinary Shares equal to (i) the aggregate price payable to exercise such rights, options or warrants, </w:t>
            </w:r>
            <w:r>
              <w:rPr>
                <w:rFonts w:ascii="Times New Roman;Times;serif" w:hAnsi="Times New Roman;Times;serif"/>
                <w:i/>
                <w:sz w:val="20"/>
              </w:rPr>
              <w:t xml:space="preserve">divided by </w:t>
            </w:r>
            <w:r>
              <w:rPr>
                <w:rFonts w:ascii="Times New Roman;Times;serif" w:hAnsi="Times New Roman;Times;serif"/>
                <w:sz w:val="20"/>
              </w:rPr>
              <w:t xml:space="preserve">(ii) the quotient of (a) the average of the Last Reported Sale Prices of the ADSs over the 10 consecutive Trading Day period ending on, and including, the Trading Day immediately preceding the date of announcement of the issuance of such rights, options or warrants </w:t>
            </w:r>
            <w:r>
              <w:rPr>
                <w:rFonts w:ascii="Times New Roman;Times;serif" w:hAnsi="Times New Roman;Times;serif"/>
                <w:i/>
                <w:sz w:val="20"/>
              </w:rPr>
              <w:t xml:space="preserve">divided by </w:t>
            </w:r>
            <w:r>
              <w:rPr>
                <w:rFonts w:ascii="Times New Roman;Times;serif" w:hAnsi="Times New Roman;Times;serif"/>
                <w:sz w:val="20"/>
              </w:rPr>
              <w:t>(b) the number of Ordinary Shares then represented by one ADS.</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Any increase made under this Section 14.04(b) shall become effective immediately after the open of business on the Ex-Dividend Date for the ADSs for such issuance. To the extent that Ordinary Shares or ADSs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Ordinary Shares actually delivered (directly or in the form of ADSs). To the extent such rights, options or warrants are not so issued, the Conversion Rate shall be decreased to the Conversion Rate that would then be in effect had the increase to the Conversion Rate for such issuance been made on the basis of only the rights, options or warrants, if any, actually issued.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For purposes of this Section 14.04(b), in determining whether any rights, options or warrants entitle the holders to subscribe for or purchase Ordinary Shares (directly or in the form of ADSs) at a price per Ordinary Share that is less than such average of the Last Reported Sale Prices of the Ordinary Shares or the ADSs, as the case may be (divided by, in the case of the ADSs, the number of Ordinary Shares then represented by one ADS), for the 10 consecutive Trading Day period ending on, and including, the Trading Day immediately preceding the date of announcement for such issuance, and in determining the aggregate offering price of such Ordinary Shares or ADSs, there shall be taken into account any consideration received by the Company for such rights, options or warrants and any amount payable on exercise or conversion thereof, the value of such consideration, if other than cash, to be determined by the Board of Directors.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If the Company distributes shares of its Capital Stock, evidences of its indebtedness, other assets or property of the Company or rights, options or warrants to acquire its Capital Stock or other securities, to all or substantially all holders of the Ordinary Shares (directly or in the form of ADSs), excluding (i) dividends, distributions or issuances as to which an adjustment was effected pursuant to Section 14.04(a) or Section 14.04(b), (ii) dividends or distributions paid exclusively in cash as to which an adjustment was effected pursuant to Section 14.04(d), and (iii) Spin-Offs as to which the provisions set forth below in this Section 14.04(c) shall apply (any of such shares of Capital Stock, evidences of indebtedness, other assets or property or rights, options or warrants to acquire Capital Stock or other securities of the Company, the “</w:t>
      </w:r>
      <w:r>
        <w:rPr>
          <w:rFonts w:ascii="Times New Roman;Times;serif" w:hAnsi="Times New Roman;Times;serif"/>
          <w:b/>
          <w:sz w:val="20"/>
        </w:rPr>
        <w:t>Distributed Property</w:t>
      </w:r>
      <w:r>
        <w:rPr>
          <w:rFonts w:ascii="Times New Roman;Times;serif" w:hAnsi="Times New Roman;Times;serif"/>
          <w:sz w:val="20"/>
        </w:rPr>
        <w:t>”), then the Conversion Rate shall be increased based on the following formula:</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1533525" cy="428625"/>
            <wp:effectExtent l="0" t="0" r="0" b="0"/>
            <wp:docPr id="65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 name="Image6" descr=""/>
                    <pic:cNvPicPr>
                      <a:picLocks noChangeAspect="1" noChangeArrowheads="1"/>
                    </pic:cNvPicPr>
                  </pic:nvPicPr>
                  <pic:blipFill>
                    <a:blip r:embed="rId61"/>
                    <a:stretch>
                      <a:fillRect/>
                    </a:stretch>
                  </pic:blipFill>
                  <pic:spPr bwMode="auto">
                    <a:xfrm>
                      <a:off x="0" y="0"/>
                      <a:ext cx="1533525" cy="42862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where,</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541"/>
        <w:gridCol w:w="211"/>
        <w:gridCol w:w="9453"/>
      </w:tblGrid>
      <w:tr>
        <w:trPr/>
        <w:tc>
          <w:tcPr>
            <w:tcW w:w="54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53" w:type="dxa"/>
            <w:tcBorders/>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sz w:val="15"/>
              </w:rPr>
              <w:t>0</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4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Conversion Rate in effect immediately prior to the open of business on the Ex-Dividend Date for the ADSs for such distribution;</w:t>
            </w:r>
          </w:p>
        </w:tc>
      </w:tr>
      <w:tr>
        <w:trPr/>
        <w:tc>
          <w:tcPr>
            <w:tcW w:w="54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453" w:type="dxa"/>
            <w:tcBorders/>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sz w:val="15"/>
              </w:rPr>
              <w:t>1</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4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Conversion Rate in effect immediately after the open of business on such Ex-Dividend Date;</w:t>
            </w:r>
          </w:p>
        </w:tc>
      </w:tr>
      <w:tr>
        <w:trPr/>
        <w:tc>
          <w:tcPr>
            <w:tcW w:w="54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453" w:type="dxa"/>
            <w:tcBorders/>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w:t>
            </w:r>
            <w:r>
              <w:rPr>
                <w:rFonts w:ascii="Times New Roman;Times;serif" w:hAnsi="Times New Roman;Times;serif"/>
                <w:sz w:val="15"/>
              </w:rPr>
              <w:t>0</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4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average of the Last Reported Sale Prices of the ADSs (</w:t>
            </w:r>
            <w:r>
              <w:rPr>
                <w:rFonts w:ascii="Times New Roman;Times;serif" w:hAnsi="Times New Roman;Times;serif"/>
                <w:i/>
                <w:sz w:val="20"/>
              </w:rPr>
              <w:t xml:space="preserve">divided by </w:t>
            </w:r>
            <w:r>
              <w:rPr>
                <w:rFonts w:ascii="Times New Roman;Times;serif" w:hAnsi="Times New Roman;Times;serif"/>
                <w:sz w:val="20"/>
              </w:rPr>
              <w:t>the number of Ordinary Shares then represented by one ADS) over the 10 consecutive Trading Day period ending on, and including, the Trading Day immediately preceding the Ex-Dividend Date for such distribution; and</w:t>
            </w:r>
          </w:p>
        </w:tc>
      </w:tr>
      <w:tr>
        <w:trPr/>
        <w:tc>
          <w:tcPr>
            <w:tcW w:w="54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453" w:type="dxa"/>
            <w:tcBorders/>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FMV</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4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fair market value (as determined by the Board of Directors) of the Distributed Property with respect to each outstanding Ordinary Share (directly or in the form of ADSs) on the Ex-Dividend Date for the ADSs for such distribution.</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Any increase made under the foregoing portion of this Section 14.04(c) above shall become effective immediately after the open of business on the Ex-Dividend Date for the ADSs for such distribution. If such distribution is not so paid or made in full, the Conversion Rate shall be decreased to the Conversion Rate that would then be in effect had the adjustment been made on the basis of only the distribution, if any, actually paid or made. Notwithstanding the foregoing, if “FMV” (as defined above) is equal to or greater than “SP</w:t>
      </w:r>
      <w:r>
        <w:rPr>
          <w:rFonts w:ascii="Times New Roman;Times;serif" w:hAnsi="Times New Roman;Times;serif"/>
          <w:sz w:val="15"/>
        </w:rPr>
        <w:t>0</w:t>
      </w:r>
      <w:r>
        <w:rPr>
          <w:rFonts w:ascii="Times New Roman;Times;serif" w:hAnsi="Times New Roman;Times;serif"/>
          <w:sz w:val="20"/>
        </w:rPr>
        <w:t>” (as defined above), in lieu of the foregoing increase, each Holder of a Note shall receive, in respect of each US$1,000 principal amount thereof, at the same time and upon the same terms as holders of the ADSs receive the Distributed Property, the amount and kind of Distributed Property such Holder would</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have received if such Holder owned a number of ADSs equal to the Conversion Rate in effect on the Record Date for the ADSs for the distribution.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With respect to an adjustment pursuant to this Section 14.04(c) where there has been a payment of a dividend or other distribution on the Ordinary Shares (directly or in the form of ADSs) of shares of Capital Stock of any class or series, or similar equity interest, of or relating to a Subsidiary or other business unit of the Company, that are, or, when issued, will be, listed or admitted for trading on a U.S. national securities exchange (a “</w:t>
      </w:r>
      <w:r>
        <w:rPr>
          <w:rFonts w:ascii="Times New Roman;Times;serif" w:hAnsi="Times New Roman;Times;serif"/>
          <w:b/>
          <w:sz w:val="20"/>
        </w:rPr>
        <w:t>Spin-Off</w:t>
      </w:r>
      <w:r>
        <w:rPr>
          <w:rFonts w:ascii="Times New Roman;Times;serif" w:hAnsi="Times New Roman;Times;serif"/>
          <w:sz w:val="20"/>
        </w:rPr>
        <w:t>”), the Conversion Rate shall be increased based on the following formula:</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1628775" cy="428625"/>
            <wp:effectExtent l="0" t="0" r="0" b="0"/>
            <wp:docPr id="66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 name="Image7" descr=""/>
                    <pic:cNvPicPr>
                      <a:picLocks noChangeAspect="1" noChangeArrowheads="1"/>
                    </pic:cNvPicPr>
                  </pic:nvPicPr>
                  <pic:blipFill>
                    <a:blip r:embed="rId62"/>
                    <a:stretch>
                      <a:fillRect/>
                    </a:stretch>
                  </pic:blipFill>
                  <pic:spPr bwMode="auto">
                    <a:xfrm>
                      <a:off x="0" y="0"/>
                      <a:ext cx="1628775" cy="42862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where,</w:t>
      </w:r>
    </w:p>
    <w:tbl>
      <w:tblPr>
        <w:tblW w:w="10205" w:type="dxa"/>
        <w:jc w:val="left"/>
        <w:tblInd w:w="0" w:type="dxa"/>
        <w:tblLayout w:type="fixed"/>
        <w:tblCellMar>
          <w:top w:w="0" w:type="dxa"/>
          <w:left w:w="0" w:type="dxa"/>
          <w:bottom w:w="0" w:type="dxa"/>
          <w:right w:w="0" w:type="dxa"/>
        </w:tblCellMar>
      </w:tblPr>
      <w:tblGrid>
        <w:gridCol w:w="616"/>
        <w:gridCol w:w="211"/>
        <w:gridCol w:w="9378"/>
      </w:tblGrid>
      <w:tr>
        <w:trPr/>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391160" cy="175260"/>
                      <wp:effectExtent l="0" t="0" r="0" b="0"/>
                      <wp:wrapNone/>
                      <wp:docPr id="661" name="Frame65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133985" cy="175260"/>
                      <wp:effectExtent l="0" t="0" r="0" b="0"/>
                      <wp:wrapNone/>
                      <wp:docPr id="662" name="Frame6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5955030" cy="175260"/>
                      <wp:effectExtent l="0" t="0" r="0" b="0"/>
                      <wp:wrapNone/>
                      <wp:docPr id="663" name="Frame656"/>
                      <a:graphic xmlns:a="http://schemas.openxmlformats.org/drawingml/2006/main">
                        <a:graphicData uri="http://schemas.microsoft.com/office/word/2010/wordprocessingShape">
                          <wps:wsp>
                            <wps:cNvSpPr txBox="1"/>
                            <wps:spPr>
                              <a:xfrm>
                                <a:off x="0" y="0"/>
                                <a:ext cx="5955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sz w:val="15"/>
              </w:rPr>
              <w:t>0</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Conversion Rate in effect immediately prior to the end of the Valuation Period;</w:t>
            </w:r>
          </w:p>
        </w:tc>
      </w:tr>
      <w:tr>
        <w:trPr/>
        <w:tc>
          <w:tcPr>
            <w:tcW w:w="61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78" w:type="dxa"/>
            <w:tcBorders/>
            <w:vAlign w:val="center"/>
          </w:tcPr>
          <w:p>
            <w:pPr>
              <w:pStyle w:val="TableContents"/>
              <w:bidi w:val="0"/>
              <w:spacing w:before="0" w:after="0"/>
              <w:ind w:left="0" w:right="0" w:hanging="0"/>
              <w:jc w:val="left"/>
              <w:rPr/>
            </w:pPr>
            <w:r>
              <w:rPr/>
              <w:t>​</w:t>
            </w:r>
          </w:p>
        </w:tc>
      </w:tr>
      <w:tr>
        <w:trPr/>
        <w:tc>
          <w:tcPr>
            <w:tcW w:w="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sz w:val="15"/>
              </w:rPr>
              <w:t>1</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Conversion Rate in effect immediately after the end of the Valuation Period;</w:t>
            </w:r>
          </w:p>
        </w:tc>
      </w:tr>
      <w:tr>
        <w:trPr/>
        <w:tc>
          <w:tcPr>
            <w:tcW w:w="61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78" w:type="dxa"/>
            <w:tcBorders/>
            <w:vAlign w:val="center"/>
          </w:tcPr>
          <w:p>
            <w:pPr>
              <w:pStyle w:val="TableContents"/>
              <w:bidi w:val="0"/>
              <w:spacing w:before="0" w:after="0"/>
              <w:ind w:left="0" w:right="0" w:hanging="0"/>
              <w:jc w:val="left"/>
              <w:rPr/>
            </w:pPr>
            <w:r>
              <w:rPr/>
              <w:t>​</w:t>
            </w:r>
          </w:p>
        </w:tc>
      </w:tr>
      <w:tr>
        <w:trPr/>
        <w:tc>
          <w:tcPr>
            <w:tcW w:w="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FMV</w:t>
            </w:r>
            <w:r>
              <w:rPr>
                <w:rFonts w:ascii="Times New Roman;Times;serif" w:hAnsi="Times New Roman;Times;serif"/>
                <w:sz w:val="15"/>
              </w:rPr>
              <w:t>0</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average of the Last Reported Sale Prices of the Capital Stock or similar equity interest distributed to holders of the Ordinary Shares (directly or in the form of ADSs) applicable to one Ordinary Share (determined by reference to the definition of Last Reported Sale Price as set forth in Section 1.01 as if references therein to the ADSs were to such Capital Stock or similar equity interest) over the first 10 consecutive Trading Day period after, and including, the Ex-Dividend Date of the Spin-Off (the “</w:t>
            </w:r>
            <w:r>
              <w:rPr>
                <w:rFonts w:ascii="Times New Roman;Times;serif" w:hAnsi="Times New Roman;Times;serif"/>
                <w:b/>
                <w:sz w:val="20"/>
              </w:rPr>
              <w:t>Valuation Period</w:t>
            </w:r>
            <w:r>
              <w:rPr>
                <w:rFonts w:ascii="Times New Roman;Times;serif" w:hAnsi="Times New Roman;Times;serif"/>
                <w:sz w:val="20"/>
              </w:rPr>
              <w:t>”); and</w:t>
            </w:r>
          </w:p>
        </w:tc>
      </w:tr>
      <w:tr>
        <w:trPr/>
        <w:tc>
          <w:tcPr>
            <w:tcW w:w="61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78" w:type="dxa"/>
            <w:tcBorders/>
            <w:vAlign w:val="center"/>
          </w:tcPr>
          <w:p>
            <w:pPr>
              <w:pStyle w:val="TableContents"/>
              <w:bidi w:val="0"/>
              <w:spacing w:before="0" w:after="0"/>
              <w:ind w:left="0" w:right="0" w:hanging="0"/>
              <w:jc w:val="left"/>
              <w:rPr/>
            </w:pPr>
            <w:r>
              <w:rPr/>
              <w:t>​</w:t>
            </w:r>
          </w:p>
        </w:tc>
      </w:tr>
      <w:tr>
        <w:trPr/>
        <w:tc>
          <w:tcPr>
            <w:tcW w:w="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MP</w:t>
            </w:r>
            <w:r>
              <w:rPr>
                <w:rFonts w:ascii="Times New Roman;Times;serif" w:hAnsi="Times New Roman;Times;serif"/>
                <w:sz w:val="15"/>
              </w:rPr>
              <w:t>0</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average of the Last Reported Sale Prices of the ADSs (</w:t>
            </w:r>
            <w:r>
              <w:rPr>
                <w:rFonts w:ascii="Times New Roman;Times;serif" w:hAnsi="Times New Roman;Times;serif"/>
                <w:i/>
                <w:sz w:val="20"/>
              </w:rPr>
              <w:t xml:space="preserve">divided by </w:t>
            </w:r>
            <w:r>
              <w:rPr>
                <w:rFonts w:ascii="Times New Roman;Times;serif" w:hAnsi="Times New Roman;Times;serif"/>
                <w:sz w:val="20"/>
              </w:rPr>
              <w:t>the number of Ordinary Shares then represented by one ADS) over the Valuation Period.</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adjustment to the Conversion Rate under the preceding paragraph shall occur immediately after the close of business on the last Trading Day of the Valuation Period; </w:t>
      </w:r>
      <w:r>
        <w:rPr>
          <w:rFonts w:ascii="Times New Roman;Times;serif" w:hAnsi="Times New Roman;Times;serif"/>
          <w:i/>
          <w:sz w:val="20"/>
        </w:rPr>
        <w:t xml:space="preserve">provided </w:t>
      </w:r>
      <w:r>
        <w:rPr>
          <w:rFonts w:ascii="Times New Roman;Times;serif" w:hAnsi="Times New Roman;Times;serif"/>
          <w:sz w:val="20"/>
        </w:rPr>
        <w:t>that (x) in respect of any conversion of Notes for which Physical Settlement is applicable, if the relevant Conversion Date occurs during the Valuation Period, references in the portion of this Section 14.04(c) with respect to 10 Trading Days shall be deemed to be replaced with such lesser number of Trading Days as have elapsed from, and including, the Ex-Dividend Date of such Spin-Off to, and including, such Conversion Date in determining the Conversion Rate and (y) in respect of any conversion of Notes for which Cash Settlement or Combination Settlement is applicable, for any Trading Day that falls within the relevant Observation Period for such conversion and within the Valuation Period, the reference to “10” in the preceding paragraph shall be deemed replaced with such lesser number of Trading Days as have elapsed between (and including, in each case) the Ex-Dividend Date for such Spin-Off and such Trading Day in determining the Conversion Rate as of such Trading Day.</w:t>
      </w:r>
    </w:p>
    <w:p>
      <w:pPr>
        <w:pStyle w:val="TextBody"/>
        <w:bidi w:val="0"/>
        <w:spacing w:before="0" w:after="200"/>
        <w:ind w:left="160" w:right="0" w:firstLine="719"/>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For purposes of this Section 14.04(c) (and subject in all respect to Section 14.11), rights, options or warrants distributed by the Company to all holders of the Ordinary Shares (directly or in the form of ADSs) entitling them to subscribe for or purchase shares of the Company’s Capital Stock, including Ordinary Shares (either initially or under certain circumstances), which rights, options or warrants, until the occurrence of a specified event or events (“</w:t>
      </w:r>
      <w:r>
        <w:rPr>
          <w:rFonts w:ascii="Times New Roman;Times;serif" w:hAnsi="Times New Roman;Times;serif"/>
          <w:b/>
          <w:sz w:val="20"/>
        </w:rPr>
        <w:t>Trigger Event</w:t>
      </w:r>
      <w:r>
        <w:rPr>
          <w:rFonts w:ascii="Times New Roman;Times;serif" w:hAnsi="Times New Roman;Times;serif"/>
          <w:sz w:val="20"/>
        </w:rPr>
        <w:t>”): (i) are deemed to be transferred with such Ordinary Shares (directly or in the form of ADSs); (ii) are not exercisable; and (iii) are also issued in respect of future issuances of the Ordinary Shares (directly or in the form of ADSs),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14.04(c)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Ordinary Share redemption or purchase price received by a holder or holders of Ordinary Shares (directly or in the form of ADSs) with respect to such rights, options or warrants (assuming such holder had retained such rights, options or warrants), made to all holders of Ordinary Shares (directly or in the form of ADSs)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For purposes of Section 14.04(a), Section 14.04(b) and this Section 14.04(c), if any dividend or distribution to which this Section 14.04(c) is applicable also includes one or both of:</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 dividend or distribution of Ordinary Shares (directly or in the form of ADSs) to which Section 14.04(a) is applicable (the “</w:t>
      </w:r>
      <w:r>
        <w:rPr>
          <w:rFonts w:ascii="Times New Roman;Times;serif" w:hAnsi="Times New Roman;Times;serif"/>
          <w:b/>
          <w:sz w:val="20"/>
        </w:rPr>
        <w:t>Clause A Distribution</w:t>
      </w:r>
      <w:r>
        <w:rPr>
          <w:rFonts w:ascii="Times New Roman;Times;serif" w:hAnsi="Times New Roman;Times;serif"/>
          <w:sz w:val="20"/>
        </w:rPr>
        <w:t>”); or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 dividend or distribution of rights, options or warrants to which Section 14.04(b) is applicable (the “</w:t>
      </w:r>
      <w:r>
        <w:rPr>
          <w:rFonts w:ascii="Times New Roman;Times;serif" w:hAnsi="Times New Roman;Times;serif"/>
          <w:b/>
          <w:sz w:val="20"/>
        </w:rPr>
        <w:t>Clause B Distribution</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then (1) such dividend or distribution, other than the Clause A Distribution and the Clause B Distribution, shall be deemed to be a dividend or distribution to which this Section 14.04(c) is</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applicable (the “</w:t>
      </w:r>
      <w:r>
        <w:rPr>
          <w:rFonts w:ascii="Times New Roman;Times;serif" w:hAnsi="Times New Roman;Times;serif"/>
          <w:b/>
          <w:sz w:val="20"/>
        </w:rPr>
        <w:t>Clause C Distribution</w:t>
      </w:r>
      <w:r>
        <w:rPr>
          <w:rFonts w:ascii="Times New Roman;Times;serif" w:hAnsi="Times New Roman;Times;serif"/>
          <w:sz w:val="20"/>
        </w:rPr>
        <w:t>”) and any Conversion Rate adjustment required by this Section 14.04(c) with respect to such Clause C Distribution shall then be made, and (2) 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“Ex-Dividend Date” of the Clause A Distribution and the Clause B Distribution shall be deemed to be the Ex-Dividend Date of the Clause C Distribution and (II) any Ordinary Shares (directly or in the form of ADSs) included in the Clause A Distribution or Clause B Distribution shall be deemed not to be “outstanding immediately prior to the open of business on such Ex-Dividend Date or Effective Date” within the meaning of Section 14.04(a) or “outstanding immediately prior to the open of business on such Ex-Dividend Date” within the meaning of Section 14.04(b).</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If any cash dividend or distribution is made to all or substantially all holders of the Ordinary Shares (directly or in the form of ADSs), the Conversion Rate shall be adjusted based on the following formula:</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1304925" cy="428625"/>
            <wp:effectExtent l="0" t="0" r="0" b="0"/>
            <wp:docPr id="66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 name="Image8" descr=""/>
                    <pic:cNvPicPr>
                      <a:picLocks noChangeAspect="1" noChangeArrowheads="1"/>
                    </pic:cNvPicPr>
                  </pic:nvPicPr>
                  <pic:blipFill>
                    <a:blip r:embed="rId63"/>
                    <a:stretch>
                      <a:fillRect/>
                    </a:stretch>
                  </pic:blipFill>
                  <pic:spPr bwMode="auto">
                    <a:xfrm>
                      <a:off x="0" y="0"/>
                      <a:ext cx="1304925" cy="42862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where,</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466"/>
        <w:gridCol w:w="211"/>
        <w:gridCol w:w="9528"/>
      </w:tblGrid>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sz w:val="15"/>
              </w:rPr>
              <w:t>0</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Conversion Rate in effect immediately prior to the open of business on the Ex-Dividend Date for the ADSs for such dividend or distribution;</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sz w:val="15"/>
              </w:rPr>
              <w:t>1</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Conversion Rate in effect immediately after the open of business on the Ex-Dividend Date for such dividend or distribution;</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w:t>
            </w:r>
            <w:r>
              <w:rPr>
                <w:rFonts w:ascii="Times New Roman;Times;serif" w:hAnsi="Times New Roman;Times;serif"/>
                <w:sz w:val="15"/>
              </w:rPr>
              <w:t>0</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Last Reported Sale Price of the ADSs (divided by the number of Ordinary Shares then represented by one ADS) on the Trading Day immediately preceding the Ex-Dividend Date for such dividend or distribution; and</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amount in cash per Ordinary Share the Company distributes to all or substantially all holders of the Ordinary Shares (directly or in the form of ADSs) (for the avoidance of doubt, without giving effect to any applicable fees and expenses payable to, or withheld by, the ADS Depositary with respect to such distribution).</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Any increase pursuant to this Section 14.04(d) shall become effective immediately after the open of business on the Ex-Dividend Date for the ADSs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Times New Roman;Times;serif" w:hAnsi="Times New Roman;Times;serif"/>
          <w:sz w:val="15"/>
        </w:rPr>
        <w:t>0</w:t>
      </w:r>
      <w:r>
        <w:rPr>
          <w:rFonts w:ascii="Times New Roman;Times;serif" w:hAnsi="Times New Roman;Times;serif"/>
          <w:sz w:val="20"/>
        </w:rPr>
        <w:t>” (as defined above), in lieu of the foregoing increase, each Holder of a Note shall receive, for each US$1,000 principal amount of Notes, at the same time and upon the same terms as holders of the ADSs, the amount of cash that such Holder would have received if such Holder</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owned a number of ADSs equal to the Conversion Rate on the Record Date for the ADSs for such cash dividend or distribution.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If the Company or any of its Subsidiaries or Consolidated Affiliated Entities makes a payment in respect of a tender or exchange offer for the Ordinary Shares (directly or in the form of ADSs), to the extent that the Tender/Exchange Offer Consideration (as defined below) included in the payment per Ordinary Share exceeds the average of the Last Reported Sale Prices of the ADSs (</w:t>
      </w:r>
      <w:r>
        <w:rPr>
          <w:rFonts w:ascii="Times New Roman;Times;serif" w:hAnsi="Times New Roman;Times;serif"/>
          <w:i/>
          <w:sz w:val="20"/>
        </w:rPr>
        <w:t xml:space="preserve">divided by </w:t>
      </w:r>
      <w:r>
        <w:rPr>
          <w:rFonts w:ascii="Times New Roman;Times;serif" w:hAnsi="Times New Roman;Times;serif"/>
          <w:sz w:val="20"/>
        </w:rPr>
        <w:t>the number of Ordinary Shares then represented by one ADS) over the 10 consecutive Trading Day period commencing on, and including, the Trading Day next succeeding the date such tender or exchange offer expires, the Conversion Rate shall be increased based on the following formula:</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1866900" cy="428625"/>
            <wp:effectExtent l="0" t="0" r="0" b="0"/>
            <wp:docPr id="66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 name="Image9" descr=""/>
                    <pic:cNvPicPr>
                      <a:picLocks noChangeAspect="1" noChangeArrowheads="1"/>
                    </pic:cNvPicPr>
                  </pic:nvPicPr>
                  <pic:blipFill>
                    <a:blip r:embed="rId64"/>
                    <a:stretch>
                      <a:fillRect/>
                    </a:stretch>
                  </pic:blipFill>
                  <pic:spPr bwMode="auto">
                    <a:xfrm>
                      <a:off x="0" y="0"/>
                      <a:ext cx="1866900" cy="42862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where,</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466"/>
        <w:gridCol w:w="211"/>
        <w:gridCol w:w="9528"/>
      </w:tblGrid>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sz w:val="15"/>
              </w:rPr>
              <w:t>0</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Conversion Rate in effect immediately prior to the close of business on the 10th Trading Day immediately following, and including, the Trading Day next succeeding the date such tender or exchange offer expires;</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sz w:val="15"/>
              </w:rPr>
              <w:t>1</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Conversion Rate in effect immediately after the close of business on the 10th Trading Day immediately following, and including, the Trading Day next succeeding the date such tender or exchange offer expires;</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aggregate value of all cash and any other consideration (as determined by the Board of Directors thereof in good faith and as of the time such tender or exchange offer expires (the “</w:t>
            </w:r>
            <w:r>
              <w:rPr>
                <w:rFonts w:ascii="Times New Roman;Times;serif" w:hAnsi="Times New Roman;Times;serif"/>
                <w:b/>
                <w:sz w:val="20"/>
              </w:rPr>
              <w:t>Tender/Exchange Offer Consideration</w:t>
            </w:r>
            <w:r>
              <w:rPr>
                <w:rFonts w:ascii="Times New Roman;Times;serif" w:hAnsi="Times New Roman;Times;serif"/>
                <w:sz w:val="20"/>
              </w:rPr>
              <w:t>”)) paid or payable for Ordinary Shares or ADSs, as the case may be, purchased in such tender or exchange offer;</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OS</w:t>
            </w:r>
            <w:r>
              <w:rPr>
                <w:rFonts w:ascii="Times New Roman;Times;serif" w:hAnsi="Times New Roman;Times;serif"/>
                <w:sz w:val="15"/>
              </w:rPr>
              <w:t>0</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number of Ordinary Shares outstanding immediately prior to the date such tender or exchange offer expires (prior to giving effect to the purchase of all Ordinary Shares or ADSs, as the case may be, accepted for purchase or exchange in such tender or exchange offer);</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OS</w:t>
            </w:r>
            <w:r>
              <w:rPr>
                <w:rFonts w:ascii="Times New Roman;Times;serif" w:hAnsi="Times New Roman;Times;serif"/>
                <w:sz w:val="15"/>
              </w:rPr>
              <w:t>1</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number of Ordinary Shares outstanding immediately after the date such tender or exchange offer expires (after giving effect to the purchase of all Ordinary Shares or ADSs, as the case may be, accepted for purchase or exchange in such tender or exchange offer); and</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w:t>
            </w:r>
            <w:r>
              <w:rPr>
                <w:rFonts w:ascii="Times New Roman;Times;serif" w:hAnsi="Times New Roman;Times;serif"/>
                <w:sz w:val="15"/>
              </w:rPr>
              <w:t>1</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average of the Last Reported Sale Prices of the ADSs (</w:t>
            </w:r>
            <w:r>
              <w:rPr>
                <w:rFonts w:ascii="Times New Roman;Times;serif" w:hAnsi="Times New Roman;Times;serif"/>
                <w:i/>
                <w:sz w:val="20"/>
              </w:rPr>
              <w:t xml:space="preserve">divided by </w:t>
            </w:r>
            <w:r>
              <w:rPr>
                <w:rFonts w:ascii="Times New Roman;Times;serif" w:hAnsi="Times New Roman;Times;serif"/>
                <w:sz w:val="20"/>
              </w:rPr>
              <w:t>the number of Ordinary Shares then represented by one ADS) over the 10 consecutive Trading Day period commencing on, and including, the Trading Day next succeeding the date such tender or exchange offer expires.</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adjustment to the Conversion Rate under this Section 14.04(e) shall occur at the close of business on the 10th Trading Day immediately following, and including, the Trading Day next succeeding the date such tender or exchange offer expires; </w:t>
      </w:r>
      <w:r>
        <w:rPr>
          <w:rFonts w:ascii="Times New Roman;Times;serif" w:hAnsi="Times New Roman;Times;serif"/>
          <w:i/>
          <w:sz w:val="20"/>
        </w:rPr>
        <w:t xml:space="preserve">provided </w:t>
      </w:r>
      <w:r>
        <w:rPr>
          <w:rFonts w:ascii="Times New Roman;Times;serif" w:hAnsi="Times New Roman;Times;serif"/>
          <w:sz w:val="20"/>
        </w:rPr>
        <w:t>that (x) in respect of any conversion of Notes for which Physical Settlement is applicable, if the relevant Conversion Date occurs during the 10 Trading Days immediately following, and including, the Trading Day next succeeding the expiration date of any tender or exchange offer, references in this Section 14.04(e) with respect to “10” or “10</w:t>
      </w:r>
      <w:r>
        <w:rPr>
          <w:rFonts w:ascii="Times New Roman;Times;serif" w:hAnsi="Times New Roman;Times;serif"/>
          <w:sz w:val="15"/>
        </w:rPr>
        <w:t>th</w:t>
      </w:r>
      <w:r>
        <w:rPr>
          <w:rFonts w:ascii="Times New Roman;Times;serif" w:hAnsi="Times New Roman;Times;serif"/>
          <w:sz w:val="20"/>
        </w:rPr>
        <w:t>” in the preceding paragraph shall be deemed replaced with such lesser number of Trading Days as have elapsed from, and including, the expiration date of such tender or exchange offer to, and including such Conversion Date in determining the Conversion Rate and (y) in respect of any conversion of Notes for which Cash Settlement or Combination Settlement is applicable, for any Trading Day that falls within the relevant Observation Period for such conversion and within the 10 Trading Days immediately following, and including the Trading Day next succeeding the expiration date of such tender or exchange offer, references with respect to 10 Trading Days shall be deemed replaced with such lesser number of Trading Days as have elapsed from, and including, the expiration date of such tender or exchange offer to, and including, such Trading Day in determining the Conversion Rate as of such Trading Day. For the avoidance of doubt, no adjustment under this Section 14.04(e) will be made if such adjustment would result in a decrease in the Conversion Rate (other than, for the avoidance of doubt, any readjustment described in the immediately succeeding paragraph).</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To the extent such tender or exchange offer is announced but not consummated (including as a result of being precluded from consummating such tender or exchange offer under applicable law), or any purchases or exchanges of the Ordinary Shares (directly or in the form of ADSs) in such tender or exchange offer are rescinded, the Conversion Rate will be readjusted to the Conversion Rate that would then be in effect had the adjustment been made on the basis of only the purchases or exchanges of the Ordinary Shares (directly or in the form of ADSs), if any, actually made, and not rescinded, in such tender or exchange offer.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Notwithstanding this Section 14.04 or any other provision of this Indenture or the Notes: (i) if a Conversion Rate adjustment becomes effective on any Ex-Dividend Date, and a Holder that has converted its Notes on or after such Ex-Dividend Date and on or prior to the related Record Date would be treated as the record holder of the ADSs as of the related Conversion Date as described under Section 14.02(i) based on an adjusted Conversion Rate for such Ex-Dividend Date, then, notwithstanding the Conversion Rate adjustment provisions in this Section 14.04, the Conversion Rate adjustment relating to such Ex-Dividend Date shall not be made for such converting Holder. Instead, such Holder shall be treated as if such Holder were the record owner of the ADSs on an unadjusted basis and participate in the related dividend, distribution or other event giving rise to such adjustment; and (ii) the Company will not be required to adjust the Conversion Rate unless such adjustment would require an increase or decrease of at least one percent; provided, however, that any such minor adjustments that are not required to be made will be carried forward and taken into account in any subsequent adjustment, and provided, further, that any such adjustment of less than one percent that has not been made shall be made upon the occurrence of (x) the effective date for any Fundamental Change or Make-Whole Fundamental Change, (y) the Conversion Date of, or any Trading Day of the applicable Observation Period for any Note and (z) every one year anniversary of the first date of original issuance of the Notes. In addition in respect of Section 14.04(f)(ii), the Company will</w:t>
      </w:r>
    </w:p>
    <w:p>
      <w:pPr>
        <w:pStyle w:val="TextBody"/>
        <w:bidi w:val="0"/>
        <w:spacing w:before="0" w:after="200"/>
        <w:ind w:left="16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not account for such deferrals when determining what number of shares of ADSs (or Ordinary Shares) a holder would have held on a given day had it converted its Notes..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Except as stated herein, the Company shall not adjust the Conversion Rate for the issuance of Ordinary Shares or ADSs or any securities convertible into or exchangeable for Ordinary Shares or ADSs or the right to purchase Ordinary Shares or ADSs or such convertible or exchangeable securities.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With respect to any dividend, distribution or other transaction or event in which holders of the ADSs (or other applicable security) have the right to receive any cash, securities or other property or in which the ADSs (or other applicable security) are exchanged for or converted into any combination of cash, securities or other property, if the record date for the Ordinary Shares does not fall on the same day as the Record Date for the ADSs, the Company will make adjustments that the Board of Directors (or an authorized committee thereof) determined in good faith are appropriate to entitle such holders to receive such cash, securities or other property.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In addition to those adjustments required by clauses (a), (b), (c), (d) and (e) of this Section 14.04, and to the extent permitted by applicable law and subject to the applicable rules of the New York Stock Exchange and any other securities exchange on which any of the Company’s securities are then listed, the Company from time to time may increase the Conversion Rate by any amount for a period of at least 20 Business Days if the Board of Directors determines that such increase would be in the Company’s best interest, and the Company may (but is not required to) increase the Conversion Rate to avoid or diminish any income tax to holders of the Ordinary Shares or the ADSs or rights to purchase Ordinary Shares or ADSs in connection with a dividend or distribution of Ordinary Shares or ADSs (or rights to acquire Ordinary Shares or ADSs) or similar event.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Notwithstanding anything to the contrary in this Article 14, the Conversion Rate shall not be adjusted:</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upon the issuance of any Ordinary Shares or ADSs pursuant to any present or future plan providing for the reinvestment of dividends or interest payable on the Company’s securities and the investment of additional optional amounts in Ordinary Shares or ADSs under any plan;</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upon the issuance of any Ordinary Shares or ADSs or options or rights to purchase those Ordinary Shares or ADSs pursuant to any present or future employee, director or consultant benefit plan or program of or assumed by the Company or any of the Company’s Subsidiaries or Consolidated Affiliated Entities;</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upon the repurchase of any Ordinary Shares pursuant to an open-market share repurchase program or other buyback transaction that is not a tender offer or exchange offer of the nature described in clause (e) of this Section 14.04 above;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upon the issuance of any Ordinary Shares or ADSs pursuant to any option, warrant, right or exercisable, exchangeable or convertible security not described in clause (ii) of this subsection and outstanding as of the date the Notes were first issued;</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238" w:type="dxa"/>
        <w:jc w:val="left"/>
        <w:tblInd w:w="0" w:type="dxa"/>
        <w:tblLayout w:type="fixed"/>
        <w:tblCellMar>
          <w:top w:w="0" w:type="dxa"/>
          <w:left w:w="0" w:type="dxa"/>
          <w:bottom w:w="0" w:type="dxa"/>
          <w:right w:w="0" w:type="dxa"/>
        </w:tblCellMar>
      </w:tblPr>
      <w:tblGrid>
        <w:gridCol w:w="23"/>
        <w:gridCol w:w="245"/>
        <w:gridCol w:w="497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(v)</w:t>
            </w:r>
          </w:p>
        </w:tc>
        <w:tc>
          <w:tcPr>
            <w:tcW w:w="497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solely for a change in the par value of the Ordinary Shares; or</w:t>
            </w:r>
          </w:p>
        </w:tc>
      </w:tr>
    </w:tbl>
    <w:tbl>
      <w:tblPr>
        <w:tblW w:w="3453" w:type="dxa"/>
        <w:jc w:val="left"/>
        <w:tblInd w:w="0" w:type="dxa"/>
        <w:tblLayout w:type="fixed"/>
        <w:tblCellMar>
          <w:top w:w="0" w:type="dxa"/>
          <w:left w:w="0" w:type="dxa"/>
          <w:bottom w:w="0" w:type="dxa"/>
          <w:right w:w="0" w:type="dxa"/>
        </w:tblCellMar>
      </w:tblPr>
      <w:tblGrid>
        <w:gridCol w:w="23"/>
        <w:gridCol w:w="305"/>
        <w:gridCol w:w="312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(vi)</w:t>
            </w:r>
          </w:p>
        </w:tc>
        <w:tc>
          <w:tcPr>
            <w:tcW w:w="312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for accrued and unpaid interest, if any.</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All calculations and other determinations under this Article 14 shall be made by the Company and shall be made to the nearest one-ten thousandth (1/10,000) of an ADS.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Whenever the Conversion Rate is adjusted as herein provided, the Company shall promptly deliver to the Trustee (and the Conversion Agent if not the Trustee) an Officers’ Certificate setting forth (i) the adjusted Conversion Rate, (ii) the subsection of this Section 14.04 pursuant to which after such adjustment has been made, showing in reasonable detail the facts upon which such adjustment is based, and (iii) the date as of which such adjustment is effective, and such Officers’ Certificate shall be conclusive evidence of the accuracy of such adjustment absent manifest error.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at its last address appearing on the Note Register of this Indenture. Failure to deliver such notice shall not affect the legality or validity of any such adjustment. Neither the Trustee nor any Conversion Agent shall be under any duty or responsibility with respect to any such certificate or the information and calculations contained therein.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rPr>
        <w:t>For purposes of this Section 14.04, the number of Ordinary Shares at any time outstanding shall not include Ordinary Shares held in the treasury of the Company (directly or in the form of ADSs) so long as the Company does not pay any dividend or make any distribution on Ordinary Shares held in the treasury of the Company (directly or in the form of ADSs), but shall include Ordinary Shares issuable in respect of scrip certificates issued in lieu of fractions of Ordinary Shares.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rPr>
        <w:t>For purposes of this Section 14.04, the “effective date” means the first date on which the ADSs trade on the applicable exchange or in the applicable market, regular way, reflecting the relevant share split or share combination, as applicable.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Section 14.05 </w:t>
      </w:r>
      <w:r>
        <w:rPr>
          <w:rFonts w:ascii="Times New Roman;Times;serif" w:hAnsi="Times New Roman;Times;serif"/>
          <w:i/>
          <w:sz w:val="20"/>
        </w:rPr>
        <w:t>Adjustments of Prices</w:t>
      </w:r>
      <w:r>
        <w:rPr>
          <w:rFonts w:ascii="Times New Roman;Times;serif" w:hAnsi="Times New Roman;Times;serif"/>
          <w:sz w:val="20"/>
        </w:rPr>
        <w:t>. Whenever any provision of this Indenture requires the Company to calculate the Last Reported Sale Prices, the Daily VWAPs, the Daily Conversion Values, the Daily Settlement Amounts, the ADS Price for purposes of a Make- Whole Fundamental Change or the Redemption Reference Price for purposes of the Company’s election to redeem the Notes in connection with a Tax Redemption, Optional Redemption or Cleanup Redemption, as the case may be, over a span of multiple days, the Board of Directors shall make appropriate adjustments to each to account for any adjustment to the Conversion Rate that becomes effective pursuant to Section 14.04, or any event requiring an adjustment to the Conversion Rate pursuant to Section 14.04 where the Ex-Dividend Date, Effective Date or expiration date, as the case may be, of the event occurs, at any time during the period when such</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Last Reported Sale Prices, ADS Prices, the Daily VWAPs, the Daily Conversion Values or the Daily Settlement Amounts are to be calculated.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14.06</w:t>
      </w:r>
      <w:r>
        <w:rPr>
          <w:rFonts w:ascii="Times New Roman;Times;serif" w:hAnsi="Times New Roman;Times;serif"/>
          <w:i/>
          <w:sz w:val="20"/>
        </w:rPr>
        <w:t>Ordinary Shares to Be Fully Paid</w:t>
      </w:r>
      <w:r>
        <w:rPr>
          <w:rFonts w:ascii="Times New Roman;Times;serif" w:hAnsi="Times New Roman;Times;serif"/>
          <w:sz w:val="20"/>
        </w:rPr>
        <w:t>. The Company shall provide, free from preemptive rights, out of its authorized but unissued Ordinary Shares or Ordinary Shares held in treasury, a sufficient number of Ordinary Shares that corresponds to the number of ADSs due upon conversion of the Notes from time to time as such Notes are presented for conversion (assuming that at the time of computation of such number of Ordinary Shares, all such Notes would be converted by a single Holder and that Physical Settlement were applicable).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 xml:space="preserve">Section 14.07 </w:t>
      </w:r>
      <w:r>
        <w:rPr>
          <w:rFonts w:ascii="Times New Roman;Times;serif" w:hAnsi="Times New Roman;Times;serif"/>
          <w:i/>
          <w:sz w:val="20"/>
        </w:rPr>
        <w:t>Effect of Recapitalizations, Reclassifications and Changes of the Ordinary Shares</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In the case of:</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any recapitalization, reclassification or change of the ADSs or Ordinary Shares (other than changes resulting from a subdivision or combination),</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any consolidation, merger, combination or similar transaction involving the Company,</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any sale, lease or other transfer to a third party of the consolidated assets of the Company and the Company’s Subsidiaries and Consolidated Affiliated Entities substantially as an entirety or</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any statutory share exchange,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each case, as a result of which the ADSs or the Ordinary Shares would be converted into, or exchanged for, stock, other securities, other property or assets (including cash or any combination thereof) (any such event, a “</w:t>
      </w:r>
      <w:r>
        <w:rPr>
          <w:rFonts w:ascii="Times New Roman;Times;serif" w:hAnsi="Times New Roman;Times;serif"/>
          <w:b/>
          <w:sz w:val="20"/>
        </w:rPr>
        <w:t>Merger Event</w:t>
      </w:r>
      <w:r>
        <w:rPr>
          <w:rFonts w:ascii="Times New Roman;Times;serif" w:hAnsi="Times New Roman;Times;serif"/>
          <w:sz w:val="20"/>
        </w:rPr>
        <w:t>”), then, prior to or at the effective time of such Merger Event, the Company or the successor or purchasing Person, as the case may be, shall execute with the Trustee a supplemental indenture permitted under Section 10.01(f) providing that, at and after the effective time of such Merger Event, the right to convert each US$1,000 principal amount of Notes shall be changed into a right to convert such principal amount of Notes into the kind and amount of shares of stock, other securities or other property or assets (including cash or any combination thereof) that a holder of a number of ADSs equal to the Conversion Rate immediately prior to such Merger Event would have owned or been entitled to receive (the “</w:t>
      </w:r>
      <w:r>
        <w:rPr>
          <w:rFonts w:ascii="Times New Roman;Times;serif" w:hAnsi="Times New Roman;Times;serif"/>
          <w:b/>
          <w:sz w:val="20"/>
        </w:rPr>
        <w:t>Reference Property</w:t>
      </w:r>
      <w:r>
        <w:rPr>
          <w:rFonts w:ascii="Times New Roman;Times;serif" w:hAnsi="Times New Roman;Times;serif"/>
          <w:sz w:val="20"/>
        </w:rPr>
        <w:t>,” with each “</w:t>
      </w:r>
      <w:r>
        <w:rPr>
          <w:rFonts w:ascii="Times New Roman;Times;serif" w:hAnsi="Times New Roman;Times;serif"/>
          <w:b/>
          <w:sz w:val="20"/>
        </w:rPr>
        <w:t>unit of Reference Property</w:t>
      </w:r>
      <w:r>
        <w:rPr>
          <w:rFonts w:ascii="Times New Roman;Times;serif" w:hAnsi="Times New Roman;Times;serif"/>
          <w:sz w:val="20"/>
        </w:rPr>
        <w:t xml:space="preserve">” meaning the kind and amount of Reference Property that a holder of one ADS is entitled to receive) upon such Merger Event;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at and after the effective time of such Merger Event (A) the Company shall continue to have the right to determine the form of consideration to be paid or delivered, as the case may be, upon conversion of Notes in accordance with Section 14.02 and (B) (I) any amount payable in cash upon conversion of the Notes in accordance with Section 14.02 shall continue to be payable in cash, (II) any ADSs that the Company would have been required to deliver upon conversion of the Notes in accordance with Section 14.02 shall instead be deliverable in the amount and type of Reference Property that a holder of that number of ADSs would have been entitled to receive in such Merger Event and (III) the Daily VWAP</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shall be calculated based on the value of a unit of Reference Property that a holder of one ADS would have received in such transaction.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If the Merger Event causes the ADSs or Ordinary Shares to be converted into, or exchanged for, the right to receive more than a single type of consideration (determined based in part upon any form of holder election), then (i) the Reference Property into which the Notes will be convertible shall be deemed to be the weighted average of the types and amounts of consideration actually received by the holders of the ADSs and (ii) the unit of Reference Property for purposes of the immediately preceding paragraph shall refer to the consideration referred to in clause (i) attributable to one ADS. The Company shall determine and provide written notice to Holders, the Trustee and the Conversion Agent (if other than the Trustee) of such weighted average as soon as practicable after such determination is made.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Such supplemental indenture described in the second immediately preceding paragraph shall (i) provide for anti-dilution and other adjustments that shall be as nearly equivalent as is practicable to the adjustments provided for in this Article 14 (it being understood that no such adjustments shall be required with respect to any portion of the Reference Property that does not consist of shares of Common Equity (however evidenced) or depositary receipts in respect thereof) and (ii) contain such other provisions that the Board of Directors determines in good faith are appropriate to preserve the economic interests of the Holders and to give effect to the provisions described in this Section 14.07. If, in the case of any Merger Event, the Reference Property includes shares of stock, securities or other property or assets (including cash or any combination thereof) of a Person other than the Company or the successor or purchasing Person, as the case may be, in such Merger Event, then such other Person shall also execute such supplemental indenture, and such supplemental indenture shall contain such additional provisions to protect the interests of the Holders of the Notes, including the right of Holders to require the Company to repurchase their Notes upon a Fundamental Change pursuant to Section 15.02 and the right of Holders to require the Company to repurchase their Notes on the Repurchase Date pursuant to Section 15.01, as the Board of Directors shall reasonably consider necessary by reason of the foregoing. The Company shall notify the Holders and the Conversion Agent (if other than the Trustee) in writing as promptly as reasonably practicable following the date the Company and the Trustee execute such supplemental indenture, and the Company shall substantially concurrently with such notice either post such supplemental indenture on the Company’s website or disclose the same in a current report on Form 6-K (or any successor form) that is filed with the Commission.</w:t>
      </w:r>
    </w:p>
    <w:tbl>
      <w:tblPr>
        <w:tblW w:w="1368" w:type="dxa"/>
        <w:jc w:val="left"/>
        <w:tblInd w:w="0" w:type="dxa"/>
        <w:tblLayout w:type="fixed"/>
        <w:tblCellMar>
          <w:top w:w="0" w:type="dxa"/>
          <w:left w:w="0" w:type="dxa"/>
          <w:bottom w:w="0" w:type="dxa"/>
          <w:right w:w="0" w:type="dxa"/>
        </w:tblCellMar>
      </w:tblPr>
      <w:tblGrid>
        <w:gridCol w:w="23"/>
        <w:gridCol w:w="245"/>
        <w:gridCol w:w="11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w:t>
            </w:r>
          </w:p>
        </w:tc>
        <w:tc>
          <w:tcPr>
            <w:tcW w:w="110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RESERVED</w:t>
            </w:r>
            <w:r>
              <w:rPr>
                <w:rFonts w:ascii="Times New Roman;Times;serif" w:hAnsi="Times New Roman;Times;serif"/>
                <w:sz w:val="20"/>
              </w:rPr>
              <w:t>]</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Company shall not become a party to any Merger Event unless its terms are consistent with this Section 14.07. None of the foregoing provisions shall affect the right of a holder of Notes to convert its Notes into cash, ADSs or a combination of cash and ADSs, as applicable, as set forth in Section 14.01 and Section 14.02 prior to the effective date of such Merger Event.</w:t>
      </w:r>
    </w:p>
    <w:tbl>
      <w:tblPr>
        <w:tblW w:w="7353" w:type="dxa"/>
        <w:jc w:val="left"/>
        <w:tblInd w:w="0" w:type="dxa"/>
        <w:tblLayout w:type="fixed"/>
        <w:tblCellMar>
          <w:top w:w="0" w:type="dxa"/>
          <w:left w:w="0" w:type="dxa"/>
          <w:bottom w:w="0" w:type="dxa"/>
          <w:right w:w="0" w:type="dxa"/>
        </w:tblCellMar>
      </w:tblPr>
      <w:tblGrid>
        <w:gridCol w:w="23"/>
        <w:gridCol w:w="245"/>
        <w:gridCol w:w="708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w:t>
            </w:r>
          </w:p>
        </w:tc>
        <w:tc>
          <w:tcPr>
            <w:tcW w:w="708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above provisions of this Section shall similarly apply to successive Merger Events.</w:t>
            </w:r>
          </w:p>
        </w:tc>
      </w:tr>
    </w:tbl>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14.08</w:t>
      </w:r>
      <w:r>
        <w:rPr>
          <w:rFonts w:ascii="Times New Roman;Times;serif" w:hAnsi="Times New Roman;Times;serif"/>
          <w:i/>
          <w:sz w:val="20"/>
        </w:rPr>
        <w:t>Certain Covenants</w:t>
      </w:r>
      <w:r>
        <w:rPr>
          <w:rFonts w:ascii="Times New Roman;Times;serif" w:hAnsi="Times New Roman;Times;serif"/>
          <w:sz w:val="20"/>
        </w:rPr>
        <w:t>. (a) The Company covenants that all ADSs delivered upon conversion of Notes, and all Ordinary Shares represented by such ADSs, will be fully paid and non-assessable by the Company and free from all taxes, liens and charges with respect to the issue thereof.</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Company covenants that, if any ADSs to be provided for the purpose of conversion of Notes hereunder, or any Ordinary Shares represented by such ADSs, require registration with or approval of any governmental authority under any federal or state law before such ADSs may be validly issued upon conversion, the Company will, to the extent then permitted by the rules and interpretations of the Commission, secure such registration or approval, as the case may be.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Company further covenants that if at any time the ADSs shall be listed on any national securities exchange or automated quotation system the Company will list and keep listed, so long as the ADSs shall be so listed on such exchange or automated quotation system, any ADSs deliverable upon conversion of the Notes.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Company further covenants to take all actions and obtain all approvals and registrations required with respect to the conversion of the Notes into ADSs and the issuance, and deposit into the ADS facility, of the Ordinary Shares represented by such ADSs. The Company also undertakes to maintain, as long as any Notes are outstanding, the effectiveness of a registration statement on Form F-6 relating to the ADSs and an adequate number of ADSs available for issuance thereunder such that ADSs can be delivered upon conversion of the Notes, if any, in accordance with the terms of this Indenture, the Notes, the Unrestricted Deposit Agreement or the Restricted Deposit Agreement, as applicable, and the Procedures Letter upon conversion of the Notes. In addition, the Company further covenants to provide Holders with a reasonably detailed description of the mechanics for the delivery of ADSs upon conversion of Notes as set forth in the Unrestricted Deposit Agreement or the Restricted Deposit Agreement (including pursuant to the Procedures Letter for the issuance of restricted ADSs contemplated by Section 11 of the Restricted Deposit Agreement) upon request.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14.09</w:t>
      </w:r>
      <w:r>
        <w:rPr>
          <w:rFonts w:ascii="Times New Roman;Times;serif" w:hAnsi="Times New Roman;Times;serif"/>
          <w:i/>
          <w:sz w:val="20"/>
        </w:rPr>
        <w:t>Responsibility of Trustee</w:t>
      </w:r>
      <w:r>
        <w:rPr>
          <w:rFonts w:ascii="Times New Roman;Times;serif" w:hAnsi="Times New Roman;Times;serif"/>
          <w:sz w:val="20"/>
        </w:rPr>
        <w:t>. Neither the Trustee nor the Conversion Agent shall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in the Indenture or in any supplemental indenture provided to be employed, in making the same. The Trustee and the Conversion Agent shall not be accountable with respect to the validity or value (or the kind or amount) of any shares of the ADSs, or of any securities, property or cash that may at any time be issued or delivered upon the conversion of any Note or for the distribution of any cash payable in lieu of any Fractional ADSs; and the Trustee and the Conversion Agent make no representations with respect thereto. Neither the Trustee nor the Conversion Agent shall be responsible for any failure of the Company to issue, transfer or deliver any ADSs or cash upon the surrender of any Note for the purpose of conversion or to comply with any of the duties, responsibilities or covenants of the Company in connection therewith. Without limiting the generality of the foregoing, neither the Trustee nor the Conversion Agent shall be under any responsibility to (a) determine whether a supplemental indenture needs to be entered into or (b)</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determine the correctness of any provisions contained in any supplemental indenture entered into. The Trustee and the Conversion Agent shall be protected in conclusively relying upon the Officer’s Certificate (which the Company shall be obligated to deliver to the Trustee and the Conversion Agent prior to the execution of any such supplemental indenture) with respect thereto.</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14.10</w:t>
      </w:r>
      <w:r>
        <w:rPr>
          <w:rFonts w:ascii="Times New Roman;Times;serif" w:hAnsi="Times New Roman;Times;serif"/>
          <w:i/>
          <w:sz w:val="20"/>
        </w:rPr>
        <w:t>Notice to Holders Prior to Certain Actions</w:t>
      </w:r>
      <w:r>
        <w:rPr>
          <w:rFonts w:ascii="Times New Roman;Times;serif" w:hAnsi="Times New Roman;Times;serif"/>
          <w:sz w:val="20"/>
        </w:rPr>
        <w:t>. In case of any: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action by the Company or one of its Subsidiaries that would require an adjustment in the Conversion Rate pursuant to Section 14.04 or Section 14.11;</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Merger Event; or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voluntary or involuntary dissolution, liquidation or winding-up of the Company or any of its Subsidiaries;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then, in each case (unless notice of such event is otherwise required pursuant to another provision of this Indenture), the Company shall cause to be filed with the Trustee and the Conversion Agent (if other than the Trustee) and to be mailed to each Holder at its address appearing on the Note Register, as promptly as possible but in any event at least 20 days prior to the applicable date hereinafter specified, a notice stating (i) the date on which a record is to be taken for the purpose of such action by the Company or one of its Subsidiaries or, if a record is not to be taken, the date as of which the holders of Ordinary Shares or ADSs, as the case may be, of record are to be determined for the purposes of such action by the Company or one of its Subsidiaries, or (ii) the date on which such Merger Event, dissolution, liquidation or winding-up is expected to become effective or occur, and the date as of which it is expected that holders of Ordinary Shares or ADSs, as the case may be, of record shall be entitled to exchange their Ordinary Shares or ADSs, as the case may be, for securities or other property deliverable upon such Merger Event, dissolution, liquidation or winding-up. Failure to give such notice, or any defect therein, shall not affect the legality or validity of such action by the Company or one of its Subsidiaries, Merger Event, dissolution, liquidation or winding-up.</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14.11</w:t>
      </w:r>
      <w:r>
        <w:rPr>
          <w:rFonts w:ascii="Times New Roman;Times;serif" w:hAnsi="Times New Roman;Times;serif"/>
          <w:i/>
          <w:sz w:val="20"/>
        </w:rPr>
        <w:t>Stockholder Rights Plans</w:t>
      </w:r>
      <w:r>
        <w:rPr>
          <w:rFonts w:ascii="Times New Roman;Times;serif" w:hAnsi="Times New Roman;Times;serif"/>
          <w:sz w:val="20"/>
        </w:rPr>
        <w:t>. To the extent that the Company has a rights plan in effect upon conversion of the Notes, each ADS delivered upon such conversion, if any, shall be entitled to receive (either directly or in respect of the Ordinary Shares represented by such ADSs) the appropriate number of rights, if any, and the certificates representing the ADSs delivered upon such conversion shall bear such legends, if any, in each case as may be provided by the terms of any such stockholder rights plan, as the same may be amended from time to time. However, if, prior to any conversion, the rights have separated from the Ordinary Shares represented by the ADSs in accordance with the provisions of the applicable stockholder rights plan, the Conversion Rate shall be adjusted at the time of separation as if the Company distributed to all or substantially all holders of the Ordinary Shares Distributed Property as provided in Section 14.04(c), subject to readjustment in the event of the expiration, termination or redemption of such rights.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14.12</w:t>
      </w:r>
      <w:r>
        <w:rPr>
          <w:rFonts w:ascii="Times New Roman;Times;serif" w:hAnsi="Times New Roman;Times;serif"/>
          <w:i/>
          <w:sz w:val="20"/>
        </w:rPr>
        <w:t>Termination of Depositary Receipt Program</w:t>
      </w:r>
      <w:r>
        <w:rPr>
          <w:rFonts w:ascii="Times New Roman;Times;serif" w:hAnsi="Times New Roman;Times;serif"/>
          <w:sz w:val="20"/>
        </w:rPr>
        <w:t>. Except as provided in Section 10.03, if the Ordinary Shares cease to be represented by ADSs issued under the</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Unrestricted Deposit Agreement, all references in this Indenture to the ADSs shall be deemed to have been replaced by a reference to the number of Ordinary Shares (and other property, if any) represented by the ADSs on the last day on which the ADSs represented the Ordinary Shares and as if the Ordinary Shares and the other property had been distributed to holders of the ADSs on that day. In addition, all references to the Last Reported Sale Price of the ADSs will be deemed to refer to the Last Reported Sale Price of the Ordinary Shares, and other appropriate adjustments, including adjustments to the Conversion Rate, will be made to reflect such change. In making such adjustments, where currency translations between U.S. dollars and any other currency are required, the exchange rate in effect on the date of determination will apply.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14.13</w:t>
      </w:r>
      <w:r>
        <w:rPr>
          <w:rFonts w:ascii="Times New Roman;Times;serif" w:hAnsi="Times New Roman;Times;serif"/>
          <w:i/>
          <w:sz w:val="20"/>
        </w:rPr>
        <w:t>Exchange In Lieu Of Conversion</w:t>
      </w:r>
      <w:r>
        <w:rPr>
          <w:rFonts w:ascii="Times New Roman;Times;serif" w:hAnsi="Times New Roman;Times;serif"/>
          <w:sz w:val="20"/>
        </w:rPr>
        <w:t>. (a) When a Holder surrenders its Notes for conversion, the Company may, at its election (an “</w:t>
      </w:r>
      <w:r>
        <w:rPr>
          <w:rFonts w:ascii="Times New Roman;Times;serif" w:hAnsi="Times New Roman;Times;serif"/>
          <w:b/>
          <w:sz w:val="20"/>
        </w:rPr>
        <w:t>Exchange Election</w:t>
      </w:r>
      <w:r>
        <w:rPr>
          <w:rFonts w:ascii="Times New Roman;Times;serif" w:hAnsi="Times New Roman;Times;serif"/>
          <w:sz w:val="20"/>
        </w:rPr>
        <w:t>”), direct the Conversion Agent to deliver, on or prior to the Business Day immediately following the Conversion Date, such Notes to one or more financial institutions designated by the Company (each, a “</w:t>
      </w:r>
      <w:r>
        <w:rPr>
          <w:rFonts w:ascii="Times New Roman;Times;serif" w:hAnsi="Times New Roman;Times;serif"/>
          <w:b/>
          <w:sz w:val="20"/>
        </w:rPr>
        <w:t>Designated Financial Institution</w:t>
      </w:r>
      <w:r>
        <w:rPr>
          <w:rFonts w:ascii="Times New Roman;Times;serif" w:hAnsi="Times New Roman;Times;serif"/>
          <w:sz w:val="20"/>
        </w:rPr>
        <w:t>”) for exchange in lieu of conversion. In order to accept any Notes surrendered for conversion, the Designated Financial Institution(s) must agree to timely pay and/or deliver, as the case may be, in exchange for such Notes, the cash, ADSs or a combination thereof, as applicable, that would otherwise be due upon conversion pursuant to Section 14.02 (the “</w:t>
      </w:r>
      <w:r>
        <w:rPr>
          <w:rFonts w:ascii="Times New Roman;Times;serif" w:hAnsi="Times New Roman;Times;serif"/>
          <w:b/>
          <w:sz w:val="20"/>
        </w:rPr>
        <w:t>Conversion Consideration</w:t>
      </w:r>
      <w:r>
        <w:rPr>
          <w:rFonts w:ascii="Times New Roman;Times;serif" w:hAnsi="Times New Roman;Times;serif"/>
          <w:sz w:val="20"/>
        </w:rPr>
        <w:t>”). If the Company makes an Exchange Election, the Company shall, by the close of business on the Business Day following the relevant Conversion Date, notify in writing the Trustee, the Conversion Agent (if other than the Trustee) and the Holder surrendering Notes for conversion that the Company has made the Exchange Election and the Company shall promptly notify the Designated Financial Institution(s) of the relevant deadline for delivery of the Conversion Consideration and the type of Conversion Consideration to be paid and/or delivered, as the case may be.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Notes exchanged by the Designated Financial Institution(s) shall remain outstanding, subject to applicable procedures of the Depositary. If the Designated Financial Institution(s) agree(s) to accept any Notes for exchange but does not timely pay and/or deliver, as the case may be, the related Conversion Consideration, or if such Designated Financial Institution(s) does not accept the Notes for exchange, the Company shall pay and/or deliver, as the case may be, the relevant Conversion Consideration, as, and at the time, required pursuant to this Indenture as if the Company had not made the Exchange Election.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Company’s designation of any Designated Financial Institution(s) to which the Notes may be submitted for exchange does not require such Designated Financial Institution(s) to accept any Notes.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15</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REPURCHASE OF NOTES AT OPTION OF HOLDERS</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15.01</w:t>
      </w:r>
      <w:r>
        <w:rPr>
          <w:rFonts w:ascii="Times New Roman;Times;serif" w:hAnsi="Times New Roman;Times;serif"/>
          <w:i/>
          <w:sz w:val="20"/>
        </w:rPr>
        <w:t>Repurchase at Option of Holders</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Each Holder shall have the right, at such Holder’s option, to require the Company to repurchase for cash on October 15, 2027 (the “</w:t>
      </w:r>
      <w:r>
        <w:rPr>
          <w:rFonts w:ascii="Times New Roman;Times;serif" w:hAnsi="Times New Roman;Times;serif"/>
          <w:b/>
          <w:sz w:val="20"/>
        </w:rPr>
        <w:t>Repurchase Date</w:t>
      </w:r>
      <w:r>
        <w:rPr>
          <w:rFonts w:ascii="Times New Roman;Times;serif" w:hAnsi="Times New Roman;Times;serif"/>
          <w:sz w:val="20"/>
        </w:rPr>
        <w:t>”), all of such Holder’s Notes, or any portion thereof that is an integral multiple of US$1,000 principal amount, at a repurchase price (the “</w:t>
      </w:r>
      <w:r>
        <w:rPr>
          <w:rFonts w:ascii="Times New Roman;Times;serif" w:hAnsi="Times New Roman;Times;serif"/>
          <w:b/>
          <w:sz w:val="20"/>
        </w:rPr>
        <w:t>Repurchase Price</w:t>
      </w:r>
      <w:r>
        <w:rPr>
          <w:rFonts w:ascii="Times New Roman;Times;serif" w:hAnsi="Times New Roman;Times;serif"/>
          <w:sz w:val="20"/>
        </w:rPr>
        <w:t>”) that is equal to 100% of the principal amount of the</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Notes to be repurchased, </w:t>
      </w:r>
      <w:r>
        <w:rPr>
          <w:rFonts w:ascii="Times New Roman;Times;serif" w:hAnsi="Times New Roman;Times;serif"/>
          <w:i/>
          <w:sz w:val="20"/>
        </w:rPr>
        <w:t xml:space="preserve">plus </w:t>
      </w:r>
      <w:r>
        <w:rPr>
          <w:rFonts w:ascii="Times New Roman;Times;serif" w:hAnsi="Times New Roman;Times;serif"/>
          <w:sz w:val="20"/>
        </w:rPr>
        <w:t>accrued and unpaid interest, if any, to, but excluding, the Repurchase Date (unless the Repurchase Date falls after a Regular Record Date but on or prior to the immediately succeeding Interest Payment Date, in which case the Company shall pay on the Interest Payment Date the full amount of accrued and unpaid interest, if any, to the Holder of record as of the close of business on such Regular Record Date, and the Repurchase Price will be equal to 100% of the principal amount of the Notes to be repurchased). Not later than 20 Business Days prior to the Repurchase Date, the Company shall mail a notice (the “</w:t>
      </w:r>
      <w:r>
        <w:rPr>
          <w:rFonts w:ascii="Times New Roman;Times;serif" w:hAnsi="Times New Roman;Times;serif"/>
          <w:b/>
          <w:sz w:val="20"/>
        </w:rPr>
        <w:t>Company Notice</w:t>
      </w:r>
      <w:r>
        <w:rPr>
          <w:rFonts w:ascii="Times New Roman;Times;serif" w:hAnsi="Times New Roman;Times;serif"/>
          <w:sz w:val="20"/>
        </w:rPr>
        <w:t>”) by first class mail to the Trustee, to the Paying Agent and to each Holder at its address shown in the Note Register of the Note Registrar (and to beneficial owners as required by applicable law and to the Conversion Agent if other than the Trustee). The Company Notice shall include a Form of Repurchase Notice to be completed by a holder and shall state: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last date on which a Holder may exercise its repurchase right pursuant to this Section 15.01 (the “</w:t>
      </w:r>
      <w:r>
        <w:rPr>
          <w:rFonts w:ascii="Times New Roman;Times;serif" w:hAnsi="Times New Roman;Times;serif"/>
          <w:b/>
          <w:sz w:val="20"/>
        </w:rPr>
        <w:t>Repurchase Expiration Time</w:t>
      </w:r>
      <w:r>
        <w:rPr>
          <w:rFonts w:ascii="Times New Roman;Times;serif" w:hAnsi="Times New Roman;Times;serif"/>
          <w:sz w:val="20"/>
        </w:rPr>
        <w:t>”);</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the Repurchase Price;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the Repurchase Date;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the name and address of the Conversion Agent and Paying Agent;</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that the Notes with respect to which a Repurchase Notice has been delivered by a Holder may be converted only if the Holder withdraws the Repurchase Notice in accordance with the terms of this Indenture;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that the Holder shall have the right to withdraw any Notes surrendered prior to the Repurchase Expiration Time; and</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w:t>
      </w:r>
      <w:r>
        <w:rPr>
          <w:rFonts w:ascii="Times New Roman;Times;serif" w:hAnsi="Times New Roman;Times;serif"/>
          <w:sz w:val="20"/>
        </w:rPr>
        <w:t>the procedures a Holder must follow to exercise its repurchase rights under this Section 15.01 and a brief description of those rights.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At the Company’s request, the Trustee shall give such notice in the Company’s name and at the Company’s expense;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in all cases, the text of such Company Notice shall be prepared by the Company.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Simultaneously with providing the Company Notice, the Company shall publish a notice containing the information included in the Company Notice in a newspaper of general circulation in The City of New York or publish such information on the Company’s website or through such other public medium as the Company may use at that time.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 failure of the Company to give the foregoing notices and no defect therein shall limit the Holders’ repurchase rights or affect the validity of the proceedings for the repurchase of the Notes pursuant to this Section 15.01.</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Repurchases of Notes under this Section 15.01 shall be made, at the option of the Holder thereof, upon:</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1440" w:right="0" w:firstLine="720"/>
        <w:jc w:val="left"/>
        <w:rPr>
          <w:rFonts w:ascii="Times New Roman;Times;serif" w:hAnsi="Times New Roman;Times;serif"/>
          <w:sz w:val="20"/>
        </w:rPr>
      </w:pPr>
      <w:r>
        <w:rPr>
          <w:rFonts w:ascii="Times New Roman;Times;serif" w:hAnsi="Times New Roman;Times;serif"/>
          <w:sz w:val="20"/>
        </w:rPr>
        <w:t>(A)delivery to the Trustee (or other agent appointed for such purpose) by the Holder of a duly completed notice (the “</w:t>
      </w:r>
      <w:r>
        <w:rPr>
          <w:rFonts w:ascii="Times New Roman;Times;serif" w:hAnsi="Times New Roman;Times;serif"/>
          <w:b/>
          <w:sz w:val="20"/>
        </w:rPr>
        <w:t>Repurchase Notice</w:t>
      </w:r>
      <w:r>
        <w:rPr>
          <w:rFonts w:ascii="Times New Roman;Times;serif" w:hAnsi="Times New Roman;Times;serif"/>
          <w:sz w:val="20"/>
        </w:rPr>
        <w:t>”) in the form set forth in Attachment 3 to the Form of Note attached hereto as Exhibit A, if the Notes are Physical Notes, or in compliance with the Depositary’s procedures for surrendering interests in global notes, if the Notes are Global Notes, in each case during the period beginning at any time from the open of business on the date that is 20 Business Days prior to the Repurchase Date until the close of business on the second Business Day immediately preceding the Repurchase Date; and</w:t>
      </w:r>
    </w:p>
    <w:p>
      <w:pPr>
        <w:pStyle w:val="TextBody"/>
        <w:bidi w:val="0"/>
        <w:spacing w:before="0" w:after="200"/>
        <w:ind w:left="1440" w:right="0" w:firstLine="720"/>
        <w:jc w:val="left"/>
        <w:rPr>
          <w:rFonts w:ascii="Times New Roman;Times;serif" w:hAnsi="Times New Roman;Times;serif"/>
          <w:sz w:val="20"/>
        </w:rPr>
      </w:pPr>
      <w:r>
        <w:rPr>
          <w:rFonts w:ascii="Times New Roman;Times;serif" w:hAnsi="Times New Roman;Times;serif"/>
          <w:sz w:val="20"/>
        </w:rPr>
        <w:t>(B)delivery of the Notes, if the Notes are Physical Notes, to the Trustee at any time after delivery of the Repurchase Notice (together with all necessary endorsements) at the Corporate Trust Office of the Trustee, or book- entry transfer of the Notes, if the Notes are Global Notes, in compliance with the procedures of the Depositary, in each case such delivery being a condition to receipt by the Holder of the Repurchase Price therefor.</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Each Repurchase Notice shall state:</w:t>
      </w:r>
    </w:p>
    <w:p>
      <w:pPr>
        <w:pStyle w:val="TextBody"/>
        <w:bidi w:val="0"/>
        <w:spacing w:before="0" w:after="200"/>
        <w:ind w:left="1440" w:right="0" w:firstLine="720"/>
        <w:jc w:val="left"/>
        <w:rPr>
          <w:rFonts w:ascii="Times New Roman;Times;serif" w:hAnsi="Times New Roman;Times;serif"/>
          <w:sz w:val="20"/>
        </w:rPr>
      </w:pPr>
      <w:r>
        <w:rPr>
          <w:rFonts w:ascii="Times New Roman;Times;serif" w:hAnsi="Times New Roman;Times;serif"/>
          <w:sz w:val="20"/>
        </w:rPr>
        <w:t>(A)in the case of Physical Notes, the certificate numbers of the Notes to be delivered for repurchase;</w:t>
      </w:r>
    </w:p>
    <w:p>
      <w:pPr>
        <w:pStyle w:val="TextBody"/>
        <w:bidi w:val="0"/>
        <w:spacing w:before="0" w:after="200"/>
        <w:ind w:left="1440" w:right="0" w:firstLine="720"/>
        <w:jc w:val="left"/>
        <w:rPr>
          <w:rFonts w:ascii="Times New Roman;Times;serif" w:hAnsi="Times New Roman;Times;serif"/>
          <w:sz w:val="20"/>
        </w:rPr>
      </w:pPr>
      <w:r>
        <w:rPr>
          <w:rFonts w:ascii="Times New Roman;Times;serif" w:hAnsi="Times New Roman;Times;serif"/>
          <w:sz w:val="20"/>
        </w:rPr>
        <w:t>(B)the portion of the principal amount of the Notes to be repurchased, which must be US$1,000 or an integral multiple thereof; and</w:t>
      </w:r>
    </w:p>
    <w:p>
      <w:pPr>
        <w:pStyle w:val="TextBody"/>
        <w:bidi w:val="0"/>
        <w:spacing w:before="0" w:after="200"/>
        <w:ind w:left="1440" w:right="0" w:firstLine="720"/>
        <w:jc w:val="left"/>
        <w:rPr>
          <w:rFonts w:ascii="Times New Roman;Times;serif" w:hAnsi="Times New Roman;Times;serif"/>
          <w:sz w:val="20"/>
        </w:rPr>
      </w:pPr>
      <w:r>
        <w:rPr>
          <w:rFonts w:ascii="Times New Roman;Times;serif" w:hAnsi="Times New Roman;Times;serif"/>
          <w:sz w:val="20"/>
        </w:rPr>
        <w:t>(C)that the Notes are to be repurchased by the Company pursuant to the applicable provisions of the Notes and this Indenture;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if the Notes are Global Notes, the Repurchase Notice must comply with applicable Depositary procedures.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Notwithstanding anything herein to the contrary, any Holder delivering to the Trustee the Repurchase Notice contemplated by this Section 15.01 shall have the right to withdraw, in whole or in part, such Repurchase Notice at any time prior to the close of business on the second Business Day immediately preceding the Repurchase Date by delivery of a duly completed written notice of withdrawal to the Trustee in accordance with Section 15.03.</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Trustee shall promptly notify the Company of the receipt by it of any Repurchase Notice or written notice of withdrawal thereof.</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 Repurchase Notice with respect to any Notes may be delivered and no Note may be surrendered for repurchase pursuant to this Section 15.01 by a Holder thereof to the extent such Holder has also delivered a Fundamental Change Repurchase Notice with respect to such Note in accordance with Section 15.02 and not validly withdrawn such Fundamental Change Repurchase Notice in accordance with Section 15.03.</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Notwithstanding the foregoing, no Notes may be repurchased by the Company at the option of the Holders on the Repurchase Date if the principal amount of the Notes has been accelerated, and such acceleration has not been rescinded, on or prior to such Repurchase Date</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(except in the case of an acceleration resulting from a default by the Company in the payment of the Repurchase Price with respect to such Notes). The Trustee will promptly return to the respective Holders thereof any Physical Notes held by it during the acceleration of the Notes (except in the case of an acceleration resulting from a default by the Company in the payment of the Repurchase Price with respect to such Notes), or any instructions for book-entry transfer of the Notes in compliance with the procedures of the Depositary shall be deemed to have been cancelled, and, upon such return or cancellation, as the case may be, the Repurchase Notice with respect thereto shall be deemed to have been withdrawn.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15.02</w:t>
      </w:r>
      <w:r>
        <w:rPr>
          <w:rFonts w:ascii="Times New Roman;Times;serif" w:hAnsi="Times New Roman;Times;serif"/>
          <w:i/>
          <w:sz w:val="20"/>
        </w:rPr>
        <w:t>Repurchase at Option of Holders Upon a Fundamental Change</w:t>
      </w:r>
      <w:r>
        <w:rPr>
          <w:rFonts w:ascii="Times New Roman;Times;serif" w:hAnsi="Times New Roman;Times;serif"/>
          <w:sz w:val="20"/>
        </w:rPr>
        <w:t>. (a) If a Fundamental Change occurs at any time prior to the Maturity Date, each Holder shall have the right, at such Holder’s option, to require the Company to repurchase for cash all of such Holder’s Notes, or any portion thereof that is equal to US$1,000 or an integral multiple of US$1,000, on the Business Day (the “</w:t>
      </w:r>
      <w:r>
        <w:rPr>
          <w:rFonts w:ascii="Times New Roman;Times;serif" w:hAnsi="Times New Roman;Times;serif"/>
          <w:b/>
          <w:sz w:val="20"/>
        </w:rPr>
        <w:t>Fundamental Change Repurchase Date</w:t>
      </w:r>
      <w:r>
        <w:rPr>
          <w:rFonts w:ascii="Times New Roman;Times;serif" w:hAnsi="Times New Roman;Times;serif"/>
          <w:sz w:val="20"/>
        </w:rPr>
        <w:t xml:space="preserve">”) notified in writing by the Company as set forth in Section 15.02(c) that is not less than 20 Business Days or more than 35 Business Days following the date of the Fundamental Change Company Notice at a repurchase price equal to 100% of the principal amount thereof, </w:t>
      </w:r>
      <w:r>
        <w:rPr>
          <w:rFonts w:ascii="Times New Roman;Times;serif" w:hAnsi="Times New Roman;Times;serif"/>
          <w:i/>
          <w:sz w:val="20"/>
        </w:rPr>
        <w:t xml:space="preserve">plus </w:t>
      </w:r>
      <w:r>
        <w:rPr>
          <w:rFonts w:ascii="Times New Roman;Times;serif" w:hAnsi="Times New Roman;Times;serif"/>
          <w:sz w:val="20"/>
        </w:rPr>
        <w:t>accrued and unpaid interest, if any, thereon to, but excluding, the Fundamental Change Repurchase Date (the “</w:t>
      </w:r>
      <w:r>
        <w:rPr>
          <w:rFonts w:ascii="Times New Roman;Times;serif" w:hAnsi="Times New Roman;Times;serif"/>
          <w:b/>
          <w:sz w:val="20"/>
        </w:rPr>
        <w:t>Fundamental Change Repurchase Price</w:t>
      </w:r>
      <w:r>
        <w:rPr>
          <w:rFonts w:ascii="Times New Roman;Times;serif" w:hAnsi="Times New Roman;Times;serif"/>
          <w:sz w:val="20"/>
        </w:rPr>
        <w:t>”), unless the Fundamental Change Repurchase Date falls after a Regular Record Date but on or prior to the Interest Payment Date to which such Regular Record Date relates, in which case the Company shall instead pay on the Interest Payment Date the full amount of accrued and unpaid interest, if any, to Holders of record as of such Regular Record Date, and the Fundamental Change Repurchase Price shall be equal to 100% of the principal amount of Notes to be repurchased pursuant to this Article 15. The Trustee and the Conversion Agent, Paying Agent or any other agent appointed for such purpose shall have no responsibility to determine the Fundamental Change Repurchase Price.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Repurchases of Notes under this Section 15.02 shall be made, at the option of the Holder thereof, upon:</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delivery to the Trustee (or other agent appointed for this purpose) by a Holder of a duly completed notice (the “</w:t>
      </w:r>
      <w:r>
        <w:rPr>
          <w:rFonts w:ascii="Times New Roman;Times;serif" w:hAnsi="Times New Roman;Times;serif"/>
          <w:b/>
          <w:sz w:val="20"/>
        </w:rPr>
        <w:t>Fundamental Change Repurchase Notice</w:t>
      </w:r>
      <w:r>
        <w:rPr>
          <w:rFonts w:ascii="Times New Roman;Times;serif" w:hAnsi="Times New Roman;Times;serif"/>
          <w:sz w:val="20"/>
        </w:rPr>
        <w:t>”) in the form set forth in Attachment 2 to the Form of Note attached hereto as Exhibit A, if the Notes are Physical Notes, or in compliance with the Depositary’s procedures for surrendering interests in global notes, if the Notes are Global Notes, in each case on or before the close of business on the second Business Day immediately preceding the Fundamental Change Repurchase Date; and</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delivery of the Notes, if the Notes are Physical Notes, to the Trustee at any time after delivery of the Fundamental Change Repurchase Notice (together with all necessary endorsements for transfer) at the Corporate Trust Office, or book-entry transfer of the Notes, if the Notes are Global Notes, in compliance with the procedures of the Depositary, in each case such delivery being a condition to receipt by the Holder of the Fundamental Change Repurchase Price therefor.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Fundamental Change Repurchase Notice in respect of any Notes to be repurchased shall state:</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in the case of Physical Notes, the certificate numbers of the Notes to be delivered for repurchase;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the portion of the principal amount of Notes to be repurchased, which must be US$1,000 or an integral multiple thereof; and</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that the Notes are to be repurchased by the Company pursuant to the applicable provisions of the Notes and this Indenture;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if the Notes are Global Notes, the Fundamental Change Repurchase Notice must comply with appropriate Depositary procedures.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Notwithstanding anything herein to the contrary, any Holder delivering to the Trustee the Fundamental Change Repurchase Notice contemplated by this Section 15.02 shall have the right to withdraw, in whole or in part, such Fundamental Change Repurchase Notice at any time prior to the close of business on the second Business Day immediately preceding the Fundamental Change Repurchase Date by delivery of a duly completed written notice of withdrawal to the Trustee in accordance with Section 15.03.</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Trustee shall promptly notify the Company of the receipt by it of any Fundamental Change Repurchase Notice or written notice of withdrawal thereof.</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 Fundamental Change Repurchase Notice with respect to any Notes may be delivered and no Note may be surrendered by a Holder for repurchase thereof to the extent such Holder has also surrendered a Repurchase Notice with respect to such Note in accordance with Section 15.01 and not validly withdrawn such Repurchase Notice in accordance with Section 15.03.</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On or before the 20th calendar day after the occurrence of the effective date of a Fundamental Change, the Company shall provide to all Holders, the Trustee (and the Conversion Agent, Paying Agent and any other agent appointed for this purpose, in each case, if other than the Trustee) a written notice (the “</w:t>
      </w:r>
      <w:r>
        <w:rPr>
          <w:rFonts w:ascii="Times New Roman;Times;serif" w:hAnsi="Times New Roman;Times;serif"/>
          <w:b/>
          <w:sz w:val="20"/>
        </w:rPr>
        <w:t>Fundamental Change Company Notice</w:t>
      </w:r>
      <w:r>
        <w:rPr>
          <w:rFonts w:ascii="Times New Roman;Times;serif" w:hAnsi="Times New Roman;Times;serif"/>
          <w:sz w:val="20"/>
        </w:rPr>
        <w:t>”) of the occurrence of the effective date of the Fundamental Change and of the repurchase right at the option of the Holders arising as a result thereof. In the case of Physical Notes, such notice shall be by first class mail or, in the case of Global Notes, such notice shall be delivered in accordance with the applicable procedures of the Depositary. Simultaneously with providing such notice, the Company shall publish a notice containing the information set forth in the Fundamental Change Company Notice in a newspaper of general circulation in The City of New York or publish such information on the Company’s website or through such other public medium as the Company may use at that time. Each Fundamental Change Company Notice shall specify:</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events causing the Fundamental Change and whether such events also constitute a Make-Whole Fundamental Change;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the effective date of the Fundamental Change;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the last date on which a Holder may exercise the repurchase right pursuant to this Article 15;</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the Fundamental Change Repurchase Price;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the Fundamental Change Repurchase Date;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the name and address of the Trustee, the Paying Agent, the Conversion Agent or any other agent appointed for repurchase, if applicable;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w:t>
      </w:r>
      <w:r>
        <w:rPr>
          <w:rFonts w:ascii="Times New Roman;Times;serif" w:hAnsi="Times New Roman;Times;serif"/>
          <w:sz w:val="20"/>
        </w:rPr>
        <w:t>if applicable, the Conversion Rate and any adjustments to the Conversion Rate as a result of such Fundamental Change if it is a Make-Whole Fundamental Change;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(viii)</w:t>
      </w:r>
      <w:r>
        <w:rPr>
          <w:rFonts w:ascii="Times New Roman;Times;serif" w:hAnsi="Times New Roman;Times;serif"/>
          <w:sz w:val="20"/>
        </w:rPr>
        <w:t>if applicable, that the Notes with respect to which a Fundamental Change Repurchase Notice has been delivered by a Holder may be converted only if the Holder withdraws the Fundamental Change Repurchase Notice in accordance with the terms of this Indenture; and</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(ix)</w:t>
      </w:r>
      <w:r>
        <w:rPr>
          <w:rFonts w:ascii="Times New Roman;Times;serif" w:hAnsi="Times New Roman;Times;serif"/>
          <w:sz w:val="20"/>
        </w:rPr>
        <w:t>the procedures that Holders must follow to require the Company to repurchase their Notes.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No failure of the Company to give the foregoing notices and no defect therein shall limit the Holders’ repurchase rights or affect the validity of the proceedings for the repurchase of the Notes pursuant to this Section 15.02.</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At the Company’s request, the Trustee shall give such notice in the Company’s name and at the Company’s expense;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in all cases, the text of such Fundamental Change Company Notice shall be prepared by the Company.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Trustee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procedures of the Depositary shall be deemed to have been cancelled, and, upon such return or cancellation, as the case may be, the Fundamental Change Repurchase Notice with respect thereto shall be deemed to have been withdrawn.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15.03</w:t>
      </w:r>
      <w:r>
        <w:rPr>
          <w:rFonts w:ascii="Times New Roman;Times;serif" w:hAnsi="Times New Roman;Times;serif"/>
          <w:i/>
          <w:sz w:val="20"/>
        </w:rPr>
        <w:t>Withdrawal of Repurchase Notice or Fundamental Change Repurchase Notice</w:t>
      </w:r>
      <w:r>
        <w:rPr>
          <w:rFonts w:ascii="Times New Roman;Times;serif" w:hAnsi="Times New Roman;Times;serif"/>
          <w:sz w:val="20"/>
        </w:rPr>
        <w:t>. (a) A Repurchase Notice or Fundamental Change Repurchase Notice may be withdrawn (in whole or in part) by means of a duly completed written notice of withdrawal delivered to the Trustee (or other agent appointed for such purpose) in accordance with this Section 15.03 at any time prior to the close of business on the second Business Day immediately preceding the Repurchase Date or prior to the close of business on the second Business Day immediately preceding the Fundamental Change Repurchase Date, as the case may be, specifying:</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principal amount of the Notes with respect to which such notice of withdrawal is being submitted,</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if Physical Notes have been issued, the certificate number of the Note in respect of which such notice of withdrawal is being submitted, and</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the principal amount, if any, of such Note that remains subject to the original Repurchase Notice or Fundamental Change Repurchase Notice, as the case may be, which portion must be in principal amounts of US$1,000 or an integral multiple of US$1,000;</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if the Notes are Global Notes, the notice must comply with appropriate procedures of the Depositary.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15.04</w:t>
      </w:r>
      <w:r>
        <w:rPr>
          <w:rFonts w:ascii="Times New Roman;Times;serif" w:hAnsi="Times New Roman;Times;serif"/>
          <w:i/>
          <w:sz w:val="20"/>
        </w:rPr>
        <w:t>Deposit of Repurchase Price or Fundamental Change Repurchase Price</w:t>
      </w:r>
      <w:r>
        <w:rPr>
          <w:rFonts w:ascii="Times New Roman;Times;serif" w:hAnsi="Times New Roman;Times;serif"/>
          <w:sz w:val="20"/>
        </w:rPr>
        <w:t>. (a) The Company will deposit with the Paying Agent (or any other agent appointed for this purpose by the Company) (or if the Company is acting as its own Paying Agent, set aside, segregate and hold in trust as provided in Section 4.04) on or prior to 10:00 a.m., New York City time, on the Repurchase Date or Fundamental Change Repurchase Date, as the case may be, an amount of money sufficient to repurchase all of the Notes to be repurchased at the appropriate Repurchase Price or Fundamental Change Repurchase Price. Subject to receipt of funds and/or Notes by the Paying Agent (or other agent appointed for this purpose by the Company) and the Trustee, as applicable, payment for Notes surrendered for repurchase (and not withdrawn in accordance with Section 15.03) will be made on the later of (i) the Repurchase Date or Fundamental Change Repurchase Date, as the case may be, (</w:t>
      </w:r>
      <w:r>
        <w:rPr>
          <w:rFonts w:ascii="Times New Roman;Times;serif" w:hAnsi="Times New Roman;Times;serif"/>
          <w:i/>
          <w:sz w:val="20"/>
        </w:rPr>
        <w:t xml:space="preserve">provided </w:t>
      </w:r>
      <w:r>
        <w:rPr>
          <w:rFonts w:ascii="Times New Roman;Times;serif" w:hAnsi="Times New Roman;Times;serif"/>
          <w:sz w:val="20"/>
        </w:rPr>
        <w:t xml:space="preserve">the Holder has satisfied the conditions in Section 15.01 or Section 15.02, as the case may be) and (ii) the time of book- entry transfer or the delivery of such Note to the Trustee (or other agent appointed by the Company) by the Holder thereof in the manner required by Section 15.01 or Section 15.02, as applicable, by mailing checks for the amount payable to the Holders of such Notes entitled thereto as they shall appear in the Note Register;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payments to the Depositary shall be made by wire transfer of immediately available funds to the account of the Depositary or its nominee. The Paying Agent (or other agent appointed for this purpose by the Company) shall, promptly after such payment and upon written demand by the Company, return to the Company any funds in excess of the Repurchase Price or Fundamental Change Repurchase Price, as the case may be.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by 10:00 a.m., New York City time, on the Repurchase Date or Fundamental Change Repurchase Date, as the case may be, the Paying Agent (or other agent appointed for this purpose by the Company) holds money sufficient to make payment on all the Notes or portions thereof that are to be repurchased on such Repurchase Date or Fundamental Change Repurchase Date, as the case may be, then, with respect to the Notes that have been properly surrendered for repurchase to the Trustee (or other agent appointed for such purpose) and not validly withdrawn, on such Repurchase Date or Fundamental Change Repurchase Date, as the case may be, (i) such Notes will cease to be outstanding, (ii) interest will cease to accrue on such Notes (whether or not book-entry transfer of the Notes has been made or the Notes have been delivered to the Trustee) and (iii) all other rights of the Holders of such Notes will terminate (other than the right to receive the Repurchase Price or Fundamental Change Repurchase Price, as the case may be,</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and the right of the Holder on the applicable Regular Record Date to receive previously accrued and unpaid interest, if any, upon delivery or transfer of the Notes to the extent not included in the Repurchase Price or Fundamental Change Repurchase Price, as the case may be).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Upon surrender of a Note that is to be repurchased in part pursuant to Section 15.01 or Section 15.02, the Company shall execute and the Trustee, upon receipt of a Company Order, shall authenticate and deliver to the Holder a new Note in an authorized denomination equal in principal amount to the unrepurchased portion of the Note surrendered.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15.05</w:t>
      </w:r>
      <w:r>
        <w:rPr>
          <w:rFonts w:ascii="Times New Roman;Times;serif" w:hAnsi="Times New Roman;Times;serif"/>
          <w:i/>
          <w:sz w:val="20"/>
        </w:rPr>
        <w:t>Covenant to Comply with Applicable Laws Upon Repurchase of Notes</w:t>
      </w:r>
      <w:r>
        <w:rPr>
          <w:rFonts w:ascii="Times New Roman;Times;serif" w:hAnsi="Times New Roman;Times;serif"/>
          <w:sz w:val="20"/>
        </w:rPr>
        <w:t>. In connection with any repurchase offer, the Company will, if required: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comply with the provisions of Rule 13e-4, Rule 14e-1 and any other tender offer rules under the Exchange Act;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file a Schedule TO or other required schedule under the Exchange Act; and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otherwise comply with (x) all federal and state securities laws and (y) laws and regulations applicable to the Company due to the Listed Equity being listed on a Permitted Exchange, in each case, in connection with any offer by the Company to repurchase the Notes;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each case, so as to permit the rights and obligations under this Article 15 to be exercised in the time and in the manner specified in this Article 15.</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Notwithstanding anything to the contrary in this Indenture, the Company shall not be required to repurchase, or to make an offer to repurchase, the Notes upon a Fundamental Change if a third party makes such an offer in the same manner, at the same time, for the same or greater price and otherwise in compliance with the requirements for an offer made by the Company as set forth above in this Section 15.05, and such third party purchases all Notes properly surrendered and not validly withdrawn under its offer in the same manner, at the same time, for the same or greater price and otherwise in compliance with the requirements for an offer made by the Company as set forth above in this Section 15.05 (including the requirement to pay the Fundamental Change Repurchase Price on the later of the applicable Fundamental Change Repurchase Date and the time of book-entry transfer or delivery of the relevant Notes); </w:t>
      </w:r>
      <w:r>
        <w:rPr>
          <w:rFonts w:ascii="Times New Roman;Times;serif" w:hAnsi="Times New Roman;Times;serif"/>
          <w:i/>
          <w:sz w:val="20"/>
        </w:rPr>
        <w:t xml:space="preserve">provided </w:t>
      </w:r>
      <w:r>
        <w:rPr>
          <w:rFonts w:ascii="Times New Roman;Times;serif" w:hAnsi="Times New Roman;Times;serif"/>
          <w:sz w:val="20"/>
        </w:rPr>
        <w:t>that the Company will continue to be obligated to (i) deliver the applicable Fundamental Change notice to the holders (which Fundamental Change notice will state that such third party will make such an offer to purchase the Notes), (ii) comply with applicable securities laws as set forth in this Section 15.05 in connection with any such purchase and (iii) pay the applicable Fundamental Change Repurchase Price on the later of the applicable Fundamental Change Repurchase Date and the time of book-entry transfer or delivery of the relevant Notes in the event such third party fails to make such payment in such amount at such time.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Notwithstanding anything to the contrary in this Indenture, to the extent that the provisions of any federal or state securities laws or other applicable laws or regulations adopted after the date on which the Notes are first issued conflict with the provisions of this Indenture relating to the Company’s obligations to repurchase the Notes upon a Fundamental Change, the Company shall comply with the applicable securities laws and regulations and shall not be</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deemed to have breached its obligations under such provisions of this Indenture by virtue of such conflict.</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ARTICLE 16</w:t>
        <w:br/>
        <w:t>OPTIONAL REDEMPTION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16.01</w:t>
      </w:r>
      <w:r>
        <w:rPr>
          <w:rFonts w:ascii="Times New Roman;Times;serif" w:hAnsi="Times New Roman;Times;serif"/>
          <w:i/>
          <w:sz w:val="20"/>
        </w:rPr>
        <w:t>Optional Redemption for Changes in the Tax Law of the Relevant Jurisdiction</w:t>
      </w:r>
      <w:r>
        <w:rPr>
          <w:rFonts w:ascii="Times New Roman;Times;serif" w:hAnsi="Times New Roman;Times;serif"/>
          <w:sz w:val="20"/>
        </w:rPr>
        <w:t xml:space="preserve">. Other than as described in this Article 16, the Notes may not be redeemed by the Company at its option prior to maturity. If the Company has, or on the next Interest Payment Date would, become obligated to pay to the Holder of any Note Additional Amounts that are more than a </w:t>
      </w:r>
      <w:r>
        <w:rPr>
          <w:rFonts w:ascii="Times New Roman;Times;serif" w:hAnsi="Times New Roman;Times;serif"/>
          <w:i/>
          <w:sz w:val="20"/>
        </w:rPr>
        <w:t xml:space="preserve">de minimis </w:t>
      </w:r>
      <w:r>
        <w:rPr>
          <w:rFonts w:ascii="Times New Roman;Times;serif" w:hAnsi="Times New Roman;Times;serif"/>
          <w:sz w:val="20"/>
        </w:rPr>
        <w:t>amount, as a result of:</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any change or amendment that is publicly announced and becomes effective on or after September 19, 2023 (or, in the case of a jurisdiction that becomes a Relevant Jurisdiction after such date, after such later date) in the laws or any rules or regulations of a Relevant Jurisdiction; or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change that is publicly announced and becomes effective on or after September 19, 2023 (or, in the case of a jurisdiction that becomes a Relevant Jurisdiction after such date, after such later date) in an interpretation, administration or application of such laws, rules or regulations by any legislative body, court, governmental agency, taxing authority or regulatory or administrative authority of such Relevant Jurisdiction (including the enactment of any legislation and the announcement or publication of any judicial decision or regulatory or administrative interpretation or determination);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(each, a “</w:t>
      </w:r>
      <w:r>
        <w:rPr>
          <w:rFonts w:ascii="Times New Roman;Times;serif" w:hAnsi="Times New Roman;Times;serif"/>
          <w:b/>
          <w:sz w:val="20"/>
        </w:rPr>
        <w:t>Change in Tax Law</w:t>
      </w:r>
      <w:r>
        <w:rPr>
          <w:rFonts w:ascii="Times New Roman;Times;serif" w:hAnsi="Times New Roman;Times;serif"/>
          <w:sz w:val="20"/>
        </w:rPr>
        <w:t>”), the Company may, at its option, redeem all but not part of the Notes (except in respect of certain Holders that elect otherwise as described below) at a redemption price equal to 100% of the principal amount thereof (the “</w:t>
      </w:r>
      <w:r>
        <w:rPr>
          <w:rFonts w:ascii="Times New Roman;Times;serif" w:hAnsi="Times New Roman;Times;serif"/>
          <w:b/>
          <w:sz w:val="20"/>
        </w:rPr>
        <w:t>Tax Redemption Price</w:t>
      </w:r>
      <w:r>
        <w:rPr>
          <w:rFonts w:ascii="Times New Roman;Times;serif" w:hAnsi="Times New Roman;Times;serif"/>
          <w:sz w:val="20"/>
        </w:rPr>
        <w:t>”), plus accrued and unpaid interest, if any, to, but excluding the date fixed by the Company for redemption, which shall be prior to the 20</w:t>
      </w:r>
      <w:r>
        <w:rPr>
          <w:rFonts w:ascii="Times New Roman;Times;serif" w:hAnsi="Times New Roman;Times;serif"/>
          <w:sz w:val="15"/>
        </w:rPr>
        <w:t>th</w:t>
      </w:r>
      <w:r>
        <w:rPr>
          <w:rFonts w:ascii="Times New Roman;Times;serif" w:hAnsi="Times New Roman;Times;serif"/>
          <w:sz w:val="20"/>
        </w:rPr>
        <w:t xml:space="preserve"> Scheduled Trading Day immediately before the Maturity Date (the “</w:t>
      </w:r>
      <w:r>
        <w:rPr>
          <w:rFonts w:ascii="Times New Roman;Times;serif" w:hAnsi="Times New Roman;Times;serif"/>
          <w:b/>
          <w:sz w:val="20"/>
        </w:rPr>
        <w:t>Tax Redemption Date</w:t>
      </w:r>
      <w:r>
        <w:rPr>
          <w:rFonts w:ascii="Times New Roman;Times;serif" w:hAnsi="Times New Roman;Times;serif"/>
          <w:sz w:val="20"/>
        </w:rPr>
        <w:t>”) (such redemption, a “</w:t>
      </w:r>
      <w:r>
        <w:rPr>
          <w:rFonts w:ascii="Times New Roman;Times;serif" w:hAnsi="Times New Roman;Times;serif"/>
          <w:b/>
          <w:sz w:val="20"/>
        </w:rPr>
        <w:t>Tax Redemption</w:t>
      </w:r>
      <w:r>
        <w:rPr>
          <w:rFonts w:ascii="Times New Roman;Times;serif" w:hAnsi="Times New Roman;Times;serif"/>
          <w:sz w:val="20"/>
        </w:rPr>
        <w:t xml:space="preserve">”), including, for the avoidance of doubt, any Additional Amounts with respect to such Redemption Price; </w:t>
      </w:r>
      <w:r>
        <w:rPr>
          <w:rFonts w:ascii="Times New Roman;Times;serif" w:hAnsi="Times New Roman;Times;serif"/>
          <w:i/>
          <w:sz w:val="20"/>
        </w:rPr>
        <w:t xml:space="preserve">provided </w:t>
      </w:r>
      <w:r>
        <w:rPr>
          <w:rFonts w:ascii="Times New Roman;Times;serif" w:hAnsi="Times New Roman;Times;serif"/>
          <w:sz w:val="20"/>
        </w:rPr>
        <w:t>that the Company may only redeem the Notes if: (i) the Company cannot avoid such obligations by taking commercially reasonable measures available to the Company (</w:t>
      </w:r>
      <w:r>
        <w:rPr>
          <w:rFonts w:ascii="Times New Roman;Times;serif" w:hAnsi="Times New Roman;Times;serif"/>
          <w:i/>
          <w:sz w:val="20"/>
        </w:rPr>
        <w:t xml:space="preserve">provided </w:t>
      </w:r>
      <w:r>
        <w:rPr>
          <w:rFonts w:ascii="Times New Roman;Times;serif" w:hAnsi="Times New Roman;Times;serif"/>
          <w:sz w:val="20"/>
        </w:rPr>
        <w:t>that changing the jurisdiction of incorporation of the Company shall be deemed not to be a commercially reasonable measure); and (ii) the Company delivers to the Trustee an opinion of outside legal counsel of recognized standing in the Relevant Jurisdiction and an Officers’ Certificate attesting to such Change in Tax Law and obligation to pay Additional Amounts. The Trustee shall and is entitled to rely upon such opinion and Officers’ Certificate (without further investigation and enquiry) and it shall be conclusive and binding on the Holders.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Notwithstanding anything to the contrary in this Article 16, neither the Company nor any successor Person may redeem any of the Notes in the case that Additional Amounts are payable in respect of PRC deduction or withholding tax and any other tax collected at source at the Applicable PRC Rate or less solely as a result of the Company or its successor Person being considered a PRC tax resident under the PRC Enterprise Income Tax law.</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If the Tax Redemption Date occurs after a Regular Record Date and on or prior to the corresponding Interest Payment Date, the Company shall pay or cause the Paying Agent to pay, on or at its election, before such Interest Payment Date, pay the full amount of accrued and unpaid interest, if any, and any Additional Amounts with respect to such interest, due on such Interest Payment Date to the record holder of the Notes on the Regular Record Date corresponding to such Interest Payment Date, and the Redemption Price payable to any Holder (other than a Holder that elects to not have its Notes redeemed pursuant to the provisions described below) shall be equal to 100% of the principal amount of such Note to be redeemed, including, for the avoidance of doubt, any Additional Amounts with respect to such Redemption Price. The Company shall notify the Trustee in writing of its election and the date on which such interest and any Additional Amounts with respect to such interest shall be paid at the time the Company provides notice of such redemption.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shall give the Trustee and Holders of Notes not less than 30 Scheduled Trading Days’ but no more than 40 Scheduled Trading Days’ notice of redemption (a “</w:t>
      </w:r>
      <w:r>
        <w:rPr>
          <w:rFonts w:ascii="Times New Roman;Times;serif" w:hAnsi="Times New Roman;Times;serif"/>
          <w:b/>
          <w:sz w:val="20"/>
        </w:rPr>
        <w:t>Tax Redemption Notice</w:t>
      </w:r>
      <w:r>
        <w:rPr>
          <w:rFonts w:ascii="Times New Roman;Times;serif" w:hAnsi="Times New Roman;Times;serif"/>
          <w:sz w:val="20"/>
        </w:rPr>
        <w:t>”) prior to the Tax Redemption Date, which will include the Redemption Price, the Tax Redemption Date and the Settlement Method that will apply to all conversions with a Conversion Date that occurs on or after the date the Company sends such Tax Redemption Notice and before the close of business on the second Scheduled Trading Day immediately before the related Tax Redemption Date. Simultaneously with providing such notice, which will include the Redemption Price, the Tax Redemption Date and the Settlement Method that will apply to all conversions with a Conversion Date that occurs on or after the date the Company sends such notice of redemption and before the close of business on the second Scheduled Trading Day immediately before the related Tax Redemption Date, the Company shall publish a notice containing this information in a newspaper of general circulation in The City of New York or publish the information on the Company’s website or through such other public medium as the Company may use at that time. The Tax Redemption Date must be a Business Day.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Upon receiving such notice of redemption, each Holder shall have the right to elect to not have its Notes redeemed, </w:t>
      </w:r>
      <w:r>
        <w:rPr>
          <w:rFonts w:ascii="Times New Roman;Times;serif" w:hAnsi="Times New Roman;Times;serif"/>
          <w:i/>
          <w:sz w:val="20"/>
        </w:rPr>
        <w:t xml:space="preserve">provided </w:t>
      </w:r>
      <w:r>
        <w:rPr>
          <w:rFonts w:ascii="Times New Roman;Times;serif" w:hAnsi="Times New Roman;Times;serif"/>
          <w:sz w:val="20"/>
        </w:rPr>
        <w:t xml:space="preserve">that (i) the Company shall not be obligated to pay any Additional Amounts on any payment with respect to such Notes solely as a result of such Change in Tax Law that resulted in the obligation to pay such Additional Amounts (whether upon conversion, required repurchase in connection with a Fundamental Change or on the Repurchase Date, at maturity or otherwise, and whether in cash, ADSs, or a combination thereof, Reference Property or otherwise) after the Tax Redemption Date (or, if the Company fails to pay the Redemption Price on the Tax Redemption Date, such later date on which the Company pays the Redemption Price), and (ii) all future payments with respect to such Notes shall be subject to the deduction or withholding of such Relevant Taxing Jurisdiction and taxes required by law to be deducted or withheld as a result of such Change in Tax Law; </w:t>
      </w:r>
      <w:r>
        <w:rPr>
          <w:rFonts w:ascii="Times New Roman;Times;serif" w:hAnsi="Times New Roman;Times;serif"/>
          <w:i/>
          <w:sz w:val="20"/>
        </w:rPr>
        <w:t xml:space="preserve">provided further </w:t>
      </w:r>
      <w:r>
        <w:rPr>
          <w:rFonts w:ascii="Times New Roman;Times;serif" w:hAnsi="Times New Roman;Times;serif"/>
          <w:sz w:val="20"/>
        </w:rPr>
        <w:t>that, notwithstanding the foregoing, if a Holder electing not to have its Notes redeemed converts its Notes in connection with the Company’s election to redeem the Notes in respect of such Change in Tax Law pursuant to Section 14.03(g), the Company shall be obligated to pay Additional Amounts, if any, with respect to such conversion.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Subject to the applicable procedures of DTC in the case of Global Notes, a Holder electing to not have its Notes redeemed must deliver to the Paying Agent a written notice of election so as to be received by the Paying Agent no later than the close of business on the</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second Scheduled Trading Day immediately preceding the Tax Redemption Date; </w:t>
      </w:r>
      <w:r>
        <w:rPr>
          <w:rFonts w:ascii="Times New Roman;Times;serif" w:hAnsi="Times New Roman;Times;serif"/>
          <w:i/>
          <w:sz w:val="20"/>
        </w:rPr>
        <w:t xml:space="preserve">provided </w:t>
      </w:r>
      <w:r>
        <w:rPr>
          <w:rFonts w:ascii="Times New Roman;Times;serif" w:hAnsi="Times New Roman;Times;serif"/>
          <w:sz w:val="20"/>
        </w:rPr>
        <w:t>that, a Holder that complies with the requirements for conversion in Section 14.02(b) shall be deemed to have delivered a notice of its election to not have its Notes so redeemed. A Holder may withdraw any notice of election (other than such a deemed notice of election in connection with a conversion) by delivering to the Paying Agent a written notice of withdrawal prior to the close of business on the second Scheduled Trading Day immediately preceding the Tax Redemption Date (or, if the Company fails to pay the Redemption Price on the Tax Redemption Date, such later date on which the Company pays the Redemption Price). If no election is made or deemed to have been made, the Holder shall have its Notes redeemed without any further action.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 Notes may be redeemed by the Company or its successor if the principal amount of the Notes has been accelerated, and such acceleration has not been rescinded, on or prior to the Tax Redemption Date.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Section 16.02 </w:t>
      </w:r>
      <w:r>
        <w:rPr>
          <w:rFonts w:ascii="Times New Roman;Times;serif" w:hAnsi="Times New Roman;Times;serif"/>
          <w:i/>
          <w:sz w:val="20"/>
        </w:rPr>
        <w:t>Optional Redemption by the Company</w:t>
      </w:r>
      <w:r>
        <w:rPr>
          <w:rFonts w:ascii="Times New Roman;Times;serif" w:hAnsi="Times New Roman;Times;serif"/>
          <w:sz w:val="20"/>
        </w:rPr>
        <w:t>. The Company may not redeem the Notes prior to October 22, 2027, except under the circumstances described in Section 16.01 and Section 16.03.</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On or after October 22, 2027 and prior to the 20</w:t>
      </w:r>
      <w:r>
        <w:rPr>
          <w:rFonts w:ascii="Times New Roman;Times;serif" w:hAnsi="Times New Roman;Times;serif"/>
          <w:sz w:val="15"/>
        </w:rPr>
        <w:t>th</w:t>
      </w:r>
      <w:r>
        <w:rPr>
          <w:rFonts w:ascii="Times New Roman;Times;serif" w:hAnsi="Times New Roman;Times;serif"/>
          <w:sz w:val="20"/>
        </w:rPr>
        <w:t xml:space="preserve"> Scheduled Trading Day immediately prior to the Maturity Date, the Company may redeem for cash all or part of the Notes, at its option (such redemption, an “</w:t>
      </w:r>
      <w:r>
        <w:rPr>
          <w:rFonts w:ascii="Times New Roman;Times;serif" w:hAnsi="Times New Roman;Times;serif"/>
          <w:b/>
          <w:sz w:val="20"/>
        </w:rPr>
        <w:t>Optional Redemption</w:t>
      </w:r>
      <w:r>
        <w:rPr>
          <w:rFonts w:ascii="Times New Roman;Times;serif" w:hAnsi="Times New Roman;Times;serif"/>
          <w:sz w:val="20"/>
        </w:rPr>
        <w:t>”), if the Last Reported Sale Price of the ADSs has been at least 130% of the Conversion Price then in effect on (i) each of at least 20 Trading Days (whether or not consecutive) during the period of 30 consecutive Trading Days ending on, and including, the Trading Day immediately prior to the date the Company provides notice of redemption and (ii) the Trading Day immediately preceding the date the Company sends such notice.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In case the Company exercises its option to redeem all or, as the case may be, any part of the Note, it shall fix a date for redemption (the “</w:t>
      </w:r>
      <w:r>
        <w:rPr>
          <w:rFonts w:ascii="Times New Roman;Times;serif" w:hAnsi="Times New Roman;Times;serif"/>
          <w:b/>
          <w:sz w:val="20"/>
        </w:rPr>
        <w:t>Optional Redemption Date</w:t>
      </w:r>
      <w:r>
        <w:rPr>
          <w:rFonts w:ascii="Times New Roman;Times;serif" w:hAnsi="Times New Roman;Times;serif"/>
          <w:sz w:val="20"/>
        </w:rPr>
        <w:t>”) and shall give the Holders, Trustee, Conversion Agent, Paying Agent and each Holder of the Notes not less than 30 Scheduled Trading Days’ but no more than 40 Scheduled Trading Days’ notice (an “</w:t>
      </w:r>
      <w:r>
        <w:rPr>
          <w:rFonts w:ascii="Times New Roman;Times;serif" w:hAnsi="Times New Roman;Times;serif"/>
          <w:b/>
          <w:sz w:val="20"/>
        </w:rPr>
        <w:t>Optional Redemption Notice</w:t>
      </w:r>
      <w:r>
        <w:rPr>
          <w:rFonts w:ascii="Times New Roman;Times;serif" w:hAnsi="Times New Roman;Times;serif"/>
          <w:sz w:val="20"/>
        </w:rPr>
        <w:t>”) prior to the Optional Redemption Date, and the redemption price will be equal to 100% of the principal amount of the Notes to be redeemed (the “</w:t>
      </w:r>
      <w:r>
        <w:rPr>
          <w:rFonts w:ascii="Times New Roman;Times;serif" w:hAnsi="Times New Roman;Times;serif"/>
          <w:b/>
          <w:sz w:val="20"/>
        </w:rPr>
        <w:t>Optional Redemption Price</w:t>
      </w:r>
      <w:r>
        <w:rPr>
          <w:rFonts w:ascii="Times New Roman;Times;serif" w:hAnsi="Times New Roman;Times;serif"/>
          <w:sz w:val="20"/>
        </w:rPr>
        <w:t>”), plus accrued and unpaid interest, if any, to, but excluding, the Optional Redemption Date (unless the Optional Redemption Date falls after a Regular Record Date but on or prior to the immediately succeeding Interest Payment Date, in which case the Company shall pay on the Interest Payment Date the full amount of accrued and unpaid interest, if any, to the holder of record as of the close of business on such Regular Record Date, and the Optional Redemption Price shall be equal to 100% of the principal amount of the Notes to be redeemed). The Optional Redemption Date must be a Business Day. The Company shall send to each Holder (with a copy to the Trustee and the Conversion Agent (if other than the Trustee)) a written Optional Redemption Notice containing certain information set forth in this Indenture, including:</w:t>
      </w:r>
    </w:p>
    <w:tbl>
      <w:tblPr>
        <w:tblW w:w="2793" w:type="dxa"/>
        <w:jc w:val="left"/>
        <w:tblInd w:w="0" w:type="dxa"/>
        <w:tblLayout w:type="fixed"/>
        <w:tblCellMar>
          <w:top w:w="0" w:type="dxa"/>
          <w:left w:w="0" w:type="dxa"/>
          <w:bottom w:w="0" w:type="dxa"/>
          <w:right w:w="0" w:type="dxa"/>
        </w:tblCellMar>
      </w:tblPr>
      <w:tblGrid>
        <w:gridCol w:w="23"/>
        <w:gridCol w:w="200"/>
        <w:gridCol w:w="257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(i)</w:t>
            </w:r>
          </w:p>
        </w:tc>
        <w:tc>
          <w:tcPr>
            <w:tcW w:w="257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Optional Redemption Date;</w:t>
            </w:r>
          </w:p>
        </w:tc>
      </w:tr>
    </w:tbl>
    <w:tbl>
      <w:tblPr>
        <w:tblW w:w="2883" w:type="dxa"/>
        <w:jc w:val="left"/>
        <w:tblInd w:w="0" w:type="dxa"/>
        <w:tblLayout w:type="fixed"/>
        <w:tblCellMar>
          <w:top w:w="0" w:type="dxa"/>
          <w:left w:w="0" w:type="dxa"/>
          <w:bottom w:w="0" w:type="dxa"/>
          <w:right w:w="0" w:type="dxa"/>
        </w:tblCellMar>
      </w:tblPr>
      <w:tblGrid>
        <w:gridCol w:w="23"/>
        <w:gridCol w:w="260"/>
        <w:gridCol w:w="260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(ii)</w:t>
            </w:r>
          </w:p>
        </w:tc>
        <w:tc>
          <w:tcPr>
            <w:tcW w:w="260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Optional Redemption Price;</w:t>
            </w:r>
          </w:p>
        </w:tc>
      </w:tr>
    </w:tbl>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the Settlement Method that will apply to all conversions with a Conversion Date that occurs on or after the date the Company sends such Optional Redemption Notice and before the close of business on the second Scheduled Trading Day immediately before the related Optional Redemption Date;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that on the Optional Redemption Date, the Optional Redemption Price will become due and payable for each Note to be redeemed, and that interest thereon, if any, shall cease to accrue on and after the Optional Redemption Date unless the Company defaults in the payment of the Optional Redemption Price;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the place or places where the Notes subject to such redemption are to be surrendered for payment of the Optional Redemption Price;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that Holders may surrender Notes for conversion at any time prior to the close of business on the second Scheduled Trading Day prior to the Optional Redemption Date (unless the Company fails to pay the Optional Redemption Price, in which case a Holder of Notes may convert such Notes until the Scheduled Trading Day immediately preceding the date on which the Optional Redemption Price has been paid or duly provided for);</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w:t>
      </w:r>
      <w:r>
        <w:rPr>
          <w:rFonts w:ascii="Times New Roman;Times;serif" w:hAnsi="Times New Roman;Times;serif"/>
          <w:sz w:val="20"/>
        </w:rPr>
        <w:t>the Conversion Rate and, if applicable, the number of Additional ADSs added to the Conversion Rate in accordance with Section 14.03;</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(viii)</w:t>
      </w:r>
      <w:r>
        <w:rPr>
          <w:rFonts w:ascii="Times New Roman;Times;serif" w:hAnsi="Times New Roman;Times;serif"/>
          <w:sz w:val="20"/>
        </w:rPr>
        <w:t>the CUSIP, ISIN or other similar numbers, if any, assigned to such Notes and that no representation is made as to the correctness or accuracy of the CUSIP or ISIN number listed in such notice or printed on the Notes; and</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(ix)</w:t>
      </w:r>
      <w:r>
        <w:rPr>
          <w:rFonts w:ascii="Times New Roman;Times;serif" w:hAnsi="Times New Roman;Times;serif"/>
          <w:sz w:val="20"/>
        </w:rPr>
        <w:t>in case any Note is to be redeemed in part only, the portion of the principal amount thereof to be redeemed, and that upon surrender of such Note, a new Note in principal amount equal to the unredeemed portion thereof shall be issued.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An Optional Redemption Notice shall be irrevocable. At the Company’s prior written request, the Trustee shall give the Optional Redemption Notice in the Company’s name and at its expense;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the Company shall have delivered to the Trustee not later than the close of business five Scheduled Trading Day prior to the date the Optional Redemption Notice is to be sent (unless a shorter period shall be satisfactory to the Trustee), an Officer’s Certificate and a Company Order requesting that the Trustee give such Optional Redemption Notice together with the Optional Redemption Notice to be given setting forth the information to be stated therein as provided in the preceding paragraph. The Optional Redemption Notice, if given in the manner herein provided, shall be conclusively presumed to have been duly given, whether or not the Holder receives such notice. In any case, failure to give such Optional Redemption Notice or any defect in the Optional Redemption Notice to the Holder of any Note designated for redemption as a whole or in part shall not affect the validity of the proceedings for the Optional Redemption of any other Note.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If the Company decides to redeem fewer than all of the outstanding Notes, the Notes to be redeemed will be selected (x) in the case of a certificated Note, by the Trustee (in principal amounts of $1,000 or multiples thereof) by lot, on a pro rata basis or by another method the</w:t>
      </w:r>
    </w:p>
    <w:p>
      <w:pPr>
        <w:pStyle w:val="TextBody"/>
        <w:bidi w:val="0"/>
        <w:spacing w:before="0" w:after="200"/>
        <w:ind w:left="160" w:right="0" w:firstLine="719"/>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Trustee considers to be appropriate and, (y) in the case of a Global Note, in accordance with, and subject to, DTC’s applicable procedures.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If a portion of a Holder’s Notes is selected for partial redemption and such Holder converts a portion of such Notes, the converted portion shall be deemed to be from the portion selected for redemption. In the event of any redemption in part, the Company shall not be required to register the transfer of or exchange any Note so selected for redemption, in whole or in part, except the unredeemed portion of any such Note being redeemed in part.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 Notes may be redeemed if the principal amount of the Notes has been accelerated, and such acceleration has not been rescinded, on or prior to the Optional Redemption Date (except in the case of an acceleration resulting from a default by the Company in the payment of the Redemption Price with respect to such Notes).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16.03</w:t>
      </w:r>
      <w:r>
        <w:rPr>
          <w:rFonts w:ascii="Times New Roman;Times;serif" w:hAnsi="Times New Roman;Times;serif"/>
          <w:i/>
          <w:sz w:val="20"/>
        </w:rPr>
        <w:t>Cleanup Redemption</w:t>
      </w:r>
      <w:r>
        <w:rPr>
          <w:rFonts w:ascii="Times New Roman;Times;serif" w:hAnsi="Times New Roman;Times;serif"/>
          <w:sz w:val="20"/>
        </w:rPr>
        <w:t>. (a) The Company may redeem for cash all but not part of the Notes at any time, on a redemption date (the “</w:t>
      </w:r>
      <w:r>
        <w:rPr>
          <w:rFonts w:ascii="Times New Roman;Times;serif" w:hAnsi="Times New Roman;Times;serif"/>
          <w:b/>
          <w:sz w:val="20"/>
        </w:rPr>
        <w:t>Cleanup Redemption Date</w:t>
      </w:r>
      <w:r>
        <w:rPr>
          <w:rFonts w:ascii="Times New Roman;Times;serif" w:hAnsi="Times New Roman;Times;serif"/>
          <w:sz w:val="20"/>
        </w:rPr>
        <w:t>”) at any time, if less than 10% of the aggregate principal amount of Notes originally issued remains outstanding at such time (including, for the avoidance of doubt, all Notes previously surrendered to the Company pursuant to Section 14.13 (</w:t>
      </w:r>
      <w:r>
        <w:rPr>
          <w:rFonts w:ascii="Times New Roman;Times;serif" w:hAnsi="Times New Roman;Times;serif"/>
          <w:i/>
          <w:sz w:val="20"/>
        </w:rPr>
        <w:t>Exchange In Lieu of Conversion</w:t>
      </w:r>
      <w:r>
        <w:rPr>
          <w:rFonts w:ascii="Times New Roman;Times;serif" w:hAnsi="Times New Roman;Times;serif"/>
          <w:sz w:val="20"/>
        </w:rPr>
        <w:t>) (such redemption, a “</w:t>
      </w:r>
      <w:r>
        <w:rPr>
          <w:rFonts w:ascii="Times New Roman;Times;serif" w:hAnsi="Times New Roman;Times;serif"/>
          <w:b/>
          <w:sz w:val="20"/>
        </w:rPr>
        <w:t>Cleanup Redemption</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In the case of any Cleanup Redemption, the Company shall give the Trustee, the Conversion Agent (if other than the Trustee) and each Holder of the Notes not less than 30 Scheduled Trading Days’ but no more than 40 Scheduled Trading Days’ written notice (a “</w:t>
      </w:r>
      <w:r>
        <w:rPr>
          <w:rFonts w:ascii="Times New Roman;Times;serif" w:hAnsi="Times New Roman;Times;serif"/>
          <w:b/>
          <w:sz w:val="20"/>
        </w:rPr>
        <w:t>Cleanup Redemption Notice</w:t>
      </w:r>
      <w:r>
        <w:rPr>
          <w:rFonts w:ascii="Times New Roman;Times;serif" w:hAnsi="Times New Roman;Times;serif"/>
          <w:sz w:val="20"/>
        </w:rPr>
        <w:t>”) prior to the Cleanup Redemption Date, and the Redemption Price will be equal to 100% of the principal amount of the Notes to be redeemed (the “</w:t>
      </w:r>
      <w:r>
        <w:rPr>
          <w:rFonts w:ascii="Times New Roman;Times;serif" w:hAnsi="Times New Roman;Times;serif"/>
          <w:b/>
          <w:sz w:val="20"/>
        </w:rPr>
        <w:t>Cleanup Redemption Price</w:t>
      </w:r>
      <w:r>
        <w:rPr>
          <w:rFonts w:ascii="Times New Roman;Times;serif" w:hAnsi="Times New Roman;Times;serif"/>
          <w:sz w:val="20"/>
        </w:rPr>
        <w:t>”), plus accrued and unpaid interest, if any, to, but excluding, the Cleanup Redemption Date (unless the Cleanup Redemption Date falls after a Regular Record Date but on or prior to the immediately succeeding Interest Payment Date, in which case the Company shall pay on the Interest Payment Date the full amount of accrued and unpaid interest, if any, to the holder of record as of the close of business on such Regular Record Date, and the Redemption Price shall be equal to 100% of the principal amount of the Notes to be redeemed). The Cleanup Redemption Date must be a Business Day. The Company shall send to each Holder, the Trustee and the Conversion Agent (if other than the Trustee) a written Cleanup Redemption Notice containing certain information set forth in this Indenture, including:</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Cleanup Redemption Date;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the Redemption Price;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the Settlement Method that will apply to all conversions with a Conversion Date that occurs on or after the date the Company sends such Cleanup Redemption Notice and before the close of business on the second Scheduled Trading Day immediately before the related Cleanup Redemption Date;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that on the Cleanup Redemption Date, the Redemption Price will become due and payable for each Note to be redeemed, and that interest thereon, if any, shall</w:t>
      </w:r>
    </w:p>
    <w:p>
      <w:pPr>
        <w:pStyle w:val="TextBody"/>
        <w:bidi w:val="0"/>
        <w:spacing w:before="0" w:after="200"/>
        <w:ind w:left="880" w:right="0" w:firstLine="72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cease to accrue on and after the Cleanup Redemption Date unless the Company defaults in the payment of the Redemption Price;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the place or places where the Notes subject to such redemption are to be surrendered for payment of the Redemption Price;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that Holders may surrender Notes for conversion at any time prior to the close of business on the second Scheduled Trading Day prior to the Cleanup Redemption Date (unless the Company fails to pay the Redemption Price, in which case a Holder of Notes may convert such Notes until the Scheduled Trading Day immediately preceding the date on which the Redemption Price has been paid or duly provided for);</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w:t>
      </w:r>
      <w:r>
        <w:rPr>
          <w:rFonts w:ascii="Times New Roman;Times;serif" w:hAnsi="Times New Roman;Times;serif"/>
          <w:sz w:val="20"/>
        </w:rPr>
        <w:t>the Conversion Rate and, if applicable, the number of Additional ADSs added to the Conversion Rate in accordance with Section 14.03;</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(viii)</w:t>
      </w:r>
      <w:r>
        <w:rPr>
          <w:rFonts w:ascii="Times New Roman;Times;serif" w:hAnsi="Times New Roman;Times;serif"/>
          <w:sz w:val="20"/>
        </w:rPr>
        <w:t>the CUSIP, ISIN or other similar numbers, if any, assigned to such Notes and that no representation is made as to the correctness or accuracy of the CUSIP or ISIN number listed in such notice or printed on the Notes; and</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(ix)</w:t>
      </w:r>
      <w:r>
        <w:rPr>
          <w:rFonts w:ascii="Times New Roman;Times;serif" w:hAnsi="Times New Roman;Times;serif"/>
          <w:sz w:val="20"/>
        </w:rPr>
        <w:t>in case any Note is to be redeemed in part only, the portion of the principal amount thereof to be redeemed, and that upon surrender of such Note, a new Note in principal amount equal to the unredeemed portion thereof shall be issued.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A Cleanup Redemption Notice shall be irrevocable. At the Company’s prior written request, the Trustee shall give the Cleanup Redemption Notice in the Company’s name and at its expense;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the Company shall have delivered to the Trustee not later than the close of business five Scheduled Trading Day prior to the date the Cleanup Redemption Notice is to be sent (unless a shorter period shall be satisfactory to the Trustee), an Officer’s Certificate and a Company Order requesting that the Trustee give such Cleanup Redemption Notice together with the Cleanup Redemption Notice to be given setting forth the information to be stated therein as provided in the preceding paragraph. The Cleanup Redemption Notice, if given in the manner herein provided, shall be conclusively presumed to have been duly given, whether or not the Holder receives such notice. In any case, failure to give such Cleanup Redemption Notice or any defect in the Cleanup Redemption Notice to the Holder of any Note designated for redemption as a whole or in part shall not affect the validity of the proceedings for the Cleanup Redemption of any other Note.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 Notes may be redeemed if the principal amount of the Notes has been accelerated, and such acceleration has not been rescinded, on or prior to the Cleanup Redemption Date (except in the case of an acceleration resulting from a default by the Company in the payment of the Redemption Price with respect to such Notes).</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ARTICLE 17</w:t>
        <w:br/>
        <w:t>MISCELLANEOUS PROVISIONS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17.01</w:t>
      </w:r>
      <w:r>
        <w:rPr>
          <w:rFonts w:ascii="Times New Roman;Times;serif" w:hAnsi="Times New Roman;Times;serif"/>
          <w:i/>
          <w:sz w:val="20"/>
        </w:rPr>
        <w:t>Provisions Binding on Company’s Successors</w:t>
      </w:r>
      <w:r>
        <w:rPr>
          <w:rFonts w:ascii="Times New Roman;Times;serif" w:hAnsi="Times New Roman;Times;serif"/>
          <w:sz w:val="20"/>
        </w:rPr>
        <w:t>. All the covenants, stipulations, promises and agreements of the Company contained in this Indenture shall bind its successors and assigns whether so expressed or not.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17.02</w:t>
      </w:r>
      <w:r>
        <w:rPr>
          <w:rFonts w:ascii="Times New Roman;Times;serif" w:hAnsi="Times New Roman;Times;serif"/>
          <w:i/>
          <w:sz w:val="20"/>
        </w:rPr>
        <w:t>Official Acts by Successor Corporation</w:t>
      </w:r>
      <w:r>
        <w:rPr>
          <w:rFonts w:ascii="Times New Roman;Times;serif" w:hAnsi="Times New Roman;Times;serif"/>
          <w:sz w:val="20"/>
        </w:rPr>
        <w:t>.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17.03</w:t>
      </w:r>
      <w:r>
        <w:rPr>
          <w:rFonts w:ascii="Times New Roman;Times;serif" w:hAnsi="Times New Roman;Times;serif"/>
          <w:i/>
          <w:sz w:val="20"/>
        </w:rPr>
        <w:t xml:space="preserve">Addresses for Notices, Etc. </w:t>
      </w:r>
      <w:r>
        <w:rPr>
          <w:rFonts w:ascii="Times New Roman;Times;serif" w:hAnsi="Times New Roman;Times;serif"/>
          <w:sz w:val="20"/>
        </w:rPr>
        <w:t>Any notice or demand that by any provision of this Indenture is required or permitted to be given or served by the Trustee or by the Holders on the Company shall be deemed to have been sufficiently given or made, for all purposes if given or served by being deposited postage prepaid by registered or certified mail in a post office letter box addressed (until another address is filed by the Company with the Trustee) to Building 20, No. 56 AnTuo Road, Jiading District, Shanghai, 201804, People’s Republic of China, Facsimile No.: +86 (21) 3913 0192. Any notice, direction, request or demand hereunder to or upon the Trustee shall be given or served by being deposited postage prepaid by registered or certified mail in a post office letter box addressed to Deutsche Bank Trust Company Americas, Trust and Agency Services, 1 Columbus Circle , 17th Floor, Mail Stop: NYC01-1710, New York, New York 10019, Attn: Corporates Team, NIO INC. Deal ID AA5802, Facsimile: (732) 578-4635.</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All notices and other communications under this Indenture shall be in writing in English.</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So long as and to the extent that the Notes are represented by Global Notes and such Global Notes are held by DTC, notices to owners of beneficial interests in the Global Notes may be given by delivery of the relevant notice to DTC for communication by it to entitled account holders in accordance with DTC’s applicable procedures.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hereby acknowledges that it is fully aware of the risks associated with transmitting instructions via electronic methods (including facsimile), and being aware of these risks, authorizes the Trustee to accept and act upon any instruction sent to it or any Paying Agent, Transfer Agent, Conversion Agent or Note Registrar in the Company’s name or in the name of one or more appropriate authorized signers of the Company via electronic methods (including facsimile). The Trustee shall be entitled to rely on Section 7.06 of this Indenture when accepting or acting upon any instructions, communications or documents transmitted by facsimile, and shall not be liable in the event any facsimile transmission is not received, or is mutilated, illegible, interrupted, duplicated, incomplete, unauthorized or delayed for any reason, including (but not limited to) electronic or telecommunications failure.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Furthermore, notwithstanding the above, if any Trustee receives information or instructions delivered by electronic mail, other electronic method or other unsecured method of communication believed by it to be genuine and to have been sent by the proper person or persons, the Trustee or any Paying Agent, Transfer Agent, Conversion Agent or Note Registrar</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shall have (i) no duty or obligation to verify or confirm that the person who sent such instructions is in fact a person authorized to give instructions or directions on behalf of the Company and (ii) absent its or their gross negligence or willful misconduct, no liability for any losses, liabilities, costs or expenses incurred or sustained by any holder, the Company or any other person as a result of such reliance on or compliance with such information or instructions.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Trustee, by notice to the Company, may designate additional or different addresses for subsequent notices or communications.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Any notice or communication mailed to a Holder shall be mailed to it by first class mail, postage prepaid, at its address as it appears on the Note Register and shall be sufficiently given to it if so mailed within the time prescribed.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Failure to mail a notice or communication to a Holder or any defect in it shall not affect its sufficiency with respect to other Holders. If a notice or communication is mailed in the manner provided above, it is duly given, whether or not the addressee receives it.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17.04</w:t>
      </w:r>
      <w:r>
        <w:rPr>
          <w:rFonts w:ascii="Times New Roman;Times;serif" w:hAnsi="Times New Roman;Times;serif"/>
          <w:i/>
          <w:sz w:val="20"/>
        </w:rPr>
        <w:t>Governing Law; Jurisdiction</w:t>
      </w:r>
      <w:r>
        <w:rPr>
          <w:rFonts w:ascii="Times New Roman;Times;serif" w:hAnsi="Times New Roman;Times;serif"/>
          <w:sz w:val="20"/>
        </w:rPr>
        <w:t>. THIS INDENTURE AND EACH NOTE, AND ANY CLAIM, CONTROVERSY OR DISPUTE ARISING UNDER OR RELATED TO THIS INDENTURE AND EACH NOTE, SHALL BE GOVERNED BY, AND CONSTRUED IN ACCORDANCE WITH, THE LAWS OF THE STATE OF NEW YORK.</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Times New Roman;Times;serif" w:hAnsi="Times New Roman;Times;serif"/>
          <w:i/>
          <w:sz w:val="20"/>
        </w:rPr>
        <w:t>in personam</w:t>
      </w:r>
      <w:r>
        <w:rPr>
          <w:rFonts w:ascii="Times New Roman;Times;serif" w:hAnsi="Times New Roman;Times;serif"/>
          <w:sz w:val="20"/>
        </w:rPr>
        <w:t>, generally and unconditionally with respect to any action, suit or proceeding for itself in respect of its properties, assets and revenues.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17.05</w:t>
      </w:r>
      <w:r>
        <w:rPr>
          <w:rFonts w:ascii="Times New Roman;Times;serif" w:hAnsi="Times New Roman;Times;serif"/>
          <w:i/>
          <w:sz w:val="20"/>
        </w:rPr>
        <w:t>Submission to Jurisdiction; Service of Process</w:t>
      </w:r>
      <w:r>
        <w:rPr>
          <w:rFonts w:ascii="Times New Roman;Times;serif" w:hAnsi="Times New Roman;Times;serif"/>
          <w:sz w:val="20"/>
        </w:rPr>
        <w:t>. The Company irrevocably appoints Cogency Global Inc.as its authorized agent in the Borough of Manhattan in the City of New York upon which process may be served in any such suit or proceeding, and agrees that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service of process upon such agent, and written notice of said service to the Company by the person serving the same to Building 20, No. 56 AnTuo Road, Jiading District, Shanghai, 201804, People’s Republic of China, Facsimile No. +86 (21) 3913 0192, shall be deemed in every respect effective service of process upon the Company in any such suit or proceeding. The Company further agrees to take any and all action as may be necessary to maintain such designation and appointment of such agent in full force and effect for a period of seven years from the date of this Indenture. If for any reason such agent shall cease to be such agent for service of process, the Company shall forthwith appoint a new agent of recognized standing for service of process in the State of New York and deliver to the Trustee a copy of the new agent’s acceptance of that appointment within ten Business Days of such acceptance. Nothing herein shall affect the right of the Trustee, any Agent or any Holder to serve process in any other manner permitted by law or to commence legal proceedings or otherwise proceed against the Company in any other court of competent jurisdiction. To the extent that the Company has or hereafter may acquire any sovereign or other immunity from jurisdiction of any court or from any legal process with respect to itself or its property, the Company irrevocably waives such immunity in respect of its obligations hereunder or under any Note.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17.06</w:t>
      </w:r>
      <w:r>
        <w:rPr>
          <w:rFonts w:ascii="Times New Roman;Times;serif" w:hAnsi="Times New Roman;Times;serif"/>
          <w:i/>
          <w:sz w:val="20"/>
        </w:rPr>
        <w:t>Evidence of Compliance with Conditions Precedent; Certificates and Opinions of Counsel to Trustee</w:t>
      </w:r>
      <w:r>
        <w:rPr>
          <w:rFonts w:ascii="Times New Roman;Times;serif" w:hAnsi="Times New Roman;Times;serif"/>
          <w:sz w:val="20"/>
        </w:rPr>
        <w:t>. Upon any application or demand by the Company to the Trustee to take any action under any of the provisions of this Indenture, the Company shall, if requested by the Trustee, furnish to the Trustee an Officers’ Certificate and Opinion of Counsel stating that such action is permitted by the terms of this Indenture. For the avoidance of doubt, no Opinion of Counsel shall be delivered to the Trustee on the date of this Indenture in connection with the original issuance of the initial Global Notes.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Each Officers’ Certificate provided for, by or on behalf of the Company in this Indenture and delivered to the Trustee with respect to compliance with this Indenture (other than the Officers’ Certificates provided for in Section 4.09) shall include (a) a statement that the person making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17.07</w:t>
      </w:r>
      <w:r>
        <w:rPr>
          <w:rFonts w:ascii="Times New Roman;Times;serif" w:hAnsi="Times New Roman;Times;serif"/>
          <w:i/>
          <w:sz w:val="20"/>
        </w:rPr>
        <w:t>Legal Holidays</w:t>
      </w:r>
      <w:r>
        <w:rPr>
          <w:rFonts w:ascii="Times New Roman;Times;serif" w:hAnsi="Times New Roman;Times;serif"/>
          <w:sz w:val="20"/>
        </w:rPr>
        <w:t>. In any case where any Interest Payment Date, Tax Redemption Date, Optional Redemption Date, Cleanup Redemption Date, Fundamental Change Repurchase Date, Conversion Date, Repurchase Date or Maturity Date is not a Business Day, then any action to be taken on such date need not be taken on such date, but may be taken on the next succeeding Business Day with the same force and effect as if taken on such date, and no interest shall accrue in respect of the delay.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17.08</w:t>
      </w:r>
      <w:r>
        <w:rPr>
          <w:rFonts w:ascii="Times New Roman;Times;serif" w:hAnsi="Times New Roman;Times;serif"/>
          <w:i/>
          <w:sz w:val="20"/>
        </w:rPr>
        <w:t>No Security Interest Created</w:t>
      </w:r>
      <w:r>
        <w:rPr>
          <w:rFonts w:ascii="Times New Roman;Times;serif" w:hAnsi="Times New Roman;Times;serif"/>
          <w:sz w:val="20"/>
        </w:rPr>
        <w:t>. Nothing in this Indenture or in the Notes, expressed or implied, shall be construed to constitute a security interest under the Uniform Commercial Code or similar legislation, as now or hereafter enacted and in effect, in any jurisdiction.</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17.09</w:t>
      </w:r>
      <w:r>
        <w:rPr>
          <w:rFonts w:ascii="Times New Roman;Times;serif" w:hAnsi="Times New Roman;Times;serif"/>
          <w:i/>
          <w:sz w:val="20"/>
        </w:rPr>
        <w:t>Benefits of Indenture</w:t>
      </w:r>
      <w:r>
        <w:rPr>
          <w:rFonts w:ascii="Times New Roman;Times;serif" w:hAnsi="Times New Roman;Times;serif"/>
          <w:sz w:val="20"/>
        </w:rPr>
        <w:t>. Nothing in this Indenture or in the Notes, expressed or implied, shall give to any Person, other than the Holders, the parties hereto, any Paying Agent, any Conversion Agent, any Note Registrar and their successors hereunder, any benefit or any legal or equitable right, remedy or claim under this Indenture.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17.10</w:t>
      </w:r>
      <w:r>
        <w:rPr>
          <w:rFonts w:ascii="Times New Roman;Times;serif" w:hAnsi="Times New Roman;Times;serif"/>
          <w:i/>
          <w:sz w:val="20"/>
        </w:rPr>
        <w:t xml:space="preserve">Table of Contents, Headings, Etc. </w:t>
      </w:r>
      <w:r>
        <w:rPr>
          <w:rFonts w:ascii="Times New Roman;Times;serif" w:hAnsi="Times New Roman;Times;serif"/>
          <w:sz w:val="20"/>
        </w:rPr>
        <w:t>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17.11</w:t>
      </w:r>
      <w:r>
        <w:rPr>
          <w:rFonts w:ascii="Times New Roman;Times;serif" w:hAnsi="Times New Roman;Times;serif"/>
          <w:i/>
          <w:sz w:val="20"/>
        </w:rPr>
        <w:t>Execution in Counterparts</w:t>
      </w:r>
      <w:r>
        <w:rPr>
          <w:rFonts w:ascii="Times New Roman;Times;serif" w:hAnsi="Times New Roman;Times;serif"/>
          <w:sz w:val="20"/>
        </w:rPr>
        <w:t>. This Indenture may be executed in any number of counterparts, each of which shall be an original, but such counterparts shall together constitute but one and the same instrument.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Facsimile, documents executed, scanned and transmitted electronically and electronic signatures, including those created or transmitted through a software platform or application, shall be deemed original signatures for purposes of this Indenture and all other related documents and all matters and agreements related thereto, with such facsimile, scanned and electronic signatures having the same legal effect as original signatures. The parties agree that this Indenture or any other related document or any instrument, agreement or document necessary for the consummation of the transactions contemplated by this Indenture or the other related documents or related hereto or thereto (including, without limitation, addendums, amendments, notices, instructions, communications with respect to the delivery of securities or the wire transfer of funds or other communications) (“</w:t>
      </w:r>
      <w:r>
        <w:rPr>
          <w:rFonts w:ascii="Times New Roman;Times;serif" w:hAnsi="Times New Roman;Times;serif"/>
          <w:b/>
          <w:sz w:val="20"/>
        </w:rPr>
        <w:t>Executed Documentation</w:t>
      </w:r>
      <w:r>
        <w:rPr>
          <w:rFonts w:ascii="Times New Roman;Times;serif" w:hAnsi="Times New Roman;Times;serif"/>
          <w:sz w:val="20"/>
        </w:rPr>
        <w:t>”) may be accepted, executed or agreed to through the use of an electronic signature in accordance with applicable laws, rules and regulations in effect from time to time applicable to the effectiveness and enforceability of electronic signatures. Any Executed Documentation accepted, executed or agreed to in conformity with such laws, rules and regulations will be binding on all parties hereto to the same extent as if it were physically executed and each party hereby consents to the use of any third party electronic signature capture service providers as may be reasonably chosen by a signatory hereto or thereto. When the Trustee or an Agent acts on any Executed Documentation sent by electronic transmission, the Trustee or Agent will not be responsible or liable for any losses, costs or expenses arising directly or indirectly from its reliance upon and compliance with such Executed Documentation, notwithstanding that such Executed Documentation (a) may not be an authorized or authentic communication of the party involved or in the form such party sent or intended to send (whether due to fraud, distortion or otherwise) or (b) may conflict with, or be inconsistent with, a subsequent written instruction or communication; it being understood and agreed that the Trustee and each Agent shall conclusively presume that Executed Documentation that purports to have been sent by an authorized officer of a Person has been sent by an authorized officer of such Person. The party providing Executed Documentation through electronic transmission or otherwise with electronic signatures agrees to assume all risks arising out of such electronic methods, including, without limitation, the risk of the Trustee or an Agent acting on unauthorized instructions and the risk of interception and misuse by third parties.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17.12</w:t>
      </w:r>
      <w:r>
        <w:rPr>
          <w:rFonts w:ascii="Times New Roman;Times;serif" w:hAnsi="Times New Roman;Times;serif"/>
          <w:i/>
          <w:sz w:val="20"/>
        </w:rPr>
        <w:t>Severability</w:t>
      </w:r>
      <w:r>
        <w:rPr>
          <w:rFonts w:ascii="Times New Roman;Times;serif" w:hAnsi="Times New Roman;Times;serif"/>
          <w:sz w:val="20"/>
        </w:rPr>
        <w:t>. In the event any provision of this Indenture or in the Notes shall be invalid, illegal or unenforceable, then (to the extent permitted by law) the validity,</w:t>
      </w:r>
    </w:p>
    <w:p>
      <w:pPr>
        <w:pStyle w:val="TextBody"/>
        <w:bidi w:val="0"/>
        <w:spacing w:before="0" w:after="200"/>
        <w:ind w:left="160" w:right="0" w:firstLine="719"/>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legality or enforceability of the remaining provisions shall not in any way be affected or impaired.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17.13</w:t>
      </w:r>
      <w:r>
        <w:rPr>
          <w:rFonts w:ascii="Times New Roman;Times;serif" w:hAnsi="Times New Roman;Times;serif"/>
          <w:i/>
          <w:sz w:val="20"/>
        </w:rPr>
        <w:t>Waiver of Jury Trial</w:t>
      </w:r>
      <w:r>
        <w:rPr>
          <w:rFonts w:ascii="Times New Roman;Times;serif" w:hAnsi="Times New Roman;Times;serif"/>
          <w:sz w:val="20"/>
        </w:rPr>
        <w:t>. EACH OF THE COMPANY AND THE TRUSTEE HEREBY IRREVOCABLY WAIVES, AND EACH HOLDER, BY ITS ACCEPTANCE OF A NOTE OR A BENEFICIAL INTEREST IN A GLOBAL NOTE, AS APPLICABLE, SHALL BE DEEMED TO HAVE WAIVED, TO THE FULLEST EXTENT PERMITTED BY APPLICABLE LAW, ANY AND ALL RIGHT TO TRIAL BY JURY IN ANY LEGAL PROCEEDING ARISING OUT OF OR RELATING TO THIS INDENTURE, THE NOTES OR THE TRANSACTIONS CONTEMPLATED HEREBY.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17.14</w:t>
      </w:r>
      <w:r>
        <w:rPr>
          <w:rFonts w:ascii="Times New Roman;Times;serif" w:hAnsi="Times New Roman;Times;serif"/>
          <w:i/>
          <w:sz w:val="20"/>
        </w:rPr>
        <w:t>Force Majeure</w:t>
      </w:r>
      <w:r>
        <w:rPr>
          <w:rFonts w:ascii="Times New Roman;Times;serif" w:hAnsi="Times New Roman;Times;serif"/>
          <w:sz w:val="20"/>
        </w:rPr>
        <w:t>. In no event shall the Trustee or the Agents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pandemics, epidemics and wide spread health crisis, or acts of God, and interruptions, loss or malfunctions of utilities, communications or computer (software and hardware) services; it being understood that the Trustee or the Agents, as the case may be, shall use reasonable efforts that are consistent with accepted practices in the banking industry to resume performance as soon as practicable under the circumstances.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17.15</w:t>
      </w:r>
      <w:r>
        <w:rPr>
          <w:rFonts w:ascii="Times New Roman;Times;serif" w:hAnsi="Times New Roman;Times;serif"/>
          <w:i/>
          <w:sz w:val="20"/>
        </w:rPr>
        <w:t>Calculations</w:t>
      </w:r>
      <w:r>
        <w:rPr>
          <w:rFonts w:ascii="Times New Roman;Times;serif" w:hAnsi="Times New Roman;Times;serif"/>
          <w:sz w:val="20"/>
        </w:rPr>
        <w:t>. Except as otherwise provided herein, the Company shall be responsible for making all calculations called for under the Notes or in connection with a conversion. These calculations include, but are not limited to, determinations of the Last Reported Sale Prices of the ADSs, the Daily VWAPs, the Daily Conversion Values, the Daily Settlement Amounts, any accrued interest, if any, payable on the Notes, the number of Additional ADSs to be added to the Conversion Rate upon a Make-Whole Fundamental Change, if any, the Conversion Rate of the Notes and any adjustments thereto. The Company shall make all these calculations in good faith and, absent manifest error, the Company’s calculations shall be final and binding on Holders. The Company shall provide a schedule of its calculations to each of the Trustee, the Paying Agent and the Conversion Agent, and each of the Trustee, the Paying Agent and the Conversion Agent is entitled to rely conclusively and without liability upon the accuracy of the Company’s calculations without independent verification. The Trustee will forward the Company’s calculations to any registered Holder of Notes upon the prior written request of that Holder at the sole cost and expense of the Company.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17.16</w:t>
      </w:r>
      <w:r>
        <w:rPr>
          <w:rFonts w:ascii="Times New Roman;Times;serif" w:hAnsi="Times New Roman;Times;serif"/>
          <w:i/>
          <w:sz w:val="20"/>
        </w:rPr>
        <w:t>Patriot Act</w:t>
      </w:r>
      <w:r>
        <w:rPr>
          <w:rFonts w:ascii="Times New Roman;Times;serif" w:hAnsi="Times New Roman;Times;serif"/>
          <w:sz w:val="20"/>
        </w:rPr>
        <w:t>. 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(“Applicable Law”), the Trustee is are required to obtain, verify, record and update certain information relating to individuals and entities which maintain a business relationship with the Trustee. Accordingly, each of the parties agree to provide to the Trustee, upon their request from time to time such identifying information and documentation as may be available for such party in order to enable the Trustee to comply with Applicable Law.</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center"/>
        <w:rPr/>
      </w:pPr>
      <w:r>
        <w:rPr/>
        <w:t>​</w:t>
      </w:r>
    </w:p>
    <w:p>
      <w:pPr>
        <w:pStyle w:val="TextBody"/>
        <w:bidi w:val="0"/>
        <w:spacing w:before="0" w:after="200"/>
        <w:ind w:left="0" w:right="0" w:hanging="0"/>
        <w:jc w:val="center"/>
        <w:rPr/>
      </w:pPr>
      <w:r>
        <w:rPr/>
        <w:t>​</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Remainder of page intentionally left blank</w:t>
      </w:r>
      <w:r>
        <w:rPr>
          <w:rFonts w:ascii="Times New Roman;Times;serif" w:hAnsi="Times New Roman;Times;serif"/>
          <w:sz w:val="20"/>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01" w:right="0" w:firstLine="720"/>
        <w:jc w:val="left"/>
        <w:rPr>
          <w:rFonts w:ascii="Times New Roman;Times;serif" w:hAnsi="Times New Roman;Times;serif"/>
          <w:sz w:val="20"/>
        </w:rPr>
      </w:pPr>
      <w:r>
        <w:rPr>
          <w:rFonts w:ascii="Times New Roman;Times;serif" w:hAnsi="Times New Roman;Times;serif"/>
          <w:b/>
          <w:sz w:val="23"/>
        </w:rPr>
        <w:t>IN WITNESS WHEREOF</w:t>
      </w:r>
      <w:r>
        <w:rPr>
          <w:rFonts w:ascii="Times New Roman;Times;serif" w:hAnsi="Times New Roman;Times;serif"/>
          <w:sz w:val="23"/>
        </w:rPr>
        <w:t>, the parties hereto have caused this Indenture to be duly executed as of the date first above written.</w:t>
      </w:r>
    </w:p>
    <w:p>
      <w:pPr>
        <w:pStyle w:val="TextBody"/>
        <w:bidi w:val="0"/>
        <w:spacing w:before="0" w:after="0"/>
        <w:ind w:left="0" w:right="0" w:hanging="0"/>
        <w:jc w:val="left"/>
        <w:rPr/>
      </w:pPr>
      <w:r>
        <w:rPr/>
        <w:t>​</w:t>
      </w:r>
    </w:p>
    <w:tbl>
      <w:tblPr>
        <w:tblW w:w="7342" w:type="dxa"/>
        <w:jc w:val="center"/>
        <w:tblInd w:w="0" w:type="dxa"/>
        <w:tblLayout w:type="fixed"/>
        <w:tblCellMar>
          <w:top w:w="0" w:type="dxa"/>
          <w:left w:w="0" w:type="dxa"/>
          <w:bottom w:w="0" w:type="dxa"/>
          <w:right w:w="0" w:type="dxa"/>
        </w:tblCellMar>
      </w:tblPr>
      <w:tblGrid>
        <w:gridCol w:w="124"/>
        <w:gridCol w:w="436"/>
        <w:gridCol w:w="631"/>
        <w:gridCol w:w="6151"/>
      </w:tblGrid>
      <w:tr>
        <w:trPr/>
        <w:tc>
          <w:tcPr>
            <w:tcW w:w="124" w:type="dxa"/>
            <w:tcBorders/>
            <w:vAlign w:val="center"/>
          </w:tcPr>
          <w:p>
            <w:pPr>
              <w:pStyle w:val="TableContents"/>
              <w:bidi w:val="0"/>
              <w:spacing w:before="0" w:after="0"/>
              <w:ind w:left="0" w:right="0" w:hanging="0"/>
              <w:jc w:val="left"/>
              <w:rPr/>
            </w:pPr>
            <w:r>
              <w:rPr/>
              <w:t>​</w:t>
            </w:r>
          </w:p>
        </w:tc>
        <w:tc>
          <w:tcPr>
            <w:tcW w:w="7218" w:type="dxa"/>
            <w:gridSpan w:val="3"/>
            <w:tcBorders/>
            <w:vAlign w:val="center"/>
          </w:tcPr>
          <w:p>
            <w:pPr>
              <w:pStyle w:val="TableContents"/>
              <w:bidi w:val="0"/>
              <w:spacing w:before="0" w:after="0"/>
              <w:ind w:left="0" w:right="0" w:hanging="0"/>
              <w:jc w:val="left"/>
              <w:rPr>
                <w:rFonts w:ascii="Times New Roman;Times;serif" w:hAnsi="Times New Roman;Times;serif"/>
                <w:sz w:val="23"/>
              </w:rPr>
            </w:pPr>
            <w:r>
              <w:rPr>
                <w:rFonts w:ascii="Times New Roman;Times;serif" w:hAnsi="Times New Roman;Times;serif"/>
                <w:sz w:val="23"/>
              </w:rPr>
              <w:t>NIO INC.</w:t>
            </w:r>
          </w:p>
        </w:tc>
      </w:tr>
      <w:tr>
        <w:trPr/>
        <w:tc>
          <w:tcPr>
            <w:tcW w:w="124" w:type="dxa"/>
            <w:tcBorders/>
            <w:vAlign w:val="center"/>
          </w:tcPr>
          <w:p>
            <w:pPr>
              <w:pStyle w:val="TableContents"/>
              <w:bidi w:val="0"/>
              <w:spacing w:before="0" w:after="0"/>
              <w:ind w:left="0" w:right="0" w:hanging="0"/>
              <w:jc w:val="left"/>
              <w:rPr/>
            </w:pPr>
            <w:r>
              <w:rPr/>
              <w:t>​</w:t>
            </w:r>
          </w:p>
        </w:tc>
        <w:tc>
          <w:tcPr>
            <w:tcW w:w="7218"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218"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3"/>
              </w:rPr>
            </w:pPr>
            <w:r>
              <w:rPr>
                <w:rFonts w:ascii="Times New Roman;Times;serif" w:hAnsi="Times New Roman;Times;serif"/>
                <w:sz w:val="23"/>
              </w:rPr>
              <w:t>By:</w:t>
            </w:r>
          </w:p>
        </w:tc>
        <w:tc>
          <w:tcPr>
            <w:tcW w:w="678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Bin Li</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61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3"/>
              </w:rPr>
            </w:pPr>
            <w:r>
              <w:rPr>
                <w:rFonts w:ascii="Times New Roman;Times;serif" w:hAnsi="Times New Roman;Times;serif"/>
                <w:sz w:val="23"/>
              </w:rPr>
              <w:t>Bin Li</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3"/>
              </w:rPr>
            </w:pPr>
            <w:r>
              <w:rPr>
                <w:rFonts w:ascii="Times New Roman;Times;serif" w:hAnsi="Times New Roman;Times;serif"/>
                <w:sz w:val="23"/>
              </w:rPr>
              <w:t>Title:</w:t>
            </w:r>
          </w:p>
        </w:tc>
        <w:tc>
          <w:tcPr>
            <w:tcW w:w="6151" w:type="dxa"/>
            <w:tcBorders/>
            <w:vAlign w:val="center"/>
          </w:tcPr>
          <w:p>
            <w:pPr>
              <w:pStyle w:val="TableContents"/>
              <w:bidi w:val="0"/>
              <w:spacing w:before="0" w:after="0"/>
              <w:ind w:left="0" w:right="0" w:hanging="0"/>
              <w:jc w:val="left"/>
              <w:rPr>
                <w:rFonts w:ascii="Times New Roman;Times;serif" w:hAnsi="Times New Roman;Times;serif"/>
                <w:sz w:val="23"/>
              </w:rPr>
            </w:pPr>
            <w:r>
              <w:rPr>
                <w:rFonts w:ascii="Times New Roman;Times;serif" w:hAnsi="Times New Roman;Times;serif"/>
                <w:sz w:val="23"/>
              </w:rPr>
              <w:t>Chairman of the Board of Directors and Chief Executive Officer</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Signature Page to Indenture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528" w:type="dxa"/>
        <w:jc w:val="center"/>
        <w:tblInd w:w="0" w:type="dxa"/>
        <w:tblLayout w:type="fixed"/>
        <w:tblCellMar>
          <w:top w:w="0" w:type="dxa"/>
          <w:left w:w="0" w:type="dxa"/>
          <w:bottom w:w="0" w:type="dxa"/>
          <w:right w:w="0" w:type="dxa"/>
        </w:tblCellMar>
      </w:tblPr>
      <w:tblGrid>
        <w:gridCol w:w="124"/>
        <w:gridCol w:w="561"/>
        <w:gridCol w:w="872"/>
        <w:gridCol w:w="1971"/>
      </w:tblGrid>
      <w:tr>
        <w:trPr/>
        <w:tc>
          <w:tcPr>
            <w:tcW w:w="124"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c>
          <w:tcPr>
            <w:tcW w:w="197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0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DEUTSCHE BANK TRUST COMPANY</w:t>
            </w:r>
          </w:p>
        </w:tc>
      </w:tr>
      <w:tr>
        <w:trPr/>
        <w:tc>
          <w:tcPr>
            <w:tcW w:w="124" w:type="dxa"/>
            <w:tcBorders/>
            <w:vAlign w:val="center"/>
          </w:tcPr>
          <w:p>
            <w:pPr>
              <w:pStyle w:val="TableContents"/>
              <w:bidi w:val="0"/>
              <w:spacing w:before="0" w:after="0"/>
              <w:ind w:left="0" w:right="0" w:hanging="0"/>
              <w:jc w:val="left"/>
              <w:rPr/>
            </w:pPr>
            <w:r>
              <w:rPr/>
              <w:t>​</w:t>
            </w:r>
          </w:p>
        </w:tc>
        <w:tc>
          <w:tcPr>
            <w:tcW w:w="340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AMERICAS, as Trustee</w:t>
            </w:r>
          </w:p>
        </w:tc>
      </w:tr>
      <w:tr>
        <w:trPr/>
        <w:tc>
          <w:tcPr>
            <w:tcW w:w="124" w:type="dxa"/>
            <w:tcBorders/>
            <w:vAlign w:val="center"/>
          </w:tcPr>
          <w:p>
            <w:pPr>
              <w:pStyle w:val="TableContents"/>
              <w:bidi w:val="0"/>
              <w:spacing w:before="0" w:after="0"/>
              <w:ind w:left="0" w:right="0" w:hanging="0"/>
              <w:jc w:val="left"/>
              <w:rPr/>
            </w:pPr>
            <w:r>
              <w:rPr/>
              <w:t>​</w:t>
            </w:r>
          </w:p>
        </w:tc>
        <w:tc>
          <w:tcPr>
            <w:tcW w:w="340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43"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Peschler</w:t>
            </w:r>
          </w:p>
        </w:tc>
      </w:tr>
      <w:tr>
        <w:trPr/>
        <w:tc>
          <w:tcPr>
            <w:tcW w:w="124"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c>
          <w:tcPr>
            <w:tcW w:w="87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9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Peschler</w:t>
            </w:r>
          </w:p>
        </w:tc>
      </w:tr>
      <w:tr>
        <w:trPr/>
        <w:tc>
          <w:tcPr>
            <w:tcW w:w="124"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917" w:type="dxa"/>
        <w:jc w:val="center"/>
        <w:tblInd w:w="0" w:type="dxa"/>
        <w:tblLayout w:type="fixed"/>
        <w:tblCellMar>
          <w:top w:w="0" w:type="dxa"/>
          <w:left w:w="0" w:type="dxa"/>
          <w:bottom w:w="0" w:type="dxa"/>
          <w:right w:w="0" w:type="dxa"/>
        </w:tblCellMar>
      </w:tblPr>
      <w:tblGrid>
        <w:gridCol w:w="124"/>
        <w:gridCol w:w="406"/>
        <w:gridCol w:w="631"/>
        <w:gridCol w:w="1756"/>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793"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8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Irina Golovashchuk</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7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Irina Golovashchuk</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Signature Page to Indenture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EXHIBIT A</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[FORM OF FACE OF NOTE]</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[INCLUDE FOLLOWING LEGEND IF A GLOBAL NOTE]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pStyle w:val="TextBody"/>
        <w:bidi w:val="0"/>
        <w:spacing w:before="0" w:after="200"/>
        <w:ind w:left="0" w:right="0" w:firstLine="778"/>
        <w:jc w:val="left"/>
        <w:rPr>
          <w:rFonts w:ascii="Times New Roman;Times;serif" w:hAnsi="Times New Roman;Times;serif"/>
          <w:sz w:val="20"/>
        </w:rPr>
      </w:pPr>
      <w:r>
        <w:rPr>
          <w:rFonts w:ascii="Times New Roman;Times;serif" w:hAnsi="Times New Roman;Times;serif"/>
          <w:sz w:val="20"/>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200"/>
        <w:ind w:left="821" w:right="0" w:firstLine="475"/>
        <w:jc w:val="left"/>
        <w:rPr>
          <w:rFonts w:ascii="Times New Roman;Times;serif" w:hAnsi="Times New Roman;Times;serif"/>
          <w:sz w:val="20"/>
        </w:rPr>
      </w:pPr>
      <w:r>
        <w:rPr>
          <w:rFonts w:ascii="Times New Roman;Times;serif" w:hAnsi="Times New Roman;Times;serif"/>
          <w:sz w:val="20"/>
        </w:rPr>
        <w:t xml:space="preserve">[INCLUDE FOLLOWING LEGEND IF A RESTRICTED SECURITY] </w:t>
      </w:r>
    </w:p>
    <w:p>
      <w:pPr>
        <w:pStyle w:val="TextBody"/>
        <w:bidi w:val="0"/>
        <w:spacing w:before="0" w:after="200"/>
        <w:ind w:left="0" w:right="0" w:firstLine="778"/>
        <w:jc w:val="left"/>
        <w:rPr>
          <w:rFonts w:ascii="Times New Roman;Times;serif" w:hAnsi="Times New Roman;Times;serif"/>
          <w:sz w:val="20"/>
        </w:rPr>
      </w:pPr>
      <w:r>
        <w:rPr>
          <w:rFonts w:ascii="Times New Roman;Times;serif" w:hAnsi="Times New Roman;Times;serif"/>
          <w:sz w:val="20"/>
        </w:rPr>
        <w:t>[THIS SECURITY, THE AMERICAN DEPOSITARY SHARES DELIVERABLE UPON CONVERSION OF THIS SECURITY, IF ANY, AND THE CLASS A ORDINARY SHARES REPRESENTED THEREBY HAVE NOT BEEN REGISTERED UNDER THE SECURITIES ACT OF 1933, AS AMENDED (THE “SECURITIES ACT”), ARE “RESTRICTED SECURITIES” WITHIN THE MEANING OF RULE 144 UNDER THE SECURITIES ACT, AND MAY NOT BE OFFERED, SOLD, PLEDGED OR OTHERWISE TRANSFERRED EXCEPT IN ACCORDANCE WITH THE FOLLOWING SENTENCE. BY ITS ACQUISITION HEREOF OR OF A BENEFICIAL INTEREST HEREIN, THE ACQUIRER:</w:t>
      </w:r>
    </w:p>
    <w:p>
      <w:pPr>
        <w:pStyle w:val="TextBody"/>
        <w:bidi w:val="0"/>
        <w:spacing w:before="0" w:after="20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REPRESENTS THAT IT AND ANY ACCOUNT FOR WHICH IT IS ACTING IS A “QUALIFIED INSTITUTIONAL BUYER” (WITHIN THE MEANING OF RULE 144A UNDER THE SECURITIES ACT) AND THAT IT EXERCISES SOLE INVESTMENT DISCRETION WITH RESPECT TO EACH SUCH ACCOUNT AND THAT IT AND ANY SUCH ACCOUNT IS NOT, AND HAS NOT BEEN FOR THE IMMEDIATELY PRECEDING THREE MONTHS, AN AFFILIATE OF NIO INC. (THE “</w:t>
      </w:r>
      <w:r>
        <w:rPr>
          <w:rFonts w:ascii="Times New Roman;Times;serif" w:hAnsi="Times New Roman;Times;serif"/>
          <w:b/>
          <w:sz w:val="20"/>
        </w:rPr>
        <w:t>COMPANY</w:t>
      </w:r>
      <w:r>
        <w:rPr>
          <w:rFonts w:ascii="Times New Roman;Times;serif" w:hAnsi="Times New Roman;Times;serif"/>
          <w:sz w:val="20"/>
        </w:rPr>
        <w:t>”), AND</w:t>
      </w:r>
    </w:p>
    <w:p>
      <w:pPr>
        <w:pStyle w:val="TextBody"/>
        <w:bidi w:val="0"/>
        <w:spacing w:before="0" w:after="20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AGREES FOR THE BENEFIT OF THE COMPANY THAT IT WILL NOT OFFER, SELL, PLEDGE OR OTHERWISE TRANSFER THIS SECURITY, THE AMERICAN DEPOSITARY SHARES DELIVERABLE UPON CONVERSION OF THIS SECURITY (IF ANY) AND THE CLASS A ORDINARY SHARES REPRESENTED THEREBY OR ANY BENEFICIAL INTEREST HEREIN OR THEREIN PRIOR TO THE</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TO THE COMPANY OR ANY SUBSIDIARY THEREOF, OR</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PURSUANT TO A REGISTRATION STATEMENT WHICH HAS BECOME OR BEEN DECLARED EFFECTIVE UNDER THE SECURITIES ACT AND THAT CONTINUES TO BE EFFECTIVE AT THE TIME OF SUCH TRANSFER, OR</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TO A QUALIFIED INSTITUTIONAL BUYER IN COMPLIANCE WITH RULE 144A UNDER THE SECURITIES ACT, OR</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PURSUANT TO AN EXEMPTION FROM REGISTRATION PROVIDED BY RULE 144 UNDER THE SECURITIES ACT (IF AVAILABLE), OR</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PURSUANT TO ANY OTHER EXEMPTION FROM, OR IN A TRANSACTION NOT SUBJECT TO, THE REGISTRATION REQUIREMENTS OF THE SECURITIES ACT.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PRIOR TO THE REGISTRATION OF ANY TRANSFER IN ACCORDANCE WITH (2)(E) ABOVE, THE COMPANY, THE DEPOSITARY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 AFFILIATE (AS DEFINED IN RULE 144 UNDER THE SECURITIES ACT) OF THE COMPANY OR PERSON THAT HAS BEEN AN AFFILIATE (AS DEFINED IN RULE 144 UNDER THE SECURITIES ACT) OF THE COMPANY DURING THE THREE IMMEDIATELY PRECEDING MONTHS MAY PURCHASE, OTHERWISE ACQUIRE OR OWN THIS NOTE, THE AMERICAN DEPOSITARY SHARES DELIVERABLE UPON CONVERSION HEREOF (IF ANY) AND THE CLASS A ORDINARY SHARES REPRESENTED THEREBY OR A BENEFICIAL INTEREST HEREIN OR THEREIN.]</w:t>
      </w:r>
    </w:p>
    <w:p>
      <w:pPr>
        <w:pStyle w:val="TextBody"/>
        <w:bidi w:val="0"/>
        <w:spacing w:before="0" w:after="200"/>
        <w:ind w:left="100" w:right="0" w:firstLine="719"/>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NIO INC.</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3.875% Convertible Senior Note due 2029</w:t>
      </w:r>
    </w:p>
    <w:p>
      <w:pPr>
        <w:pStyle w:val="TextBody"/>
        <w:bidi w:val="0"/>
        <w:spacing w:before="0" w:after="0"/>
        <w:ind w:left="0" w:right="0" w:hanging="0"/>
        <w:jc w:val="left"/>
        <w:rPr/>
      </w:pPr>
      <w:r>
        <w:rPr/>
        <w:t>​</w:t>
      </w:r>
    </w:p>
    <w:tbl>
      <w:tblPr>
        <w:tblW w:w="3542" w:type="dxa"/>
        <w:jc w:val="left"/>
        <w:tblInd w:w="0" w:type="dxa"/>
        <w:tblLayout w:type="fixed"/>
        <w:tblCellMar>
          <w:top w:w="0" w:type="dxa"/>
          <w:left w:w="0" w:type="dxa"/>
          <w:bottom w:w="0" w:type="dxa"/>
          <w:right w:w="0" w:type="dxa"/>
        </w:tblCellMar>
      </w:tblPr>
      <w:tblGrid>
        <w:gridCol w:w="1336"/>
        <w:gridCol w:w="2206"/>
      </w:tblGrid>
      <w:tr>
        <w:trPr/>
        <w:tc>
          <w:tcPr>
            <w:tcW w:w="1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w:t>
            </w:r>
            <w:r>
              <w:rPr>
                <w:rFonts w:ascii="Times New Roman;Times;serif" w:hAnsi="Times New Roman;Times;serif"/>
                <w:sz w:val="20"/>
                <w:u w:val="single"/>
              </w:rPr>
              <w:t>                 </w:t>
            </w:r>
            <w:r>
              <w:rPr>
                <w:rFonts w:ascii="Times New Roman;Times;serif" w:hAnsi="Times New Roman;Times;serif"/>
                <w:sz w:val="20"/>
              </w:rPr>
              <w:t>]</w:t>
            </w:r>
          </w:p>
        </w:tc>
        <w:tc>
          <w:tcPr>
            <w:tcW w:w="22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[Initially]</w:t>
            </w:r>
            <w:r>
              <w:rPr>
                <w:rFonts w:ascii="Times New Roman;Times;serif" w:hAnsi="Times New Roman;Times;serif"/>
                <w:sz w:val="15"/>
              </w:rPr>
              <w:t xml:space="preserve">1 </w:t>
            </w:r>
            <w:r>
              <w:rPr>
                <w:rFonts w:ascii="Times New Roman;Times;serif" w:hAnsi="Times New Roman;Times;serif"/>
                <w:sz w:val="20"/>
              </w:rPr>
              <w:t xml:space="preserve">US$ </w:t>
            </w:r>
            <w:r>
              <w:rPr>
                <w:rFonts w:ascii="Times New Roman;Times;serif" w:hAnsi="Times New Roman;Times;serif"/>
                <w:sz w:val="20"/>
                <w:u w:val="single"/>
              </w:rPr>
              <w:t>                 </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CUSIP No. 62914V AG1</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NIO Inc., a company duly organized and validly existing under the laws of the Cayman Islands (the “</w:t>
      </w:r>
      <w:r>
        <w:rPr>
          <w:rFonts w:ascii="Times New Roman;Times;serif" w:hAnsi="Times New Roman;Times;serif"/>
          <w:b/>
          <w:sz w:val="20"/>
        </w:rPr>
        <w:t>Company</w:t>
      </w:r>
      <w:r>
        <w:rPr>
          <w:rFonts w:ascii="Times New Roman;Times;serif" w:hAnsi="Times New Roman;Times;serif"/>
          <w:sz w:val="20"/>
        </w:rPr>
        <w:t>,” which term includes any successor company or corporation or other entity under the Indenture referred to on the reverse hereof), for value received hereby promises to pay to [CEDE &amp; CO.]</w:t>
      </w:r>
      <w:r>
        <w:rPr>
          <w:rFonts w:ascii="Times New Roman;Times;serif" w:hAnsi="Times New Roman;Times;serif"/>
          <w:sz w:val="15"/>
        </w:rPr>
        <w:t>2</w:t>
      </w:r>
      <w:r>
        <w:rPr>
          <w:rFonts w:ascii="Times New Roman;Times;serif" w:hAnsi="Times New Roman;Times;serif"/>
          <w:sz w:val="20"/>
        </w:rPr>
        <w:t xml:space="preserve"> [</w:t>
      </w:r>
      <w:r>
        <w:rPr>
          <w:rFonts w:ascii="Times New Roman;Times;serif" w:hAnsi="Times New Roman;Times;serif"/>
          <w:sz w:val="20"/>
          <w:u w:val="single"/>
        </w:rPr>
        <w:t>        </w:t>
      </w:r>
      <w:r>
        <w:rPr>
          <w:rFonts w:ascii="Times New Roman;Times;serif" w:hAnsi="Times New Roman;Times;serif"/>
          <w:sz w:val="20"/>
        </w:rPr>
        <w:t>]</w:t>
      </w:r>
      <w:r>
        <w:rPr>
          <w:rFonts w:ascii="Times New Roman;Times;serif" w:hAnsi="Times New Roman;Times;serif"/>
          <w:sz w:val="15"/>
        </w:rPr>
        <w:t>3</w:t>
      </w:r>
      <w:r>
        <w:rPr>
          <w:rFonts w:ascii="Times New Roman;Times;serif" w:hAnsi="Times New Roman;Times;serif"/>
          <w:sz w:val="20"/>
        </w:rPr>
        <w:t>, or registered assigns, the principal sum [as set forth in the “Schedule of Exchanges of Notes” attached hereto]</w:t>
      </w:r>
      <w:r>
        <w:rPr>
          <w:rFonts w:ascii="Times New Roman;Times;serif" w:hAnsi="Times New Roman;Times;serif"/>
          <w:sz w:val="15"/>
        </w:rPr>
        <w:t>4</w:t>
      </w:r>
      <w:r>
        <w:rPr>
          <w:rFonts w:ascii="Times New Roman;Times;serif" w:hAnsi="Times New Roman;Times;serif"/>
          <w:sz w:val="20"/>
        </w:rPr>
        <w:t xml:space="preserve"> [of US$[</w:t>
      </w:r>
      <w:r>
        <w:rPr>
          <w:rFonts w:ascii="Times New Roman;Times;serif" w:hAnsi="Times New Roman;Times;serif"/>
          <w:sz w:val="20"/>
          <w:u w:val="single"/>
        </w:rPr>
        <w:t>             </w:t>
      </w:r>
      <w:r>
        <w:rPr>
          <w:rFonts w:ascii="Times New Roman;Times;serif" w:hAnsi="Times New Roman;Times;serif"/>
          <w:sz w:val="20"/>
        </w:rPr>
        <w:t>]]</w:t>
      </w:r>
      <w:r>
        <w:rPr>
          <w:rFonts w:ascii="Times New Roman;Times;serif" w:hAnsi="Times New Roman;Times;serif"/>
          <w:sz w:val="15"/>
        </w:rPr>
        <w:t>5</w:t>
      </w:r>
      <w:r>
        <w:rPr>
          <w:rFonts w:ascii="Times New Roman;Times;serif" w:hAnsi="Times New Roman;Times;serif"/>
          <w:sz w:val="20"/>
        </w:rPr>
        <w:t>, which amount, taken together with the principal amounts of all other outstanding Notes, shall not, unless permitted by the Indenture, exceed US$500,000,000 in aggregate at any time (or US$575,000,000 if the Initial Purchasers exercise their option to purchase additional Notes in full as set forth in the Purchase Agreement), in accordance with the rules and procedures of the Depositary, on October 15, 2029, and interest thereon as set forth below.</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This Note shall bear cash interest at the rate of 3.875% per year from, and including October 15, 2023, or from, and including, the most recent date to which interest had been paid or provided for to, but excluding, the next scheduled Interest Payment Date until October 15, 2029. Interest is payable semi-annually in arrears on each April 15 and October 15, commencing on April 15, 2024, to Holders of record at the close of business on the preceding April 1 and October 1 (whether or not such day is a Business Day), respectively. Additional Interest, if any, will be payable as set forth in Section 4.06(d), Section 4.06(e) and Section 6.03 of the within- mentioned Indenture, and any reference to interest on, or in respect of, any Note therein shall be deemed to include Additional Interest if, in such context, Additional Interest is, was or would be payable pursuant to any of such Section 4.06(d), Section 4.06(e) and Section 6.03, and any express mention of the payment of Additional Interest, if any, in any provision therein shall not be construed as excluding Additional Interest in those provisions thereof where such express mention is not made.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Any Defaulted Amounts shall accrue interest per annum at the rate per annum borne by the Notes </w:t>
      </w:r>
      <w:r>
        <w:rPr>
          <w:rFonts w:ascii="Times New Roman;Times;serif" w:hAnsi="Times New Roman;Times;serif"/>
          <w:i/>
          <w:sz w:val="20"/>
        </w:rPr>
        <w:t xml:space="preserve">plus </w:t>
      </w:r>
      <w:r>
        <w:rPr>
          <w:rFonts w:ascii="Times New Roman;Times;serif" w:hAnsi="Times New Roman;Times;serif"/>
          <w:sz w:val="20"/>
        </w:rPr>
        <w:t>one percent, subject to the enforceability thereof under applicable law, from, and including, the relevant payment date to, but excluding, the date on which such Defaulted Amounts shall have been paid by the Company, at its election, in accordance with Section 2.03(c) of the Indenture.</w:t>
      </w:r>
    </w:p>
    <w:p>
      <w:pPr>
        <w:pStyle w:val="HorizontalLine"/>
        <w:pBdr>
          <w:bottom w:val="single" w:sz="6" w:space="0" w:color="000000"/>
        </w:pBdr>
        <w:bidi w:val="0"/>
        <w:spacing w:before="0" w:after="0"/>
        <w:ind w:left="0" w:right="7654" w:hanging="0"/>
        <w:jc w:val="left"/>
        <w:rPr/>
      </w:pPr>
      <w:r>
        <w:rPr/>
      </w:r>
    </w:p>
    <w:p>
      <w:pPr>
        <w:pStyle w:val="TextBody"/>
        <w:bidi w:val="0"/>
        <w:spacing w:before="0" w:after="200"/>
        <w:ind w:left="10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Include if a Global Note.</w:t>
      </w:r>
    </w:p>
    <w:p>
      <w:pPr>
        <w:pStyle w:val="TextBody"/>
        <w:bidi w:val="0"/>
        <w:spacing w:before="0" w:after="200"/>
        <w:ind w:left="100" w:right="0" w:hanging="0"/>
        <w:jc w:val="left"/>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 xml:space="preserve"> Include if a Global Note.</w:t>
      </w:r>
    </w:p>
    <w:p>
      <w:pPr>
        <w:pStyle w:val="TextBody"/>
        <w:bidi w:val="0"/>
        <w:spacing w:before="0" w:after="200"/>
        <w:ind w:left="10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 xml:space="preserve"> Include if a Physical Note.</w:t>
      </w:r>
    </w:p>
    <w:p>
      <w:pPr>
        <w:pStyle w:val="TextBody"/>
        <w:bidi w:val="0"/>
        <w:spacing w:before="0" w:after="200"/>
        <w:ind w:left="100" w:right="0" w:hanging="0"/>
        <w:jc w:val="left"/>
        <w:rPr>
          <w:rFonts w:ascii="Times New Roman;Times;serif" w:hAnsi="Times New Roman;Times;serif"/>
          <w:sz w:val="20"/>
        </w:rPr>
      </w:pPr>
      <w:r>
        <w:rPr>
          <w:rFonts w:ascii="Times New Roman;Times;serif" w:hAnsi="Times New Roman;Times;serif"/>
          <w:sz w:val="15"/>
        </w:rPr>
        <w:t>4</w:t>
      </w:r>
      <w:r>
        <w:rPr>
          <w:rFonts w:ascii="Times New Roman;Times;serif" w:hAnsi="Times New Roman;Times;serif"/>
          <w:sz w:val="20"/>
        </w:rPr>
        <w:t xml:space="preserve"> Include if a Global Note.</w:t>
      </w:r>
    </w:p>
    <w:p>
      <w:pPr>
        <w:pStyle w:val="TextBody"/>
        <w:bidi w:val="0"/>
        <w:spacing w:before="0" w:after="200"/>
        <w:ind w:left="100" w:right="0" w:hanging="0"/>
        <w:jc w:val="left"/>
        <w:rPr>
          <w:rFonts w:ascii="Times New Roman;Times;serif" w:hAnsi="Times New Roman;Times;serif"/>
          <w:sz w:val="20"/>
        </w:rPr>
      </w:pPr>
      <w:r>
        <w:rPr>
          <w:rFonts w:ascii="Times New Roman;Times;serif" w:hAnsi="Times New Roman;Times;serif"/>
          <w:sz w:val="15"/>
        </w:rPr>
        <w:t>5</w:t>
      </w:r>
      <w:r>
        <w:rPr>
          <w:rFonts w:ascii="Times New Roman;Times;serif" w:hAnsi="Times New Roman;Times;serif"/>
          <w:sz w:val="20"/>
        </w:rPr>
        <w:t xml:space="preserve"> Include if a Physical Note.</w:t>
      </w:r>
    </w:p>
    <w:p>
      <w:pPr>
        <w:pStyle w:val="TextBody"/>
        <w:bidi w:val="0"/>
        <w:spacing w:before="0" w:after="200"/>
        <w:ind w:left="10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shall pay or cause the Paying Agent to pay the principal of and interest on this Note, so long as such Note is a Global Note,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Deutsche Bank Trust Company Americas as its Paying Agent, Conversion Agent and Note Registrar in respect of the Notes and its agency in the Borough of Manhattan, The City of New York, as a place where Notes may be presented for payment or for registration of transfer.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Reference is made to the further provisions of this Note set forth on the reverse hereof, including, without limitation, provisions giving the Holder of this Note the right to convert this Note into cash, ADSs or a combination of cash and ADSs, as applicable, on the terms and subject to the limitations set forth in the Indenture. Such further provisions shall for all purposes have the same effect as though fully set forth at this place.</w:t>
      </w:r>
    </w:p>
    <w:p>
      <w:pPr>
        <w:pStyle w:val="TextBody"/>
        <w:bidi w:val="0"/>
        <w:spacing w:before="0" w:after="200"/>
        <w:ind w:left="0" w:right="0" w:firstLine="720"/>
        <w:jc w:val="left"/>
        <w:rPr>
          <w:rFonts w:ascii="Times New Roman;Times;serif" w:hAnsi="Times New Roman;Times;serif"/>
          <w:b/>
          <w:sz w:val="20"/>
        </w:rPr>
      </w:pPr>
      <w:r>
        <w:rPr>
          <w:rFonts w:ascii="Times New Roman;Times;serif" w:hAnsi="Times New Roman;Times;serif"/>
          <w:b/>
          <w:sz w:val="20"/>
        </w:rPr>
        <w:t>This Note, and any claim, controversy or dispute arising under or related to this Note, shall be construed in accordance with and governed by the laws of the State of New York (without regard to the conflicts of laws provisions thereof).</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the case of any conflict between this Note and the Indenture, the provisions of the Indenture shall control and govern.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This Note shall not be valid or become obligatory for any purpose until the certificate of authentication hereon shall have been signed manually or electronically by the Trustee under the Indenture.</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Remainder of page intentionally left blank</w:t>
      </w:r>
      <w:r>
        <w:rPr>
          <w:rFonts w:ascii="Times New Roman;Times;serif" w:hAnsi="Times New Roman;Times;serif"/>
          <w:sz w:val="20"/>
        </w:rPr>
        <w:t>]</w:t>
      </w:r>
    </w:p>
    <w:p>
      <w:pPr>
        <w:pStyle w:val="TextBody"/>
        <w:bidi w:val="0"/>
        <w:spacing w:before="0" w:after="200"/>
        <w:ind w:left="0" w:right="0" w:hanging="0"/>
        <w:jc w:val="center"/>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821" w:right="0" w:hanging="0"/>
        <w:jc w:val="left"/>
        <w:rPr>
          <w:rFonts w:ascii="Times New Roman;Times;serif" w:hAnsi="Times New Roman;Times;serif"/>
          <w:sz w:val="20"/>
        </w:rPr>
      </w:pPr>
      <w:r>
        <w:rPr>
          <w:rFonts w:ascii="Times New Roman;Times;serif" w:hAnsi="Times New Roman;Times;serif"/>
          <w:sz w:val="20"/>
        </w:rPr>
        <w:t>IN WITNESS WHEREOF, the Company has caused this Note to be duly executed.</w:t>
      </w:r>
    </w:p>
    <w:p>
      <w:pPr>
        <w:pStyle w:val="TextBody"/>
        <w:bidi w:val="0"/>
        <w:spacing w:before="0" w:after="0"/>
        <w:ind w:left="0" w:right="0" w:hanging="0"/>
        <w:jc w:val="left"/>
        <w:rPr/>
      </w:pPr>
      <w:r>
        <w:rPr/>
        <w:t>​</w:t>
      </w:r>
    </w:p>
    <w:tbl>
      <w:tblPr>
        <w:tblW w:w="1206" w:type="dxa"/>
        <w:jc w:val="center"/>
        <w:tblInd w:w="0" w:type="dxa"/>
        <w:tblLayout w:type="fixed"/>
        <w:tblCellMar>
          <w:top w:w="0" w:type="dxa"/>
          <w:left w:w="0" w:type="dxa"/>
          <w:bottom w:w="0" w:type="dxa"/>
          <w:right w:w="0" w:type="dxa"/>
        </w:tblCellMar>
      </w:tblPr>
      <w:tblGrid>
        <w:gridCol w:w="124"/>
        <w:gridCol w:w="406"/>
        <w:gridCol w:w="676"/>
      </w:tblGrid>
      <w:tr>
        <w:trPr/>
        <w:tc>
          <w:tcPr>
            <w:tcW w:w="124" w:type="dxa"/>
            <w:tcBorders/>
            <w:vAlign w:val="center"/>
          </w:tcPr>
          <w:p>
            <w:pPr>
              <w:pStyle w:val="TableContents"/>
              <w:bidi w:val="0"/>
              <w:spacing w:before="0" w:after="0"/>
              <w:ind w:left="0" w:right="0" w:hanging="0"/>
              <w:jc w:val="left"/>
              <w:rPr/>
            </w:pPr>
            <w:r>
              <w:rPr/>
              <w:t>​</w:t>
            </w:r>
          </w:p>
        </w:tc>
        <w:tc>
          <w:tcPr>
            <w:tcW w:w="108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NIO INC.</w:t>
            </w:r>
          </w:p>
        </w:tc>
      </w:tr>
      <w:tr>
        <w:trPr/>
        <w:tc>
          <w:tcPr>
            <w:tcW w:w="124" w:type="dxa"/>
            <w:tcBorders/>
            <w:vAlign w:val="center"/>
          </w:tcPr>
          <w:p>
            <w:pPr>
              <w:pStyle w:val="TableContents"/>
              <w:bidi w:val="0"/>
              <w:spacing w:before="0" w:after="0"/>
              <w:ind w:left="0" w:right="0" w:hanging="0"/>
              <w:jc w:val="left"/>
              <w:rPr/>
            </w:pPr>
            <w:r>
              <w:rPr/>
              <w:t>​</w:t>
            </w:r>
          </w:p>
        </w:tc>
        <w:tc>
          <w:tcPr>
            <w:tcW w:w="108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TRUSTEE’S CERTIFICATE OF AUTHENTICATION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DEUTSCHE BANK TRUST COMPANY AMERICAS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Trustee, certifies that this is one of the Notes described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within-named Indenture.</w:t>
      </w:r>
    </w:p>
    <w:p>
      <w:pPr>
        <w:pStyle w:val="TextBody"/>
        <w:bidi w:val="0"/>
        <w:spacing w:before="0" w:after="0"/>
        <w:ind w:left="0" w:right="0" w:hanging="0"/>
        <w:jc w:val="left"/>
        <w:rPr/>
      </w:pPr>
      <w:r>
        <w:rPr/>
        <w:t>​</w:t>
      </w:r>
    </w:p>
    <w:tbl>
      <w:tblPr>
        <w:tblW w:w="1206" w:type="dxa"/>
        <w:jc w:val="center"/>
        <w:tblInd w:w="0" w:type="dxa"/>
        <w:tblLayout w:type="fixed"/>
        <w:tblCellMar>
          <w:top w:w="0" w:type="dxa"/>
          <w:left w:w="0" w:type="dxa"/>
          <w:bottom w:w="0" w:type="dxa"/>
          <w:right w:w="0" w:type="dxa"/>
        </w:tblCellMar>
      </w:tblPr>
      <w:tblGrid>
        <w:gridCol w:w="421"/>
        <w:gridCol w:w="631"/>
        <w:gridCol w:w="154"/>
      </w:tblGrid>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200"/>
        <w:ind w:left="647"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[FORM OF REVERSE OF NOTE]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NIO INC.</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3.875% Convertible Senior Note due 2029</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This Note is one of a duly authorized issue of Notes of the Company, designated as its 3.875% Convertible Senior Notes due 2029 (the “</w:t>
      </w:r>
      <w:r>
        <w:rPr>
          <w:rFonts w:ascii="Times New Roman;Times;serif" w:hAnsi="Times New Roman;Times;serif"/>
          <w:b/>
          <w:sz w:val="20"/>
        </w:rPr>
        <w:t>Notes</w:t>
      </w:r>
      <w:r>
        <w:rPr>
          <w:rFonts w:ascii="Times New Roman;Times;serif" w:hAnsi="Times New Roman;Times;serif"/>
          <w:sz w:val="20"/>
        </w:rPr>
        <w:t>”), initially limited to the aggregate principal amount of US$500,000,000 (as increased by an amount equal to the aggregate principal amount of any additional Notes purchased by the Initial Purchasers pursuant to the exercise of their option to purchase additional Notes as set forth in the Purchase Agreement), subject to Section 2.10 of the Indenture, all issued or to be issued under and pursuant to an Indenture dated as of September 22, 2023 (the “</w:t>
      </w:r>
      <w:r>
        <w:rPr>
          <w:rFonts w:ascii="Times New Roman;Times;serif" w:hAnsi="Times New Roman;Times;serif"/>
          <w:b/>
          <w:sz w:val="20"/>
        </w:rPr>
        <w:t>Indenture</w:t>
      </w:r>
      <w:r>
        <w:rPr>
          <w:rFonts w:ascii="Times New Roman;Times;serif" w:hAnsi="Times New Roman;Times;serif"/>
          <w:sz w:val="20"/>
        </w:rPr>
        <w:t>”), between the Company and Deutsche Bank Trust Company Americas, as trustee (the “</w:t>
      </w:r>
      <w:r>
        <w:rPr>
          <w:rFonts w:ascii="Times New Roman;Times;serif" w:hAnsi="Times New Roman;Times;serif"/>
          <w:b/>
          <w:sz w:val="20"/>
        </w:rPr>
        <w:t>Trustee</w:t>
      </w:r>
      <w:r>
        <w:rPr>
          <w:rFonts w:ascii="Times New Roman;Times;serif" w:hAnsi="Times New Roman;Times;serif"/>
          <w:sz w:val="20"/>
        </w:rPr>
        <w:t>”), to which Indenture and all indentures supplemental thereto reference is hereby made for a description of the rights, limitations of rights, obligations, duties, indemnifications, privileges, disclaimers from liability and immunities thereunder of the Trustee, the Company and the Holders of the Notes. Additional Notes may be issued in an unlimited aggregate principal amount, subject to certain conditions specified in the Indenture.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the case certain Events of Default, as defined in the Indenture,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 In the case certain Events of Default relating to a bankruptcy (or similar proceeding) with respect to the Company or a Significant Subsidiary of the Company shall have occurred, the principal of, and interest on, all Notes shall automatically become immediately due and payable, as set forth in the Indenture.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Subject to the terms and conditions of the Indenture, the Company will make or cause the Paying Agent to make all payments in respect of the principal amount on the Maturity Date, the Redemption Price, the Repurchase Price and the Fundamental Change Repurchase Price, as the case may be, to the Holder who surrenders a Note to collect such payments in respect of the Note. The Company will pay or cause the Paying Agent to pay cash amounts in money of the United States that at the time of payment is legal tender for payment of public and private debts.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Subject to the terms and conditions of the Indenture, Additional Amounts will be paid in connection with any payments made and deliveries caused to be made by the Company or any successor to the Company under or with respect to the Indenture and the Notes, including, but not limited to, payments of principal (including, if applicable, the Redemption Price, the Repurchase Price and the Fundamental Change Repurchase Price), premium, if any, payments of interest, including any additional interest and payments of cash and/or deliveries of ADSs or any other consideration due on conversion of a Note (together with payments of cash for any Fractional ADS or other consideration) to ensure that the net amount received by the beneficial owner of the Notes after any applicable withholding, deduction or reduction (and after deducting any taxes on the Additional Amounts) will equal the amounts that would have been received by such beneficial owner had no such withholding, deduction or reduction been required.</w:t>
      </w:r>
    </w:p>
    <w:p>
      <w:pPr>
        <w:pStyle w:val="TextBody"/>
        <w:bidi w:val="0"/>
        <w:spacing w:before="0" w:after="200"/>
        <w:ind w:left="100" w:right="0" w:firstLine="719"/>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 reference herein to the Indenture and no provision of this Note or of the Indenture shall alter or impair the obligation of the Company, which is absolute and unconditional, to pay or cause to be delivered, as the case may be, the principal (including the Redemption Price, the Repurchase Price and the Fundamental Change Repurchase Price, if applicable) of, accrued and unpaid interest on, and the consideration due upon conversion of, this Note at the place, at the respective times, at the rate and in the lawful money herein prescribed.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Notes are issuable in registered form without interest coupons in denominations of US$1,000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may not redeem the Notes prior to the Maturity Date, except in the event of certain Changes in Tax Law as described in Section 16.01 of the Indenture. The Notes shall be redeemable at the Company’s option in certain circumstances on or after October 22, 2027 in accordance with the terms and subject to the conditions specified in the Indenture. The Notes shall also be redeemable if less than 10% of the aggregate principal amount of the Notes originally issued remains outstanding at such time in accordance with the terms and subject to the conditions specified in the Indenture. No sinking fund is provided for the Notes.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Holder has the right, at such Holder’s option, to require the Company to repurchase for cash all of such Holder’s Notes or any portion thereof (in principal amounts of US$1,000 or integral multiples thereof) on the Repurchase Date at a price equal to the Repurchase Price.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Upon the occurrence of a Fundamental Change, the Holder has the right, at such Holder’s option, to require the Company to repurchase for cash all of such Holder’s Notes or any portion thereof (in principal amounts of US$1,000 or integral multiples thereof) on the Fundamental Change Repurchase Date at a price equal to the Fundamental Change Repurchase Price.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Subject to the provisions of the Indenture, the Holder hereof has the right, at its option, prior to the close of business on the second Scheduled Trading Day immediately preceding the Maturity Date, to convert any Notes or portion thereof that is US$1,000 principal amount of</w:t>
      </w:r>
    </w:p>
    <w:p>
      <w:pPr>
        <w:pStyle w:val="TextBody"/>
        <w:bidi w:val="0"/>
        <w:spacing w:before="0" w:after="200"/>
        <w:ind w:left="100" w:right="0" w:firstLine="719"/>
        <w:jc w:val="both"/>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Notes or an integral multiple thereof, into cash, ADSs or a combination of cash and ADSs, as applicable, at the Conversion Rate specified in the Indenture, as adjusted from time to time as provided in the Indenture.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Terms used in this Note and defined in the Indenture are used herein as therein defined.</w:t>
      </w:r>
    </w:p>
    <w:p>
      <w:pPr>
        <w:pStyle w:val="TextBody"/>
        <w:bidi w:val="0"/>
        <w:spacing w:before="0" w:after="200"/>
        <w:ind w:left="82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ABBREVIATIONS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abbreviations, when used in the inscription of the face of this Note, shall be construed as though they were written out in full according to applicable laws or regulations: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TEN COM = as tenants in common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UNIF GIFT MIN ACT = Uniform Gifts to Minors Act CUST = Custodian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TEN ENT = as tenants by the entireties</w:t>
      </w:r>
    </w:p>
    <w:p>
      <w:pPr>
        <w:pStyle w:val="TextBody"/>
        <w:pBdr/>
        <w:bidi w:val="0"/>
        <w:spacing w:before="0" w:after="200"/>
        <w:ind w:left="0" w:right="0" w:hanging="720"/>
        <w:jc w:val="left"/>
        <w:rPr>
          <w:rFonts w:ascii="Times New Roman;Times;serif" w:hAnsi="Times New Roman;Times;serif"/>
          <w:sz w:val="20"/>
        </w:rPr>
      </w:pPr>
      <w:r>
        <w:rPr>
          <w:rFonts w:ascii="Times New Roman;Times;serif" w:hAnsi="Times New Roman;Times;serif"/>
          <w:sz w:val="20"/>
        </w:rPr>
        <w:t xml:space="preserve">JT TEN = joint tenants with right of survivorship and not as tenants in common </w:t>
      </w:r>
    </w:p>
    <w:p>
      <w:pPr>
        <w:pStyle w:val="TextBody"/>
        <w:pBdr/>
        <w:bidi w:val="0"/>
        <w:spacing w:before="0" w:after="200"/>
        <w:ind w:left="720" w:right="0" w:hanging="720"/>
        <w:jc w:val="left"/>
        <w:rPr>
          <w:rFonts w:ascii="Times New Roman;Times;serif" w:hAnsi="Times New Roman;Times;serif"/>
          <w:sz w:val="20"/>
        </w:rPr>
      </w:pPr>
      <w:r>
        <w:rPr>
          <w:rFonts w:ascii="Times New Roman;Times;serif" w:hAnsi="Times New Roman;Times;serif"/>
          <w:sz w:val="20"/>
        </w:rPr>
        <w:t>Additional abbreviations may also be used though not in the above list.</w:t>
      </w:r>
    </w:p>
    <w:p>
      <w:pPr>
        <w:pStyle w:val="TextBody"/>
        <w:pBdr/>
        <w:bidi w:val="0"/>
        <w:spacing w:before="0" w:after="200"/>
        <w:ind w:left="100" w:right="0" w:hanging="72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right"/>
        <w:rPr>
          <w:rFonts w:ascii="Times New Roman;Times;serif" w:hAnsi="Times New Roman;Times;serif"/>
          <w:sz w:val="20"/>
        </w:rPr>
      </w:pPr>
      <w:r>
        <w:rPr>
          <w:rFonts w:ascii="Times New Roman;Times;serif" w:hAnsi="Times New Roman;Times;serif"/>
          <w:b/>
          <w:sz w:val="20"/>
        </w:rPr>
        <w:t>SCHEDULE A</w:t>
      </w:r>
      <w:r>
        <w:rPr>
          <w:rFonts w:ascii="Times New Roman;Times;serif" w:hAnsi="Times New Roman;Times;serif"/>
          <w:b/>
          <w:sz w:val="15"/>
        </w:rPr>
        <w:t>6</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SCHEDULE OF EXCHANGES OF NOTES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NIO INC.</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3.875% Convertible Senior Notes due 2029</w:t>
      </w:r>
    </w:p>
    <w:p>
      <w:pPr>
        <w:pStyle w:val="TextBody"/>
        <w:bidi w:val="0"/>
        <w:spacing w:before="0" w:after="0"/>
        <w:ind w:left="101" w:right="0" w:firstLine="720"/>
        <w:jc w:val="left"/>
        <w:rPr>
          <w:rFonts w:ascii="Times New Roman;Times;serif" w:hAnsi="Times New Roman;Times;serif"/>
          <w:sz w:val="20"/>
        </w:rPr>
      </w:pPr>
      <w:r>
        <w:rPr>
          <w:rFonts w:ascii="Times New Roman;Times;serif" w:hAnsi="Times New Roman;Times;serif"/>
          <w:sz w:val="20"/>
        </w:rPr>
        <w:t>The initial principal amount of this Global Note is [</w:t>
      </w:r>
      <w:r>
        <w:rPr>
          <w:rFonts w:ascii="Times New Roman;Times;serif" w:hAnsi="Times New Roman;Times;serif"/>
          <w:sz w:val="20"/>
          <w:u w:val="single"/>
        </w:rPr>
        <w:t>                 </w:t>
      </w:r>
      <w:r>
        <w:rPr>
          <w:rFonts w:ascii="Times New Roman;Times;serif" w:hAnsi="Times New Roman;Times;serif"/>
          <w:sz w:val="20"/>
        </w:rPr>
        <w:t>] UNITED STATES DOLLARS (US$[</w:t>
      </w:r>
      <w:r>
        <w:rPr>
          <w:rFonts w:ascii="Times New Roman;Times;serif" w:hAnsi="Times New Roman;Times;serif"/>
          <w:sz w:val="20"/>
          <w:u w:val="single"/>
        </w:rPr>
        <w:t>             </w:t>
      </w:r>
      <w:r>
        <w:rPr>
          <w:rFonts w:ascii="Times New Roman;Times;serif" w:hAnsi="Times New Roman;Times;serif"/>
          <w:sz w:val="20"/>
        </w:rPr>
        <w:t>]). The following increases or decreases in this Global Note have been made:</w:t>
      </w:r>
    </w:p>
    <w:p>
      <w:pPr>
        <w:pStyle w:val="TextBody"/>
        <w:bidi w:val="0"/>
        <w:spacing w:before="0" w:after="0"/>
        <w:ind w:left="0" w:right="0" w:hanging="0"/>
        <w:jc w:val="left"/>
        <w:rPr/>
      </w:pPr>
      <w:r>
        <w:rPr/>
        <w:t>​</w:t>
      </w:r>
    </w:p>
    <w:tbl>
      <w:tblPr>
        <w:tblW w:w="9799" w:type="dxa"/>
        <w:jc w:val="center"/>
        <w:tblInd w:w="0" w:type="dxa"/>
        <w:tblLayout w:type="fixed"/>
        <w:tblCellMar>
          <w:top w:w="0" w:type="dxa"/>
          <w:left w:w="0" w:type="dxa"/>
          <w:bottom w:w="0" w:type="dxa"/>
          <w:right w:w="0" w:type="dxa"/>
        </w:tblCellMar>
      </w:tblPr>
      <w:tblGrid>
        <w:gridCol w:w="1531"/>
        <w:gridCol w:w="326"/>
        <w:gridCol w:w="1711"/>
        <w:gridCol w:w="326"/>
        <w:gridCol w:w="1711"/>
        <w:gridCol w:w="326"/>
        <w:gridCol w:w="1711"/>
        <w:gridCol w:w="326"/>
        <w:gridCol w:w="1831"/>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972185" cy="175260"/>
                      <wp:effectExtent l="0" t="0" r="0" b="0"/>
                      <wp:wrapNone/>
                      <wp:docPr id="666" name="Frame657"/>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207010" cy="175260"/>
                      <wp:effectExtent l="0" t="0" r="0" b="0"/>
                      <wp:wrapNone/>
                      <wp:docPr id="667" name="Frame6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1086485" cy="175260"/>
                      <wp:effectExtent l="0" t="0" r="0" b="0"/>
                      <wp:wrapNone/>
                      <wp:docPr id="668" name="Frame659"/>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207010" cy="175260"/>
                      <wp:effectExtent l="0" t="0" r="0" b="0"/>
                      <wp:wrapNone/>
                      <wp:docPr id="669" name="Frame6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1086485" cy="175260"/>
                      <wp:effectExtent l="0" t="0" r="0" b="0"/>
                      <wp:wrapNone/>
                      <wp:docPr id="670" name="Frame661"/>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207010" cy="175260"/>
                      <wp:effectExtent l="0" t="0" r="0" b="0"/>
                      <wp:wrapNone/>
                      <wp:docPr id="671" name="Frame6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1086485" cy="175260"/>
                      <wp:effectExtent l="0" t="0" r="0" b="0"/>
                      <wp:wrapNone/>
                      <wp:docPr id="672" name="Frame663"/>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207010" cy="175260"/>
                      <wp:effectExtent l="0" t="0" r="0" b="0"/>
                      <wp:wrapNone/>
                      <wp:docPr id="673" name="Frame6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1162685" cy="175260"/>
                      <wp:effectExtent l="0" t="0" r="0" b="0"/>
                      <wp:wrapNone/>
                      <wp:docPr id="674" name="Frame665"/>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of exchange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Amount of decrease</w:t>
              <w:br/>
              <w:t>in principal amount</w:t>
              <w:br/>
              <w:t>of this Global Note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Amount of increase</w:t>
              <w:br/>
              <w:t>in principal amount</w:t>
              <w:br/>
              <w:t>of this Global Note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amount of</w:t>
              <w:br/>
              <w:t>this Global Note</w:t>
              <w:br/>
              <w:t>following such</w:t>
              <w:br/>
              <w:t>decrease or increase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8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of</w:t>
              <w:br/>
              <w:t>authorized signatory</w:t>
              <w:br/>
              <w:t>of Trustee</w:t>
            </w:r>
          </w:p>
        </w:tc>
      </w:tr>
      <w:tr>
        <w:trPr/>
        <w:tc>
          <w:tcPr>
            <w:tcW w:w="1531" w:type="dxa"/>
            <w:tcBorders>
              <w:top w:val="single" w:sz="2" w:space="0" w:color="000000"/>
            </w:tcBorders>
            <w:tcMar>
              <w:top w:w="28" w:type="dxa"/>
            </w:tcMar>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3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1531" w:type="dxa"/>
            <w:tcBorders>
              <w:bottom w:val="single" w:sz="2" w:space="0" w:color="000000"/>
            </w:tcBorders>
            <w:tcMar>
              <w:bottom w:w="28" w:type="dxa"/>
            </w:tcMar>
            <w:vAlign w:val="center"/>
          </w:tcPr>
          <w:p>
            <w:pPr>
              <w:pStyle w:val="TableContents"/>
              <w:pBdr/>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3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1531" w:type="dxa"/>
            <w:tcBorders>
              <w:top w:val="single" w:sz="2" w:space="0" w:color="000000"/>
            </w:tcBorders>
            <w:tcMar>
              <w:top w:w="28" w:type="dxa"/>
            </w:tcMar>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3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1531" w:type="dxa"/>
            <w:tcBorders>
              <w:bottom w:val="single" w:sz="2" w:space="0" w:color="000000"/>
            </w:tcBorders>
            <w:tcMar>
              <w:bottom w:w="28" w:type="dxa"/>
            </w:tcMar>
            <w:vAlign w:val="center"/>
          </w:tcPr>
          <w:p>
            <w:pPr>
              <w:pStyle w:val="TableContents"/>
              <w:pBdr/>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3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1531" w:type="dxa"/>
            <w:tcBorders>
              <w:top w:val="single" w:sz="2" w:space="0" w:color="000000"/>
            </w:tcBorders>
            <w:tcMar>
              <w:top w:w="28" w:type="dxa"/>
            </w:tcMar>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3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1531" w:type="dxa"/>
            <w:tcBorders>
              <w:bottom w:val="single" w:sz="2" w:space="0" w:color="000000"/>
            </w:tcBorders>
            <w:tcMar>
              <w:bottom w:w="28" w:type="dxa"/>
            </w:tcMar>
            <w:vAlign w:val="center"/>
          </w:tcPr>
          <w:p>
            <w:pPr>
              <w:pStyle w:val="TableContents"/>
              <w:pBdr/>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3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1531" w:type="dxa"/>
            <w:tcBorders>
              <w:top w:val="single" w:sz="2" w:space="0" w:color="000000"/>
            </w:tcBorders>
            <w:tcMar>
              <w:top w:w="28" w:type="dxa"/>
            </w:tcMar>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3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1531" w:type="dxa"/>
            <w:tcBorders>
              <w:bottom w:val="single" w:sz="2" w:space="0" w:color="000000"/>
            </w:tcBorders>
            <w:tcMar>
              <w:bottom w:w="28" w:type="dxa"/>
            </w:tcMar>
            <w:vAlign w:val="center"/>
          </w:tcPr>
          <w:p>
            <w:pPr>
              <w:pStyle w:val="TableContents"/>
              <w:pBdr/>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3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1531" w:type="dxa"/>
            <w:tcBorders>
              <w:top w:val="single" w:sz="2" w:space="0" w:color="000000"/>
            </w:tcBorders>
            <w:tcMar>
              <w:top w:w="28" w:type="dxa"/>
            </w:tcMar>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3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1531" w:type="dxa"/>
            <w:tcBorders>
              <w:bottom w:val="single" w:sz="2" w:space="0" w:color="000000"/>
            </w:tcBorders>
            <w:tcMar>
              <w:bottom w:w="28" w:type="dxa"/>
            </w:tcMar>
            <w:vAlign w:val="center"/>
          </w:tcPr>
          <w:p>
            <w:pPr>
              <w:pStyle w:val="TableContents"/>
              <w:pBdr/>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3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1531" w:type="dxa"/>
            <w:tcBorders>
              <w:top w:val="single" w:sz="2" w:space="0" w:color="000000"/>
            </w:tcBorders>
            <w:tcMar>
              <w:top w:w="28" w:type="dxa"/>
            </w:tcMar>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3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1531" w:type="dxa"/>
            <w:tcBorders>
              <w:bottom w:val="single" w:sz="2" w:space="0" w:color="000000"/>
            </w:tcBorders>
            <w:tcMar>
              <w:bottom w:w="28" w:type="dxa"/>
            </w:tcMar>
            <w:vAlign w:val="center"/>
          </w:tcPr>
          <w:p>
            <w:pPr>
              <w:pStyle w:val="TableContents"/>
              <w:pBdr/>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3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1531" w:type="dxa"/>
            <w:tcBorders>
              <w:top w:val="single" w:sz="2" w:space="0" w:color="000000"/>
            </w:tcBorders>
            <w:tcMar>
              <w:top w:w="28" w:type="dxa"/>
            </w:tcMar>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3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1531" w:type="dxa"/>
            <w:tcBorders>
              <w:bottom w:val="single" w:sz="2" w:space="0" w:color="000000"/>
            </w:tcBorders>
            <w:tcMar>
              <w:bottom w:w="28" w:type="dxa"/>
            </w:tcMar>
            <w:vAlign w:val="center"/>
          </w:tcPr>
          <w:p>
            <w:pPr>
              <w:pStyle w:val="TableContents"/>
              <w:pBdr/>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3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HorizontalLine"/>
        <w:pBdr>
          <w:bottom w:val="single" w:sz="6" w:space="0" w:color="000000"/>
        </w:pBdr>
        <w:bidi w:val="0"/>
        <w:spacing w:before="0" w:after="0"/>
        <w:ind w:left="0" w:right="7654" w:hanging="0"/>
        <w:jc w:val="left"/>
        <w:rPr/>
      </w:pPr>
      <w:r>
        <w:rPr/>
      </w:r>
    </w:p>
    <w:p>
      <w:pPr>
        <w:pStyle w:val="TextBody"/>
        <w:bidi w:val="0"/>
        <w:spacing w:before="0" w:after="200"/>
        <w:ind w:left="100" w:right="0" w:hanging="0"/>
        <w:jc w:val="left"/>
        <w:rPr>
          <w:rFonts w:ascii="Times New Roman;Times;serif" w:hAnsi="Times New Roman;Times;serif"/>
          <w:sz w:val="20"/>
        </w:rPr>
      </w:pPr>
      <w:r>
        <w:rPr>
          <w:rFonts w:ascii="Times New Roman;Times;serif" w:hAnsi="Times New Roman;Times;serif"/>
          <w:sz w:val="15"/>
        </w:rPr>
        <w:t>6</w:t>
      </w:r>
      <w:r>
        <w:rPr>
          <w:rFonts w:ascii="Times New Roman;Times;serif" w:hAnsi="Times New Roman;Times;serif"/>
          <w:sz w:val="20"/>
        </w:rPr>
        <w:t xml:space="preserve"> Include if a Global Note.</w:t>
      </w:r>
    </w:p>
    <w:p>
      <w:pPr>
        <w:pStyle w:val="TextBody"/>
        <w:bidi w:val="0"/>
        <w:spacing w:before="0" w:after="200"/>
        <w:ind w:left="10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01" w:right="0" w:hanging="0"/>
        <w:jc w:val="right"/>
        <w:rPr>
          <w:rFonts w:ascii="Times New Roman;Times;serif" w:hAnsi="Times New Roman;Times;serif"/>
          <w:b/>
          <w:sz w:val="20"/>
        </w:rPr>
      </w:pPr>
      <w:r>
        <w:rPr>
          <w:rFonts w:ascii="Times New Roman;Times;serif" w:hAnsi="Times New Roman;Times;serif"/>
          <w:b/>
          <w:sz w:val="20"/>
        </w:rPr>
        <w:t>ATTACHMENT 1</w:t>
      </w:r>
    </w:p>
    <w:p>
      <w:pPr>
        <w:pStyle w:val="TextBody"/>
        <w:bidi w:val="0"/>
        <w:spacing w:before="0" w:after="200"/>
        <w:ind w:left="0" w:right="0" w:hanging="0"/>
        <w:jc w:val="right"/>
        <w:rPr/>
      </w:pPr>
      <w:r>
        <w:rPr/>
        <w:t>​</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[FORM OF NOTICE OF CONVERSION]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To:</w:t>
      </w:r>
      <w:r>
        <w:rPr>
          <w:rFonts w:ascii="Times New Roman;Times;serif" w:hAnsi="Times New Roman;Times;serif"/>
          <w:sz w:val="20"/>
        </w:rPr>
        <w:t>NIO INC.</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Address: [</w:t>
      </w:r>
      <w:r>
        <w:rPr>
          <w:rFonts w:ascii="Times New Roman;Times;serif" w:hAnsi="Times New Roman;Times;serif"/>
          <w:sz w:val="20"/>
          <w:u w:val="single"/>
        </w:rPr>
        <w:t>                                 </w:t>
      </w:r>
      <w:r>
        <w:rPr>
          <w:rFonts w:ascii="Times New Roman;Times;serif" w:hAnsi="Times New Roman;Times;serif"/>
          <w:sz w:val="20"/>
        </w:rPr>
        <w:t xml:space="preserve">] </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Email: [</w:t>
      </w:r>
      <w:r>
        <w:rPr>
          <w:rFonts w:ascii="Times New Roman;Times;serif" w:hAnsi="Times New Roman;Times;serif"/>
          <w:sz w:val="20"/>
          <w:u w:val="single"/>
        </w:rPr>
        <w:t>                                  </w:t>
      </w:r>
      <w:r>
        <w:rPr>
          <w:rFonts w:ascii="Times New Roman;Times;serif" w:hAnsi="Times New Roman;Times;serif"/>
          <w:sz w:val="20"/>
        </w:rPr>
        <w:t>]</w:t>
      </w:r>
    </w:p>
    <w:p>
      <w:pPr>
        <w:pStyle w:val="TextBody"/>
        <w:bidi w:val="0"/>
        <w:spacing w:before="0" w:after="0"/>
        <w:ind w:left="72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 xml:space="preserve">DEUTSCHE BANK TRUST COMPANY AMERICAS, as Conversion Agent </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c/o DB Services Americas, Inc., Attn: Reorg Dept.,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 xml:space="preserve">5022 Gate Parkway, Suite 200, Jacksonville, FL 32256 </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 xml:space="preserve">Ref: CUSIP: </w:t>
      </w:r>
      <w:r>
        <w:rPr>
          <w:rFonts w:ascii="Times New Roman;Times;serif" w:hAnsi="Times New Roman;Times;serif"/>
          <w:sz w:val="20"/>
          <w:u w:val="single"/>
        </w:rPr>
        <w:t>                       </w:t>
      </w:r>
      <w:r>
        <w:rPr>
          <w:rFonts w:ascii="Times New Roman;Times;serif" w:hAnsi="Times New Roman;Times;serif"/>
          <w:sz w:val="20"/>
        </w:rPr>
        <w:t xml:space="preserve">, AA5802           , NIO Inc </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Tel. 877-843-9767,</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Email: db.reorg@db.com</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DEUTSCHE BANK TRUST COMPANY AMERICAS, as ADS Depositary</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 xml:space="preserve">1 Columbus Circle, </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New York, NY 10019,</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 xml:space="preserve">United States of America </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Fax: +1-732-544-6346</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Email: adr@db.com</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undersigned registered holder of this Note (bearing CUSIP:</w:t>
      </w:r>
      <w:r>
        <w:rPr>
          <w:rFonts w:ascii="Times New Roman;Times;serif" w:hAnsi="Times New Roman;Times;serif"/>
          <w:sz w:val="20"/>
          <w:u w:val="single"/>
        </w:rPr>
        <w:t>                                       </w:t>
      </w:r>
      <w:r>
        <w:rPr>
          <w:rFonts w:ascii="Times New Roman;Times;serif" w:hAnsi="Times New Roman;Times;serif"/>
          <w:sz w:val="20"/>
        </w:rPr>
        <w:t xml:space="preserve">and ISIN: </w:t>
      </w:r>
      <w:r>
        <w:rPr>
          <w:rFonts w:ascii="Times New Roman;Times;serif" w:hAnsi="Times New Roman;Times;serif"/>
          <w:sz w:val="20"/>
          <w:u w:val="single"/>
        </w:rPr>
        <w:t>                               </w:t>
      </w:r>
      <w:r>
        <w:rPr>
          <w:rFonts w:ascii="Times New Roman;Times;serif" w:hAnsi="Times New Roman;Times;serif"/>
          <w:sz w:val="20"/>
        </w:rPr>
        <w:t>) hereby exercises the option to convert that Note, or the portion thereof (that is US$1,000 principal amount or an integral multiple thereof) below designated, into cash, ADSs or a combination of cash and ADSs in accordance with the terms of the Indenture referred to in this Note, and directs that any cash payable and ADSs deliverable upon such conversion, together with any cash payable for any Fractional ADS, and any Notes representing any unconverted principal amount hereof, be issued and delivered to the registered Holder hereof unless a different name has been indicated below. Terms defined in the Unrestricted Deposit Agreement, the Restricted Deposit Agreement or the Indenture referred to in this Notice are used herein as so defined. If any ADSs or any portion of this Note not converted are to be issued in the name of a Person other than the undersigned, the undersigned will pay all documentary, stamp, issue, transfer or similar taxes, if any, in accordance with Section 14.02(c) and Section 14.02(e) of the Indenture. Any amount required to be paid to the undersigned on account of interest accompanies this Notice.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connection with the conversion of this Note, or the portion hereof below designated, the undersigned acknowledges, represents to the Company and the ADS Depositary that the undersigned is not an “affiliate” (as defined in Rule 144 under the Securities Act of 1933) of the Company and has not been an “affiliate” (as defined in Rule 144 under the Securities Act of 1933) of the Company during the three months immediately preceding the date hereof.</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[The undersigned further certifies: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undersigned acknowledges (and if the undersigned is acting for the account of another person, that person has confirmed that it acknowledges) that the Restricted Securities</w:t>
      </w:r>
    </w:p>
    <w:p>
      <w:pPr>
        <w:pStyle w:val="TextBody"/>
        <w:bidi w:val="0"/>
        <w:spacing w:before="0" w:after="200"/>
        <w:ind w:left="100" w:right="0" w:firstLine="719"/>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received upon conversion of this Note (or securities represented thereby) have not been and are not expected to be registered under the Securities Act.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undersigned further certifies that the undersigned is a qualified institutional buyer (as defined in Rule 144A under the Securities Act) acting for its own account or for the account of one or more qualified institutional buyers and the undersigned is (or such account or accounts are) the sole beneficial owner(s) of the ADSs to be received upon conversion of the Notes.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The undersigned acknowledges that the undersigned (and any such other account) may not continue to hold or retain any interest in Restricted Securities received upon conversion of this Note if the undersigned (or such other account) becomes an Affiliate of the Company.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undersigned agrees (and if the undersigned is acting for the account of another person, that person has confirmed that it agrees) that, prior to the Resale Restriction Termination Date, the undersigned (and such other account) will not offer, sell, pledge or otherwise transfer the Restricted Security (or securities represented by such Restricted Security) except in accordance with the restrictions set forth in that legend and any applicable securities laws of the United States and any state thereof.]</w:t>
      </w:r>
      <w:r>
        <w:rPr>
          <w:rFonts w:ascii="Times New Roman;Times;serif" w:hAnsi="Times New Roman;Times;serif"/>
          <w:sz w:val="15"/>
        </w:rPr>
        <w:t>7</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[The undersigned hereby instructs the ADS Depositary to register the ADSs in the name of:</w:t>
      </w:r>
    </w:p>
    <w:tbl>
      <w:tblPr>
        <w:tblW w:w="5068" w:type="dxa"/>
        <w:jc w:val="center"/>
        <w:tblInd w:w="0" w:type="dxa"/>
        <w:tblLayout w:type="fixed"/>
        <w:tblCellMar>
          <w:top w:w="0" w:type="dxa"/>
          <w:left w:w="0" w:type="dxa"/>
          <w:bottom w:w="0" w:type="dxa"/>
          <w:right w:w="0" w:type="dxa"/>
        </w:tblCellMar>
      </w:tblPr>
      <w:tblGrid>
        <w:gridCol w:w="271"/>
        <w:gridCol w:w="4606"/>
        <w:gridCol w:w="191"/>
      </w:tblGrid>
      <w:tr>
        <w:trPr/>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172085" cy="175260"/>
                      <wp:effectExtent l="0" t="0" r="0" b="0"/>
                      <wp:wrapNone/>
                      <wp:docPr id="675" name="Frame66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2924810" cy="175260"/>
                      <wp:effectExtent l="0" t="0" r="0" b="0"/>
                      <wp:wrapNone/>
                      <wp:docPr id="676" name="Frame667"/>
                      <a:graphic xmlns:a="http://schemas.openxmlformats.org/drawingml/2006/main">
                        <a:graphicData uri="http://schemas.microsoft.com/office/word/2010/wordprocessingShape">
                          <wps:wsp>
                            <wps:cNvSpPr txBox="1"/>
                            <wps:spPr>
                              <a:xfrm>
                                <a:off x="0" y="0"/>
                                <a:ext cx="2924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121920" cy="175260"/>
                      <wp:effectExtent l="0" t="0" r="0" b="0"/>
                      <wp:wrapNone/>
                      <wp:docPr id="677" name="Frame668"/>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of Beneficial Owner to receive ADSs (English):</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2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 of Beneficial Owner to receive ADSs (English):</w:t>
            </w:r>
          </w:p>
        </w:tc>
        <w:tc>
          <w:tcPr>
            <w:tcW w:w="19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of Registered Holder of the Deposited Shares:</w:t>
            </w:r>
          </w:p>
        </w:tc>
        <w:tc>
          <w:tcPr>
            <w:tcW w:w="19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Deposited Shares:</w:t>
            </w:r>
          </w:p>
        </w:tc>
        <w:tc>
          <w:tcPr>
            <w:tcW w:w="19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ADSs to be issued:</w:t>
            </w:r>
          </w:p>
        </w:tc>
        <w:tc>
          <w:tcPr>
            <w:tcW w:w="19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Beneficial Owner’s Tax ID Number:</w:t>
            </w:r>
          </w:p>
        </w:tc>
        <w:tc>
          <w:tcPr>
            <w:tcW w:w="19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7.</w:t>
            </w:r>
          </w:p>
        </w:tc>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Contact Name and Tel No/email address:]</w:t>
            </w:r>
            <w:r>
              <w:rPr>
                <w:rFonts w:ascii="Times New Roman;Times;serif" w:hAnsi="Times New Roman;Times;serif"/>
                <w:sz w:val="15"/>
              </w:rPr>
              <w:t>8</w:t>
            </w:r>
          </w:p>
        </w:tc>
        <w:tc>
          <w:tcPr>
            <w:tcW w:w="19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undersigned instructs the Depositary to deliver the ADRs representing the ADSs to the following account: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ADS Receiving Broker ( * are mandatory fields):</w:t>
      </w:r>
    </w:p>
    <w:p>
      <w:pPr>
        <w:pStyle w:val="TextBody"/>
        <w:bidi w:val="0"/>
        <w:spacing w:before="0" w:after="0"/>
        <w:ind w:left="0" w:right="0" w:hanging="0"/>
        <w:jc w:val="left"/>
        <w:rPr/>
      </w:pPr>
      <w:r>
        <w:rPr/>
        <w:t>​</w:t>
      </w:r>
    </w:p>
    <w:tbl>
      <w:tblPr>
        <w:tblW w:w="4618" w:type="dxa"/>
        <w:jc w:val="center"/>
        <w:tblInd w:w="0" w:type="dxa"/>
        <w:tblLayout w:type="fixed"/>
        <w:tblCellMar>
          <w:top w:w="0" w:type="dxa"/>
          <w:left w:w="0" w:type="dxa"/>
          <w:bottom w:w="0" w:type="dxa"/>
          <w:right w:w="0" w:type="dxa"/>
        </w:tblCellMar>
      </w:tblPr>
      <w:tblGrid>
        <w:gridCol w:w="286"/>
        <w:gridCol w:w="4141"/>
        <w:gridCol w:w="191"/>
      </w:tblGrid>
      <w:tr>
        <w:trPr/>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181610" cy="175260"/>
                      <wp:effectExtent l="0" t="0" r="0" b="0"/>
                      <wp:wrapNone/>
                      <wp:docPr id="678" name="Frame66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2629535" cy="175260"/>
                      <wp:effectExtent l="0" t="0" r="0" b="0"/>
                      <wp:wrapNone/>
                      <wp:docPr id="679" name="Frame670"/>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121920" cy="175260"/>
                      <wp:effectExtent l="0" t="0" r="0" b="0"/>
                      <wp:wrapNone/>
                      <wp:docPr id="680" name="Frame671"/>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DTC Broker Name*:</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2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DTC Broker’s Participant Account with DTC *:</w:t>
            </w:r>
          </w:p>
        </w:tc>
        <w:tc>
          <w:tcPr>
            <w:tcW w:w="19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DTC Broker Contact Name:</w:t>
            </w:r>
          </w:p>
        </w:tc>
        <w:tc>
          <w:tcPr>
            <w:tcW w:w="19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DTC Broker Contact Tel No/email:</w:t>
            </w:r>
          </w:p>
        </w:tc>
        <w:tc>
          <w:tcPr>
            <w:tcW w:w="19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Beneficial Owner’s Account # with DTC Broker*:</w:t>
            </w:r>
          </w:p>
        </w:tc>
        <w:tc>
          <w:tcPr>
            <w:tcW w:w="19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15"/>
        </w:rPr>
        <w:t>7</w:t>
      </w:r>
      <w:r>
        <w:rPr>
          <w:rFonts w:ascii="Times New Roman;Times;serif" w:hAnsi="Times New Roman;Times;serif"/>
          <w:sz w:val="20"/>
        </w:rPr>
        <w:t xml:space="preserve"> Include if a Restricted Security.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15"/>
        </w:rPr>
        <w:t>8</w:t>
      </w:r>
      <w:r>
        <w:rPr>
          <w:rFonts w:ascii="Times New Roman;Times;serif" w:hAnsi="Times New Roman;Times;serif"/>
          <w:sz w:val="20"/>
        </w:rPr>
        <w:t xml:space="preserve"> Include if a Restricted Security.</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821" w:right="0" w:hanging="0"/>
        <w:jc w:val="left"/>
        <w:rPr>
          <w:rFonts w:ascii="Times New Roman;Times;serif" w:hAnsi="Times New Roman;Times;serif"/>
          <w:sz w:val="20"/>
        </w:rPr>
      </w:pPr>
      <w:r>
        <w:rPr>
          <w:rFonts w:ascii="Times New Roman;Times;serif" w:hAnsi="Times New Roman;Times;serif"/>
          <w:sz w:val="20"/>
        </w:rPr>
        <w:t>OR</w:t>
      </w:r>
    </w:p>
    <w:p>
      <w:pPr>
        <w:pStyle w:val="TextBody"/>
        <w:bidi w:val="0"/>
        <w:spacing w:before="0" w:after="0"/>
        <w:ind w:left="0" w:right="0" w:hanging="0"/>
        <w:jc w:val="left"/>
        <w:rPr/>
      </w:pPr>
      <w:r>
        <w:rPr/>
        <w:t>​</w:t>
      </w:r>
    </w:p>
    <w:tbl>
      <w:tblPr>
        <w:tblW w:w="4956" w:type="dxa"/>
        <w:jc w:val="center"/>
        <w:tblInd w:w="0" w:type="dxa"/>
        <w:tblLayout w:type="fixed"/>
        <w:tblCellMar>
          <w:top w:w="0" w:type="dxa"/>
          <w:left w:w="0" w:type="dxa"/>
          <w:bottom w:w="0" w:type="dxa"/>
          <w:right w:w="0" w:type="dxa"/>
        </w:tblCellMar>
      </w:tblPr>
      <w:tblGrid>
        <w:gridCol w:w="271"/>
        <w:gridCol w:w="4531"/>
        <w:gridCol w:w="154"/>
      </w:tblGrid>
      <w:tr>
        <w:trPr/>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172085" cy="175260"/>
                      <wp:effectExtent l="0" t="0" r="0" b="0"/>
                      <wp:wrapNone/>
                      <wp:docPr id="681" name="Frame67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2877185" cy="175260"/>
                      <wp:effectExtent l="0" t="0" r="0" b="0"/>
                      <wp:wrapNone/>
                      <wp:docPr id="682" name="Frame673"/>
                      <a:graphic xmlns:a="http://schemas.openxmlformats.org/drawingml/2006/main">
                        <a:graphicData uri="http://schemas.microsoft.com/office/word/2010/wordprocessingShape">
                          <wps:wsp>
                            <wps:cNvSpPr txBox="1"/>
                            <wps:spPr>
                              <a:xfrm>
                                <a:off x="0" y="0"/>
                                <a:ext cx="287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98425" cy="175260"/>
                      <wp:effectExtent l="0" t="0" r="0" b="0"/>
                      <wp:wrapNone/>
                      <wp:docPr id="683" name="Frame674"/>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w:t>
            </w:r>
          </w:p>
        </w:tc>
        <w:tc>
          <w:tcPr>
            <w:tcW w:w="4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Local Broker Name (have account with DTC Broker)*:</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pBdr/>
              <w:bidi w:val="0"/>
              <w:spacing w:before="0" w:after="0"/>
              <w:ind w:left="0" w:right="0" w:hanging="0"/>
              <w:jc w:val="left"/>
              <w:rPr/>
            </w:pPr>
            <w:r>
              <w:rPr/>
              <w:t>​</w:t>
            </w:r>
          </w:p>
        </w:tc>
        <w:tc>
          <w:tcPr>
            <w:tcW w:w="4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Local Broker Sub-Account # with DTC Broker*:</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pBdr/>
              <w:bidi w:val="0"/>
              <w:spacing w:before="0" w:after="0"/>
              <w:ind w:left="0" w:right="0" w:hanging="0"/>
              <w:jc w:val="left"/>
              <w:rPr/>
            </w:pPr>
            <w:r>
              <w:rPr/>
              <w:t>​</w:t>
            </w:r>
          </w:p>
        </w:tc>
        <w:tc>
          <w:tcPr>
            <w:tcW w:w="4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Local Broker Contact Name:</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pBdr/>
              <w:bidi w:val="0"/>
              <w:spacing w:before="0" w:after="0"/>
              <w:ind w:left="0" w:right="0" w:hanging="0"/>
              <w:jc w:val="left"/>
              <w:rPr/>
            </w:pPr>
            <w:r>
              <w:rPr/>
              <w:t>​</w:t>
            </w:r>
          </w:p>
        </w:tc>
        <w:tc>
          <w:tcPr>
            <w:tcW w:w="4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Local Broker Contact Tel No/email:</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ADS Delivering Party:</w:t>
      </w:r>
    </w:p>
    <w:p>
      <w:pPr>
        <w:pStyle w:val="TextBody"/>
        <w:bidi w:val="0"/>
        <w:spacing w:before="0" w:after="0"/>
        <w:ind w:left="0" w:right="0" w:hanging="0"/>
        <w:jc w:val="left"/>
        <w:rPr/>
      </w:pPr>
      <w:r>
        <w:rPr/>
        <w:t>​</w:t>
      </w:r>
    </w:p>
    <w:tbl>
      <w:tblPr>
        <w:tblW w:w="4599" w:type="dxa"/>
        <w:jc w:val="center"/>
        <w:tblInd w:w="0" w:type="dxa"/>
        <w:tblLayout w:type="fixed"/>
        <w:tblCellMar>
          <w:top w:w="0" w:type="dxa"/>
          <w:left w:w="0" w:type="dxa"/>
          <w:bottom w:w="0" w:type="dxa"/>
          <w:right w:w="0" w:type="dxa"/>
        </w:tblCellMar>
      </w:tblPr>
      <w:tblGrid>
        <w:gridCol w:w="646"/>
        <w:gridCol w:w="326"/>
        <w:gridCol w:w="3436"/>
        <w:gridCol w:w="191"/>
      </w:tblGrid>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410210" cy="175260"/>
                      <wp:effectExtent l="0" t="0" r="0" b="0"/>
                      <wp:wrapNone/>
                      <wp:docPr id="684" name="Frame675"/>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207010" cy="175260"/>
                      <wp:effectExtent l="0" t="0" r="0" b="0"/>
                      <wp:wrapNone/>
                      <wp:docPr id="685" name="Frame6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2181860" cy="175260"/>
                      <wp:effectExtent l="0" t="0" r="0" b="0"/>
                      <wp:wrapNone/>
                      <wp:docPr id="686" name="Frame677"/>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121285" cy="175260"/>
                      <wp:effectExtent l="0" t="0" r="0" b="0"/>
                      <wp:wrapNone/>
                      <wp:docPr id="687" name="Frame67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6" w:type="dxa"/>
            <w:tcBorders/>
            <w:vAlign w:val="center"/>
          </w:tcPr>
          <w:p>
            <w:pPr>
              <w:pStyle w:val="TableContents"/>
              <w:bidi w:val="0"/>
              <w:spacing w:before="0" w:after="0"/>
              <w:ind w:left="0" w:right="0" w:hanging="0"/>
              <w:jc w:val="left"/>
              <w:rPr/>
            </w:pPr>
            <w:r>
              <w:rPr/>
              <w:t>    </w:t>
            </w:r>
          </w:p>
        </w:tc>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Deutsche Bank Trust Company Americas</w:t>
              <w:br/>
              <w:t>DTC Account: #2655]</w:t>
            </w:r>
            <w:r>
              <w:rPr>
                <w:rFonts w:ascii="Times New Roman;Times;serif" w:hAnsi="Times New Roman;Times;serif"/>
                <w:sz w:val="15"/>
              </w:rPr>
              <w:t>9</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For any ADS settlement inquiries, please contact DBTCA Broker Desk: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 +1-212-250-9100 (New York) / +44-207-547-6500 (London)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Email: </w:t>
      </w:r>
      <w:r>
        <w:rPr>
          <w:rFonts w:ascii="Times New Roman;Times;serif" w:hAnsi="Times New Roman;Times;serif"/>
          <w:sz w:val="20"/>
          <w:u w:val="single"/>
        </w:rPr>
        <w:t>adr@db.com</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HorizontalLine"/>
        <w:pBdr>
          <w:bottom w:val="single" w:sz="6" w:space="0" w:color="000000"/>
        </w:pBdr>
        <w:bidi w:val="0"/>
        <w:spacing w:before="0" w:after="0"/>
        <w:ind w:left="0" w:right="7654" w:hanging="0"/>
        <w:jc w:val="left"/>
        <w:rPr/>
      </w:pPr>
      <w:r>
        <w:rPr/>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15"/>
        </w:rPr>
        <w:t xml:space="preserve">9 </w:t>
      </w:r>
      <w:r>
        <w:rPr>
          <w:rFonts w:ascii="Times New Roman;Times;serif" w:hAnsi="Times New Roman;Times;serif"/>
          <w:sz w:val="20"/>
        </w:rPr>
        <w:t>Include bracketed language in the conversion Notice if the Note being converted is not a Restricted Security.</w:t>
      </w:r>
    </w:p>
    <w:p>
      <w:pPr>
        <w:pStyle w:val="TextBody"/>
        <w:bidi w:val="0"/>
        <w:spacing w:before="0" w:after="200"/>
        <w:ind w:left="10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6750"/>
        <w:gridCol w:w="1203"/>
        <w:gridCol w:w="326"/>
        <w:gridCol w:w="1926"/>
      </w:tblGrid>
      <w:tr>
        <w:trPr/>
        <w:tc>
          <w:tcPr>
            <w:tcW w:w="67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Dated:</w:t>
            </w:r>
          </w:p>
        </w:tc>
        <w:tc>
          <w:tcPr>
            <w:tcW w:w="1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9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750" w:type="dxa"/>
            <w:tcBorders/>
            <w:vAlign w:val="center"/>
          </w:tcPr>
          <w:p>
            <w:pPr>
              <w:pStyle w:val="TableContents"/>
              <w:bidi w:val="0"/>
              <w:spacing w:before="0" w:after="0"/>
              <w:ind w:left="0" w:right="0" w:hanging="0"/>
              <w:jc w:val="both"/>
              <w:rPr/>
            </w:pPr>
            <w:r>
              <w:rPr/>
              <w:t>​</w:t>
            </w:r>
          </w:p>
        </w:tc>
        <w:tc>
          <w:tcPr>
            <w:tcW w:w="120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6750" w:type="dxa"/>
            <w:tcBorders/>
            <w:vAlign w:val="center"/>
          </w:tcPr>
          <w:p>
            <w:pPr>
              <w:pStyle w:val="TableContents"/>
              <w:bidi w:val="0"/>
              <w:spacing w:before="0" w:after="0"/>
              <w:ind w:left="0" w:right="0" w:hanging="0"/>
              <w:jc w:val="both"/>
              <w:rPr/>
            </w:pPr>
            <w:r>
              <w:rPr/>
              <w:t>​</w:t>
            </w:r>
          </w:p>
        </w:tc>
        <w:tc>
          <w:tcPr>
            <w:tcW w:w="12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Signature(s)</w:t>
            </w:r>
          </w:p>
        </w:tc>
      </w:tr>
      <w:tr>
        <w:trPr/>
        <w:tc>
          <w:tcPr>
            <w:tcW w:w="7953"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953"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 Guarantee</w:t>
            </w:r>
          </w:p>
        </w:tc>
        <w:tc>
          <w:tcPr>
            <w:tcW w:w="326" w:type="dxa"/>
            <w:tcBorders/>
            <w:vAlign w:val="center"/>
          </w:tcPr>
          <w:p>
            <w:pPr>
              <w:pStyle w:val="TableContents"/>
              <w:bidi w:val="0"/>
              <w:spacing w:before="0" w:after="0"/>
              <w:ind w:left="0" w:right="0" w:hanging="0"/>
              <w:jc w:val="left"/>
              <w:rPr/>
            </w:pPr>
            <w:r>
              <w:rPr/>
              <w:t>​</w:t>
            </w:r>
          </w:p>
        </w:tc>
        <w:tc>
          <w:tcPr>
            <w:tcW w:w="1926" w:type="dxa"/>
            <w:tcBorders/>
            <w:vAlign w:val="center"/>
          </w:tcPr>
          <w:p>
            <w:pPr>
              <w:pStyle w:val="TableContents"/>
              <w:bidi w:val="0"/>
              <w:spacing w:before="0" w:after="0"/>
              <w:ind w:left="0" w:right="0" w:hanging="0"/>
              <w:jc w:val="left"/>
              <w:rPr/>
            </w:pPr>
            <w:r>
              <w:rPr/>
              <w:t>​</w:t>
            </w:r>
          </w:p>
        </w:tc>
      </w:tr>
      <w:tr>
        <w:trPr/>
        <w:tc>
          <w:tcPr>
            <w:tcW w:w="6750" w:type="dxa"/>
            <w:tcBorders/>
            <w:vAlign w:val="center"/>
          </w:tcPr>
          <w:p>
            <w:pPr>
              <w:pStyle w:val="TableContents"/>
              <w:bidi w:val="0"/>
              <w:spacing w:before="0" w:after="0"/>
              <w:ind w:left="0" w:right="0" w:hanging="0"/>
              <w:jc w:val="both"/>
              <w:rPr/>
            </w:pPr>
            <w:r>
              <w:rPr/>
              <w:t>​</w:t>
            </w:r>
          </w:p>
        </w:tc>
        <w:tc>
          <w:tcPr>
            <w:tcW w:w="12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6" w:type="dxa"/>
            <w:tcBorders/>
            <w:vAlign w:val="center"/>
          </w:tcPr>
          <w:p>
            <w:pPr>
              <w:pStyle w:val="TableContents"/>
              <w:bidi w:val="0"/>
              <w:spacing w:before="0" w:after="0"/>
              <w:ind w:left="0" w:right="0" w:hanging="0"/>
              <w:jc w:val="left"/>
              <w:rPr/>
            </w:pPr>
            <w:r>
              <w:rPr/>
              <w:t>​</w:t>
            </w:r>
          </w:p>
        </w:tc>
      </w:tr>
      <w:tr>
        <w:trPr/>
        <w:tc>
          <w:tcPr>
            <w:tcW w:w="795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Signature(s) must be guaranteed by an eligible Guarantor Institution (banks, stock brokers, savings and loan associations and credit unions) with membership in an approved signature guarantee medallion program pursuant to Securities and Exchange Commission Rule 17Ad-15 if ADSs are to be issued, or Notes are to be delivered, other than to and in the name of the registered holder.</w:t>
            </w:r>
          </w:p>
        </w:tc>
        <w:tc>
          <w:tcPr>
            <w:tcW w:w="326" w:type="dxa"/>
            <w:tcBorders/>
            <w:vAlign w:val="center"/>
          </w:tcPr>
          <w:p>
            <w:pPr>
              <w:pStyle w:val="TableContents"/>
              <w:bidi w:val="0"/>
              <w:spacing w:before="0" w:after="0"/>
              <w:ind w:left="0" w:right="0" w:hanging="0"/>
              <w:jc w:val="left"/>
              <w:rPr/>
            </w:pPr>
            <w:r>
              <w:rPr/>
              <w:t>​</w:t>
            </w:r>
          </w:p>
        </w:tc>
        <w:tc>
          <w:tcPr>
            <w:tcW w:w="1926" w:type="dxa"/>
            <w:tcBorders/>
            <w:vAlign w:val="center"/>
          </w:tcPr>
          <w:p>
            <w:pPr>
              <w:pStyle w:val="TableContents"/>
              <w:bidi w:val="0"/>
              <w:spacing w:before="0" w:after="0"/>
              <w:ind w:left="0" w:right="0" w:hanging="0"/>
              <w:jc w:val="left"/>
              <w:rPr/>
            </w:pPr>
            <w:r>
              <w:rPr/>
              <w:t>​</w:t>
            </w:r>
          </w:p>
        </w:tc>
      </w:tr>
      <w:tr>
        <w:trPr/>
        <w:tc>
          <w:tcPr>
            <w:tcW w:w="7953"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6" w:type="dxa"/>
            <w:tcBorders/>
            <w:vAlign w:val="center"/>
          </w:tcPr>
          <w:p>
            <w:pPr>
              <w:pStyle w:val="TableContents"/>
              <w:bidi w:val="0"/>
              <w:spacing w:before="0" w:after="0"/>
              <w:ind w:left="0" w:right="0" w:hanging="0"/>
              <w:jc w:val="left"/>
              <w:rPr/>
            </w:pPr>
            <w:r>
              <w:rPr/>
              <w:t>​</w:t>
            </w:r>
          </w:p>
        </w:tc>
      </w:tr>
      <w:tr>
        <w:trPr/>
        <w:tc>
          <w:tcPr>
            <w:tcW w:w="795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Fill in for registration of ADSs if to be issued, and Notes if to be delivered, other than to and in the name of the registered holder:</w:t>
            </w:r>
          </w:p>
        </w:tc>
        <w:tc>
          <w:tcPr>
            <w:tcW w:w="326" w:type="dxa"/>
            <w:tcBorders/>
            <w:vAlign w:val="center"/>
          </w:tcPr>
          <w:p>
            <w:pPr>
              <w:pStyle w:val="TableContents"/>
              <w:bidi w:val="0"/>
              <w:spacing w:before="0" w:after="0"/>
              <w:ind w:left="0" w:right="0" w:hanging="0"/>
              <w:jc w:val="left"/>
              <w:rPr/>
            </w:pPr>
            <w:r>
              <w:rPr/>
              <w:t>​</w:t>
            </w:r>
          </w:p>
        </w:tc>
        <w:tc>
          <w:tcPr>
            <w:tcW w:w="1926" w:type="dxa"/>
            <w:tcBorders/>
            <w:vAlign w:val="center"/>
          </w:tcPr>
          <w:p>
            <w:pPr>
              <w:pStyle w:val="TableContents"/>
              <w:bidi w:val="0"/>
              <w:spacing w:before="0" w:after="0"/>
              <w:ind w:left="0" w:right="0" w:hanging="0"/>
              <w:jc w:val="left"/>
              <w:rPr/>
            </w:pPr>
            <w:r>
              <w:rPr/>
              <w:t>​</w:t>
            </w:r>
          </w:p>
        </w:tc>
      </w:tr>
      <w:tr>
        <w:trPr/>
        <w:tc>
          <w:tcPr>
            <w:tcW w:w="7953"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6" w:type="dxa"/>
            <w:tcBorders/>
            <w:vAlign w:val="center"/>
          </w:tcPr>
          <w:p>
            <w:pPr>
              <w:pStyle w:val="TableContents"/>
              <w:bidi w:val="0"/>
              <w:spacing w:before="0" w:after="0"/>
              <w:ind w:left="0" w:right="0" w:hanging="0"/>
              <w:jc w:val="left"/>
              <w:rPr/>
            </w:pPr>
            <w:r>
              <w:rPr/>
              <w:t>​</w:t>
            </w:r>
          </w:p>
        </w:tc>
      </w:tr>
      <w:tr>
        <w:trPr/>
        <w:tc>
          <w:tcPr>
            <w:tcW w:w="7953"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953"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6" w:type="dxa"/>
            <w:tcBorders/>
            <w:vAlign w:val="center"/>
          </w:tcPr>
          <w:p>
            <w:pPr>
              <w:pStyle w:val="TableContents"/>
              <w:bidi w:val="0"/>
              <w:spacing w:before="0" w:after="0"/>
              <w:ind w:left="0" w:right="0" w:hanging="0"/>
              <w:jc w:val="left"/>
              <w:rPr/>
            </w:pPr>
            <w:r>
              <w:rPr/>
              <w:t>​</w:t>
            </w:r>
          </w:p>
        </w:tc>
        <w:tc>
          <w:tcPr>
            <w:tcW w:w="1926" w:type="dxa"/>
            <w:tcBorders/>
            <w:vAlign w:val="center"/>
          </w:tcPr>
          <w:p>
            <w:pPr>
              <w:pStyle w:val="TableContents"/>
              <w:bidi w:val="0"/>
              <w:spacing w:before="0" w:after="0"/>
              <w:ind w:left="0" w:right="0" w:hanging="0"/>
              <w:jc w:val="left"/>
              <w:rPr/>
            </w:pPr>
            <w:r>
              <w:rPr/>
              <w:t>​</w:t>
            </w:r>
          </w:p>
        </w:tc>
      </w:tr>
      <w:tr>
        <w:trPr/>
        <w:tc>
          <w:tcPr>
            <w:tcW w:w="7953"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6" w:type="dxa"/>
            <w:tcBorders/>
            <w:vAlign w:val="center"/>
          </w:tcPr>
          <w:p>
            <w:pPr>
              <w:pStyle w:val="TableContents"/>
              <w:bidi w:val="0"/>
              <w:spacing w:before="0" w:after="0"/>
              <w:ind w:left="0" w:right="0" w:hanging="0"/>
              <w:jc w:val="left"/>
              <w:rPr/>
            </w:pPr>
            <w:r>
              <w:rPr/>
              <w:t>​</w:t>
            </w:r>
          </w:p>
        </w:tc>
      </w:tr>
      <w:tr>
        <w:trPr/>
        <w:tc>
          <w:tcPr>
            <w:tcW w:w="7953"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953"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(Street Address)</w:t>
            </w:r>
          </w:p>
        </w:tc>
        <w:tc>
          <w:tcPr>
            <w:tcW w:w="326" w:type="dxa"/>
            <w:tcBorders/>
            <w:vAlign w:val="center"/>
          </w:tcPr>
          <w:p>
            <w:pPr>
              <w:pStyle w:val="TableContents"/>
              <w:bidi w:val="0"/>
              <w:spacing w:before="0" w:after="0"/>
              <w:ind w:left="0" w:right="0" w:hanging="0"/>
              <w:jc w:val="left"/>
              <w:rPr/>
            </w:pPr>
            <w:r>
              <w:rPr/>
              <w:t>​</w:t>
            </w:r>
          </w:p>
        </w:tc>
        <w:tc>
          <w:tcPr>
            <w:tcW w:w="1926" w:type="dxa"/>
            <w:tcBorders/>
            <w:vAlign w:val="center"/>
          </w:tcPr>
          <w:p>
            <w:pPr>
              <w:pStyle w:val="TableContents"/>
              <w:bidi w:val="0"/>
              <w:spacing w:before="0" w:after="0"/>
              <w:ind w:left="0" w:right="0" w:hanging="0"/>
              <w:jc w:val="left"/>
              <w:rPr/>
            </w:pPr>
            <w:r>
              <w:rPr/>
              <w:t>​</w:t>
            </w:r>
          </w:p>
        </w:tc>
      </w:tr>
      <w:tr>
        <w:trPr/>
        <w:tc>
          <w:tcPr>
            <w:tcW w:w="7953"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6" w:type="dxa"/>
            <w:tcBorders/>
            <w:vAlign w:val="center"/>
          </w:tcPr>
          <w:p>
            <w:pPr>
              <w:pStyle w:val="TableContents"/>
              <w:bidi w:val="0"/>
              <w:spacing w:before="0" w:after="0"/>
              <w:ind w:left="0" w:right="0" w:hanging="0"/>
              <w:jc w:val="left"/>
              <w:rPr/>
            </w:pPr>
            <w:r>
              <w:rPr/>
              <w:t>​</w:t>
            </w:r>
          </w:p>
        </w:tc>
      </w:tr>
      <w:tr>
        <w:trPr/>
        <w:tc>
          <w:tcPr>
            <w:tcW w:w="7953"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953"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(City, State and Zip Code) Please print name and address</w:t>
            </w:r>
          </w:p>
        </w:tc>
        <w:tc>
          <w:tcPr>
            <w:tcW w:w="326" w:type="dxa"/>
            <w:tcBorders/>
            <w:vAlign w:val="center"/>
          </w:tcPr>
          <w:p>
            <w:pPr>
              <w:pStyle w:val="TableContents"/>
              <w:bidi w:val="0"/>
              <w:spacing w:before="0" w:after="0"/>
              <w:ind w:left="0" w:right="0" w:hanging="0"/>
              <w:jc w:val="left"/>
              <w:rPr/>
            </w:pPr>
            <w:r>
              <w:rPr/>
              <w:t>​</w:t>
            </w:r>
          </w:p>
        </w:tc>
        <w:tc>
          <w:tcPr>
            <w:tcW w:w="1926" w:type="dxa"/>
            <w:tcBorders/>
            <w:vAlign w:val="center"/>
          </w:tcPr>
          <w:p>
            <w:pPr>
              <w:pStyle w:val="TableContents"/>
              <w:bidi w:val="0"/>
              <w:spacing w:before="0" w:after="0"/>
              <w:ind w:left="0" w:right="0" w:hanging="0"/>
              <w:jc w:val="left"/>
              <w:rPr/>
            </w:pPr>
            <w:r>
              <w:rPr/>
              <w:t>​</w:t>
            </w:r>
          </w:p>
        </w:tc>
      </w:tr>
      <w:tr>
        <w:trPr/>
        <w:tc>
          <w:tcPr>
            <w:tcW w:w="7953"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amount to be converted (if less than all):</w:t>
              <w:br/>
              <w:t>US$</w:t>
            </w:r>
            <w:r>
              <w:rPr>
                <w:rFonts w:ascii="Times New Roman;Times;serif" w:hAnsi="Times New Roman;Times;serif"/>
                <w:sz w:val="20"/>
                <w:u w:val="single"/>
              </w:rPr>
              <w:t>         </w:t>
            </w:r>
            <w:r>
              <w:rPr>
                <w:rFonts w:ascii="Times New Roman;Times;serif" w:hAnsi="Times New Roman;Times;serif"/>
                <w:sz w:val="20"/>
              </w:rPr>
              <w:t>,000</w:t>
            </w:r>
          </w:p>
        </w:tc>
      </w:tr>
    </w:tbl>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24"/>
        <w:gridCol w:w="109"/>
        <w:gridCol w:w="9972"/>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 The above signature(s) of the Holder(s) hereof must correspond with the name as written upon the face of the Note in every particular without alteration or enlargement or any change whatever.</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7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7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Social Security or Other Taxpayer Identification Number</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ATTACHMENT 2</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[FORM OF FUNDAMENTAL CHANGE REPURCHASE NOTICE]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To:</w:t>
      </w:r>
      <w:r>
        <w:rPr>
          <w:rFonts w:ascii="Times New Roman;Times;serif" w:hAnsi="Times New Roman;Times;serif"/>
          <w:sz w:val="20"/>
        </w:rPr>
        <w:t>NIO INC.</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DEUTSCHE BANK TRUST COMPANY AMERICAS, as Trustee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undersigned registered owner of this Note hereby acknowledges receipt of a notice from NIO Inc. (the “</w:t>
      </w:r>
      <w:r>
        <w:rPr>
          <w:rFonts w:ascii="Times New Roman;Times;serif" w:hAnsi="Times New Roman;Times;serif"/>
          <w:b/>
          <w:sz w:val="20"/>
        </w:rPr>
        <w:t>Company</w:t>
      </w:r>
      <w:r>
        <w:rPr>
          <w:rFonts w:ascii="Times New Roman;Times;serif" w:hAnsi="Times New Roman;Times;serif"/>
          <w:sz w:val="20"/>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US$1,000 principal amount or an integral multiple thereof) below designated, and (2) if such Fundamental Change Repurchase Date does not fall during the period after a Regular Record Date and on or prior to the corresponding Interest Payment Date, accrued and unpaid interest thereon to, but excluding, such Fundamental Change Repurchase Date.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the case of Physical Notes, the certificate numbers of the Notes to be repurchased are as set forth below:</w:t>
      </w:r>
    </w:p>
    <w:tbl>
      <w:tblPr>
        <w:tblW w:w="10205" w:type="dxa"/>
        <w:jc w:val="center"/>
        <w:tblInd w:w="0" w:type="dxa"/>
        <w:tblLayout w:type="fixed"/>
        <w:tblCellMar>
          <w:top w:w="0" w:type="dxa"/>
          <w:left w:w="0" w:type="dxa"/>
          <w:bottom w:w="0" w:type="dxa"/>
          <w:right w:w="0" w:type="dxa"/>
        </w:tblCellMar>
      </w:tblPr>
      <w:tblGrid>
        <w:gridCol w:w="1202"/>
        <w:gridCol w:w="218"/>
        <w:gridCol w:w="109"/>
        <w:gridCol w:w="266"/>
        <w:gridCol w:w="1080"/>
        <w:gridCol w:w="7330"/>
      </w:tblGrid>
      <w:tr>
        <w:trPr/>
        <w:tc>
          <w:tcPr>
            <w:tcW w:w="1202" w:type="dxa"/>
            <w:tcBorders/>
            <w:vAlign w:val="center"/>
          </w:tcPr>
          <w:p>
            <w:pPr>
              <w:pStyle w:val="TableContents"/>
              <w:bidi w:val="0"/>
              <w:spacing w:before="0" w:after="283"/>
              <w:ind w:left="0" w:right="0" w:hanging="0"/>
              <w:jc w:val="left"/>
              <w:rPr>
                <w:sz w:val="4"/>
                <w:szCs w:val="4"/>
              </w:rPr>
            </w:pPr>
            <w:r>
              <w:rPr>
                <w:sz w:val="4"/>
                <w:szCs w:val="4"/>
              </w:rPr>
            </w:r>
          </w:p>
        </w:tc>
        <w:tc>
          <w:tcPr>
            <w:tcW w:w="327" w:type="dxa"/>
            <w:gridSpan w:val="2"/>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410" w:type="dxa"/>
            <w:gridSpan w:val="2"/>
            <w:tcBorders/>
            <w:vAlign w:val="center"/>
          </w:tcPr>
          <w:p>
            <w:pPr>
              <w:pStyle w:val="TableContents"/>
              <w:bidi w:val="0"/>
              <w:spacing w:before="0" w:after="0"/>
              <w:ind w:left="0" w:right="0" w:hanging="0"/>
              <w:jc w:val="left"/>
              <w:rPr/>
            </w:pPr>
            <w:r>
              <w:rPr/>
              <w:t>​</w:t>
            </w:r>
          </w:p>
        </w:tc>
      </w:tr>
      <w:tr>
        <w:trPr/>
        <w:tc>
          <w:tcPr>
            <w:tcW w:w="14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 Number(s):</w:t>
            </w:r>
          </w:p>
        </w:tc>
        <w:tc>
          <w:tcPr>
            <w:tcW w:w="1455"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30" w:type="dxa"/>
            <w:tcBorders/>
            <w:vAlign w:val="center"/>
          </w:tcPr>
          <w:p>
            <w:pPr>
              <w:pStyle w:val="TableContents"/>
              <w:bidi w:val="0"/>
              <w:spacing w:before="0" w:after="0"/>
              <w:ind w:left="0" w:right="0" w:hanging="0"/>
              <w:jc w:val="left"/>
              <w:rPr/>
            </w:pPr>
            <w:r>
              <w:rPr/>
              <w:t>​</w:t>
            </w:r>
          </w:p>
        </w:tc>
      </w:tr>
      <w:tr>
        <w:trPr/>
        <w:tc>
          <w:tcPr>
            <w:tcW w:w="10205"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1529" w:type="dxa"/>
            <w:gridSpan w:val="3"/>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8410" w:type="dxa"/>
            <w:gridSpan w:val="2"/>
            <w:tcBorders/>
            <w:vAlign w:val="center"/>
          </w:tcPr>
          <w:p>
            <w:pPr>
              <w:pStyle w:val="TableContents"/>
              <w:bidi w:val="0"/>
              <w:spacing w:before="0" w:after="0"/>
              <w:ind w:left="0" w:right="0" w:hanging="0"/>
              <w:jc w:val="left"/>
              <w:rPr/>
            </w:pPr>
            <w:r>
              <w:rPr/>
              <w:t>​</w:t>
            </w:r>
          </w:p>
        </w:tc>
      </w:tr>
      <w:tr>
        <w:trPr/>
        <w:tc>
          <w:tcPr>
            <w:tcW w:w="12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327"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410" w:type="dxa"/>
            <w:gridSpan w:val="2"/>
            <w:tcBorders/>
            <w:vAlign w:val="center"/>
          </w:tcPr>
          <w:p>
            <w:pPr>
              <w:pStyle w:val="TableContents"/>
              <w:bidi w:val="0"/>
              <w:spacing w:before="0" w:after="0"/>
              <w:ind w:left="0" w:right="0" w:hanging="0"/>
              <w:jc w:val="left"/>
              <w:rPr/>
            </w:pPr>
            <w:r>
              <w:rPr/>
              <w:t>​</w:t>
            </w:r>
          </w:p>
        </w:tc>
      </w:tr>
      <w:tr>
        <w:trPr/>
        <w:tc>
          <w:tcPr>
            <w:tcW w:w="1202" w:type="dxa"/>
            <w:tcBorders/>
            <w:vAlign w:val="center"/>
          </w:tcPr>
          <w:p>
            <w:pPr>
              <w:pStyle w:val="TableContents"/>
              <w:bidi w:val="0"/>
              <w:spacing w:before="0" w:after="0"/>
              <w:ind w:left="0" w:right="0" w:hanging="0"/>
              <w:jc w:val="left"/>
              <w:rPr/>
            </w:pPr>
            <w:r>
              <w:rPr/>
              <w:t>​</w:t>
            </w:r>
          </w:p>
        </w:tc>
        <w:tc>
          <w:tcPr>
            <w:tcW w:w="21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41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529" w:type="dxa"/>
            <w:gridSpan w:val="3"/>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4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Signature(s)</w:t>
            </w:r>
          </w:p>
        </w:tc>
      </w:tr>
      <w:tr>
        <w:trPr/>
        <w:tc>
          <w:tcPr>
            <w:tcW w:w="1529" w:type="dxa"/>
            <w:gridSpan w:val="3"/>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41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529" w:type="dxa"/>
            <w:gridSpan w:val="3"/>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41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Social Security or Other Taxpayer</w:t>
              <w:br/>
              <w:t>Identification Number</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amount to be repaid (if less than all):</w:t>
              <w:br/>
              <w:t>US$</w:t>
            </w:r>
            <w:r>
              <w:rPr>
                <w:rFonts w:ascii="Times New Roman;Times;serif" w:hAnsi="Times New Roman;Times;serif"/>
                <w:sz w:val="20"/>
                <w:u w:val="single"/>
              </w:rPr>
              <w:t>        </w:t>
            </w:r>
            <w:r>
              <w:rPr>
                <w:rFonts w:ascii="Times New Roman;Times;serif" w:hAnsi="Times New Roman;Times;serif"/>
                <w:sz w:val="20"/>
              </w:rPr>
              <w:t>,000</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 The above signature(s) of the Holder(s) hereof must correspond with the name as written upon the face of the Note in every particular without alteration or enlargement or any change whatever.</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100" w:right="0" w:hanging="0"/>
        <w:jc w:val="right"/>
        <w:rPr>
          <w:rFonts w:ascii="Times New Roman;Times;serif" w:hAnsi="Times New Roman;Times;serif"/>
          <w:b/>
          <w:sz w:val="20"/>
        </w:rPr>
      </w:pPr>
      <w:r>
        <w:rPr>
          <w:rFonts w:ascii="Times New Roman;Times;serif" w:hAnsi="Times New Roman;Times;serif"/>
          <w:b/>
          <w:sz w:val="20"/>
        </w:rPr>
        <w:t>ATTACHMENT 3</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OF REPURCHASE NOTICE]</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To:</w:t>
      </w:r>
      <w:r>
        <w:rPr>
          <w:rFonts w:ascii="Times New Roman;Times;serif" w:hAnsi="Times New Roman;Times;serif"/>
          <w:sz w:val="20"/>
        </w:rPr>
        <w:t>NIO INC.</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DEUTSCHE BANK TRUST COMPANY AMERICAS, as Trustee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undersigned registered owner of this Note hereby acknowledges receipt of a notice from NIO Inc. (the “</w:t>
      </w:r>
      <w:r>
        <w:rPr>
          <w:rFonts w:ascii="Times New Roman;Times;serif" w:hAnsi="Times New Roman;Times;serif"/>
          <w:b/>
          <w:sz w:val="20"/>
        </w:rPr>
        <w:t>Company</w:t>
      </w:r>
      <w:r>
        <w:rPr>
          <w:rFonts w:ascii="Times New Roman;Times;serif" w:hAnsi="Times New Roman;Times;serif"/>
          <w:sz w:val="20"/>
        </w:rPr>
        <w:t>”) regarding the right of Holders to elect to require the Company to repurchase the entire principal amount of this Note, or the portion thereof (that is US$1,000 principal amount or an integral multiple thereof) below designated, in accordance with the applicable provisions of the Indenture referred to in this Note, at the Repurchase Price to the registered Holder hereof.</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the case of certificated Notes, the certificate numbers of the Notes to be purchased are as set forth below:</w:t>
      </w:r>
    </w:p>
    <w:tbl>
      <w:tblPr>
        <w:tblW w:w="10205" w:type="dxa"/>
        <w:jc w:val="center"/>
        <w:tblInd w:w="0" w:type="dxa"/>
        <w:tblLayout w:type="fixed"/>
        <w:tblCellMar>
          <w:top w:w="0" w:type="dxa"/>
          <w:left w:w="0" w:type="dxa"/>
          <w:bottom w:w="0" w:type="dxa"/>
          <w:right w:w="0" w:type="dxa"/>
        </w:tblCellMar>
      </w:tblPr>
      <w:tblGrid>
        <w:gridCol w:w="1365"/>
        <w:gridCol w:w="67"/>
        <w:gridCol w:w="43"/>
        <w:gridCol w:w="109"/>
        <w:gridCol w:w="266"/>
        <w:gridCol w:w="1073"/>
        <w:gridCol w:w="7282"/>
      </w:tblGrid>
      <w:tr>
        <w:trPr/>
        <w:tc>
          <w:tcPr>
            <w:tcW w:w="1365" w:type="dxa"/>
            <w:tcBorders/>
            <w:vAlign w:val="center"/>
          </w:tcPr>
          <w:p>
            <w:pPr>
              <w:pStyle w:val="TableContents"/>
              <w:bidi w:val="0"/>
              <w:spacing w:before="0" w:after="283"/>
              <w:ind w:left="0" w:right="0" w:hanging="0"/>
              <w:jc w:val="left"/>
              <w:rPr>
                <w:sz w:val="4"/>
                <w:szCs w:val="4"/>
              </w:rPr>
            </w:pPr>
            <w:r>
              <w:rPr>
                <w:sz w:val="4"/>
                <w:szCs w:val="4"/>
              </w:rPr>
            </w:r>
          </w:p>
        </w:tc>
        <w:tc>
          <w:tcPr>
            <w:tcW w:w="219" w:type="dxa"/>
            <w:gridSpan w:val="3"/>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355" w:type="dxa"/>
            <w:gridSpan w:val="2"/>
            <w:tcBorders/>
            <w:vAlign w:val="center"/>
          </w:tcPr>
          <w:p>
            <w:pPr>
              <w:pStyle w:val="TableContents"/>
              <w:bidi w:val="0"/>
              <w:spacing w:before="0" w:after="0"/>
              <w:ind w:left="0" w:right="0" w:hanging="0"/>
              <w:jc w:val="left"/>
              <w:rPr/>
            </w:pPr>
            <w:r>
              <w:rPr/>
              <w:t>​</w:t>
            </w:r>
          </w:p>
        </w:tc>
      </w:tr>
      <w:tr>
        <w:trPr/>
        <w:tc>
          <w:tcPr>
            <w:tcW w:w="143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 Number(s):</w:t>
            </w:r>
          </w:p>
        </w:tc>
        <w:tc>
          <w:tcPr>
            <w:tcW w:w="1491" w:type="dxa"/>
            <w:gridSpan w:val="4"/>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82" w:type="dxa"/>
            <w:tcBorders/>
            <w:vAlign w:val="center"/>
          </w:tcPr>
          <w:p>
            <w:pPr>
              <w:pStyle w:val="TableContents"/>
              <w:bidi w:val="0"/>
              <w:spacing w:before="0" w:after="0"/>
              <w:ind w:left="0" w:right="0" w:hanging="0"/>
              <w:jc w:val="left"/>
              <w:rPr/>
            </w:pPr>
            <w:r>
              <w:rPr/>
              <w:t>​</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584" w:type="dxa"/>
            <w:gridSpan w:val="4"/>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8355" w:type="dxa"/>
            <w:gridSpan w:val="2"/>
            <w:tcBorders/>
            <w:vAlign w:val="center"/>
          </w:tcPr>
          <w:p>
            <w:pPr>
              <w:pStyle w:val="TableContents"/>
              <w:bidi w:val="0"/>
              <w:spacing w:before="0" w:after="0"/>
              <w:ind w:left="0" w:right="0" w:hanging="0"/>
              <w:jc w:val="left"/>
              <w:rPr/>
            </w:pPr>
            <w:r>
              <w:rPr/>
              <w:t>​</w:t>
            </w:r>
          </w:p>
        </w:tc>
      </w:tr>
      <w:tr>
        <w:trPr/>
        <w:tc>
          <w:tcPr>
            <w:tcW w:w="13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219"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355" w:type="dxa"/>
            <w:gridSpan w:val="2"/>
            <w:tcBorders/>
            <w:vAlign w:val="center"/>
          </w:tcPr>
          <w:p>
            <w:pPr>
              <w:pStyle w:val="TableContents"/>
              <w:bidi w:val="0"/>
              <w:spacing w:before="0" w:after="0"/>
              <w:ind w:left="0" w:right="0" w:hanging="0"/>
              <w:jc w:val="left"/>
              <w:rPr/>
            </w:pPr>
            <w:r>
              <w:rPr/>
              <w:t>​</w:t>
            </w:r>
          </w:p>
        </w:tc>
      </w:tr>
      <w:tr>
        <w:trPr/>
        <w:tc>
          <w:tcPr>
            <w:tcW w:w="1365" w:type="dxa"/>
            <w:tcBorders/>
            <w:vAlign w:val="center"/>
          </w:tcPr>
          <w:p>
            <w:pPr>
              <w:pStyle w:val="TableContents"/>
              <w:bidi w:val="0"/>
              <w:spacing w:before="0" w:after="0"/>
              <w:ind w:left="0" w:right="0" w:hanging="0"/>
              <w:jc w:val="left"/>
              <w:rPr/>
            </w:pPr>
            <w:r>
              <w:rPr/>
              <w:t>​</w:t>
            </w:r>
          </w:p>
        </w:tc>
        <w:tc>
          <w:tcPr>
            <w:tcW w:w="110" w:type="dxa"/>
            <w:gridSpan w:val="2"/>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35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584" w:type="dxa"/>
            <w:gridSpan w:val="4"/>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35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Signature(s)</w:t>
            </w:r>
          </w:p>
        </w:tc>
      </w:tr>
      <w:tr>
        <w:trPr/>
        <w:tc>
          <w:tcPr>
            <w:tcW w:w="1584" w:type="dxa"/>
            <w:gridSpan w:val="4"/>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35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584" w:type="dxa"/>
            <w:gridSpan w:val="4"/>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35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Social Security or Other Taxpayer</w:t>
              <w:br/>
              <w:t>Identification Number</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amount to be repaid (if less than all):</w:t>
              <w:br/>
              <w:t>US$</w:t>
            </w:r>
            <w:r>
              <w:rPr>
                <w:rFonts w:ascii="Times New Roman;Times;serif" w:hAnsi="Times New Roman;Times;serif"/>
                <w:sz w:val="20"/>
                <w:u w:val="single"/>
              </w:rPr>
              <w:t>        </w:t>
            </w:r>
            <w:r>
              <w:rPr>
                <w:rFonts w:ascii="Times New Roman;Times;serif" w:hAnsi="Times New Roman;Times;serif"/>
                <w:sz w:val="20"/>
              </w:rPr>
              <w:t>,000</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 The above signature(s) of the Holder(s) hereof must correspond with the name as written upon the face of the Note in every particular without alteration or enlargement or any change whatever.</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ATTACHMENT 4</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[FORM OF ASSIGNMENT AND TRANSFER]</w:t>
      </w:r>
    </w:p>
    <w:p>
      <w:pPr>
        <w:pStyle w:val="TextBody"/>
        <w:bidi w:val="0"/>
        <w:spacing w:before="0" w:after="200"/>
        <w:ind w:left="100" w:right="0" w:hanging="0"/>
        <w:jc w:val="left"/>
        <w:rPr>
          <w:rFonts w:ascii="Times New Roman;Times;serif" w:hAnsi="Times New Roman;Times;serif"/>
          <w:sz w:val="20"/>
        </w:rPr>
      </w:pPr>
      <w:r>
        <w:rPr>
          <w:rFonts w:ascii="Times New Roman;Times;serif" w:hAnsi="Times New Roman;Times;serif"/>
          <w:sz w:val="20"/>
        </w:rPr>
        <w:t xml:space="preserve">For value received </w:t>
      </w:r>
      <w:r>
        <w:rPr>
          <w:rFonts w:ascii="Times New Roman;Times;serif" w:hAnsi="Times New Roman;Times;serif"/>
          <w:sz w:val="20"/>
          <w:u w:val="single"/>
        </w:rPr>
        <w:t>                       </w:t>
      </w:r>
      <w:r>
        <w:rPr>
          <w:rFonts w:ascii="Times New Roman;Times;serif" w:hAnsi="Times New Roman;Times;serif"/>
          <w:sz w:val="20"/>
        </w:rPr>
        <w:t xml:space="preserve"> hereby sell(s), assign(s) and transfer(s) unto </w:t>
      </w:r>
      <w:r>
        <w:rPr>
          <w:rFonts w:ascii="Times New Roman;Times;serif" w:hAnsi="Times New Roman;Times;serif"/>
          <w:sz w:val="20"/>
          <w:u w:val="single"/>
        </w:rPr>
        <w:t>                     </w:t>
      </w:r>
      <w:r>
        <w:rPr>
          <w:rFonts w:ascii="Times New Roman;Times;serif" w:hAnsi="Times New Roman;Times;serif"/>
          <w:sz w:val="20"/>
        </w:rPr>
        <w:t xml:space="preserve"> (Please insert social security or Taxpayer Identification Number of assignee) the within Note, and hereby irrevocably constitutes and appoints </w:t>
      </w:r>
      <w:r>
        <w:rPr>
          <w:rFonts w:ascii="Times New Roman;Times;serif" w:hAnsi="Times New Roman;Times;serif"/>
          <w:sz w:val="20"/>
          <w:u w:val="single"/>
        </w:rPr>
        <w:t>                 </w:t>
      </w:r>
      <w:r>
        <w:rPr>
          <w:rFonts w:ascii="Times New Roman;Times;serif" w:hAnsi="Times New Roman;Times;serif"/>
          <w:sz w:val="20"/>
        </w:rPr>
        <w:t xml:space="preserve"> attorney to transfer the said Note on the books of the Company, with full power of substitution in the premises.</w:t>
      </w:r>
    </w:p>
    <w:p>
      <w:pPr>
        <w:pStyle w:val="TextBody"/>
        <w:bidi w:val="0"/>
        <w:spacing w:before="0" w:after="200"/>
        <w:ind w:left="100" w:right="0" w:hanging="0"/>
        <w:jc w:val="left"/>
        <w:rPr>
          <w:rFonts w:ascii="Times New Roman;Times;serif" w:hAnsi="Times New Roman;Times;serif"/>
          <w:sz w:val="20"/>
        </w:rPr>
      </w:pPr>
      <w:r>
        <w:rPr>
          <w:rFonts w:ascii="Times New Roman;Times;serif" w:hAnsi="Times New Roman;Times;serif"/>
          <w:sz w:val="20"/>
        </w:rPr>
        <w:t>In connection with any transfer of the within Note occurring prior to the Resale Restriction Termination Date, as defined in the Indenture governing such Note, the undersigned confirms that such Note is being transferred:</w:t>
      </w:r>
    </w:p>
    <w:tbl>
      <w:tblPr>
        <w:tblW w:w="3333" w:type="dxa"/>
        <w:jc w:val="left"/>
        <w:tblInd w:w="0" w:type="dxa"/>
        <w:tblLayout w:type="fixed"/>
        <w:tblCellMar>
          <w:top w:w="0" w:type="dxa"/>
          <w:left w:w="0" w:type="dxa"/>
          <w:bottom w:w="0" w:type="dxa"/>
          <w:right w:w="0" w:type="dxa"/>
        </w:tblCellMar>
      </w:tblPr>
      <w:tblGrid>
        <w:gridCol w:w="23"/>
        <w:gridCol w:w="230"/>
        <w:gridCol w:w="308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00"/>
              <w:jc w:val="left"/>
              <w:rPr/>
            </w:pPr>
            <w:r>
              <w:rPr/>
              <w:t>☐</w:t>
            </w:r>
          </w:p>
        </w:tc>
        <w:tc>
          <w:tcPr>
            <w:tcW w:w="308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To NIO Inc. or a subsidiary thereof; or</w:t>
            </w:r>
          </w:p>
        </w:tc>
      </w:tr>
    </w:tbl>
    <w:p>
      <w:pPr>
        <w:pStyle w:val="TextBody"/>
        <w:bidi w:val="0"/>
        <w:spacing w:before="0" w:after="200"/>
        <w:ind w:left="100" w:right="0" w:hanging="0"/>
        <w:jc w:val="left"/>
        <w:rPr/>
      </w:pPr>
      <w:r>
        <w:rPr>
          <w:caps w:val="false"/>
          <w:smallCaps w:val="false"/>
        </w:rPr>
        <w:t>☐</w:t>
      </w:r>
      <w:r>
        <w:rPr>
          <w:rFonts w:ascii="Times New Roman;Times;serif" w:hAnsi="Times New Roman;Times;serif"/>
          <w:sz w:val="20"/>
        </w:rPr>
        <w:t>Pursuant to a registration statement that has become or been declared effective under the Securities Act of 1933, as amended and continues to be effective at the time of such transfer; or</w:t>
      </w:r>
    </w:p>
    <w:p>
      <w:pPr>
        <w:pStyle w:val="TextBody"/>
        <w:bidi w:val="0"/>
        <w:spacing w:before="0" w:after="200"/>
        <w:ind w:left="100" w:right="0" w:hanging="0"/>
        <w:jc w:val="left"/>
        <w:rPr/>
      </w:pPr>
      <w:r>
        <w:rPr>
          <w:caps w:val="false"/>
          <w:smallCaps w:val="false"/>
        </w:rPr>
        <w:t>☐</w:t>
      </w:r>
      <w:r>
        <w:rPr>
          <w:rFonts w:ascii="Times New Roman;Times;serif" w:hAnsi="Times New Roman;Times;serif"/>
          <w:sz w:val="20"/>
        </w:rPr>
        <w:t>To a “Qualified Institutional Buyer” in compliance with Rule 144A under the Securities Act of 1933, as amended; or</w:t>
      </w:r>
    </w:p>
    <w:p>
      <w:pPr>
        <w:pStyle w:val="TextBody"/>
        <w:bidi w:val="0"/>
        <w:spacing w:before="0" w:after="200"/>
        <w:ind w:left="100" w:right="0" w:hanging="0"/>
        <w:jc w:val="left"/>
        <w:rPr/>
      </w:pPr>
      <w:r>
        <w:rPr>
          <w:caps w:val="false"/>
          <w:smallCaps w:val="false"/>
        </w:rPr>
        <w:t>☐</w:t>
      </w:r>
      <w:r>
        <w:rPr>
          <w:rFonts w:ascii="Times New Roman;Times;serif" w:hAnsi="Times New Roman;Times;serif"/>
          <w:sz w:val="20"/>
        </w:rPr>
        <w:t>Pursuant to and in compliance with Rule 144 under the Securities Act of 1933, as amended (if available); or</w:t>
      </w:r>
    </w:p>
    <w:p>
      <w:pPr>
        <w:pStyle w:val="TextBody"/>
        <w:bidi w:val="0"/>
        <w:spacing w:before="0" w:after="200"/>
        <w:ind w:left="100" w:right="0" w:hanging="0"/>
        <w:jc w:val="left"/>
        <w:rPr/>
      </w:pPr>
      <w:r>
        <w:rPr>
          <w:caps w:val="false"/>
          <w:smallCaps w:val="false"/>
        </w:rPr>
        <w:t>☐</w:t>
      </w:r>
      <w:r>
        <w:rPr>
          <w:rFonts w:ascii="Times New Roman;Times;serif" w:hAnsi="Times New Roman;Times;serif"/>
          <w:sz w:val="20"/>
        </w:rPr>
        <w:t>Pursuant to any other exemption from, or in a transaction not subject to, the registration requirements of the Securities Act of 1933, as amended.</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8438"/>
        <w:gridCol w:w="1503"/>
        <w:gridCol w:w="109"/>
        <w:gridCol w:w="155"/>
      </w:tblGrid>
      <w:tr>
        <w:trPr/>
        <w:tc>
          <w:tcPr>
            <w:tcW w:w="8438" w:type="dxa"/>
            <w:tcBorders/>
            <w:vAlign w:val="center"/>
          </w:tcPr>
          <w:p>
            <w:pPr>
              <w:pStyle w:val="TableContents"/>
              <w:bidi w:val="0"/>
              <w:spacing w:before="0" w:after="283"/>
              <w:ind w:left="0" w:right="0" w:hanging="0"/>
              <w:jc w:val="left"/>
              <w:rPr>
                <w:sz w:val="4"/>
                <w:szCs w:val="4"/>
              </w:rPr>
            </w:pPr>
            <w:r>
              <w:rPr>
                <w:sz w:val="4"/>
                <w:szCs w:val="4"/>
              </w:rPr>
            </w:r>
          </w:p>
        </w:tc>
        <w:tc>
          <w:tcPr>
            <w:tcW w:w="150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84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15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9941"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9941"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9941" w:type="dxa"/>
            <w:gridSpan w:val="2"/>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9941" w:type="dxa"/>
            <w:gridSpan w:val="2"/>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9941"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Signature(s)</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9941"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9941"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9941"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 Guarantee</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9941"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994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Signature(s) must be guaranteed by an eligible Guarantor Institution (banks, stock brokers, savings and loan associations and credit unions) with membership in an approved signature guarantee medallion program pursuant to Securities and Exchange Commission Rule 17Ad-15 if Notes are to be delivered, other than to and in the name of the registered holder.</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10205"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 The signature on the assignment must correspond with the name as written upon the face of the Note in every particular without alteration or enlargement or any change whatever.</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EXHIBIT B</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[FORM OF AUTHORIZATION CERTIFICATE]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[Name], [Title], acting on behalf of NIO Inc. (the “</w:t>
      </w:r>
      <w:r>
        <w:rPr>
          <w:rFonts w:ascii="Times New Roman;Times;serif" w:hAnsi="Times New Roman;Times;serif"/>
          <w:b/>
          <w:sz w:val="20"/>
        </w:rPr>
        <w:t>Company</w:t>
      </w:r>
      <w:r>
        <w:rPr>
          <w:rFonts w:ascii="Times New Roman;Times;serif" w:hAnsi="Times New Roman;Times;serif"/>
          <w:sz w:val="20"/>
        </w:rPr>
        <w:t>”) hereby certify that: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persons listed below are (i) authorized Officers of the Company for purposes of the Indenture (the “</w:t>
      </w:r>
      <w:r>
        <w:rPr>
          <w:rFonts w:ascii="Times New Roman;Times;serif" w:hAnsi="Times New Roman;Times;serif"/>
          <w:b/>
          <w:sz w:val="20"/>
        </w:rPr>
        <w:t>Indenture</w:t>
      </w:r>
      <w:r>
        <w:rPr>
          <w:rFonts w:ascii="Times New Roman;Times;serif" w:hAnsi="Times New Roman;Times;serif"/>
          <w:sz w:val="20"/>
        </w:rPr>
        <w:t>”) dated as of September 22, 2023 between the Company and Deutsche Bank Trust Company Americas, as trustee, in relation to the 3.875% Convertible Senior Notes due 2029 (the “</w:t>
      </w:r>
      <w:r>
        <w:rPr>
          <w:rFonts w:ascii="Times New Roman;Times;serif" w:hAnsi="Times New Roman;Times;serif"/>
          <w:b/>
          <w:sz w:val="20"/>
        </w:rPr>
        <w:t>Notes</w:t>
      </w:r>
      <w:r>
        <w:rPr>
          <w:rFonts w:ascii="Times New Roman;Times;serif" w:hAnsi="Times New Roman;Times;serif"/>
          <w:sz w:val="20"/>
        </w:rPr>
        <w:t>”), (ii) duly elected or appointed, qualified and acting as the holder of the respective office or offices set forth opposite their names and (iii) the duly authorized persons who executed or will execute the Indenture and the Notes issued pursuant to the Indenture by their manual or facsimile signatures and were at the time of such execution, duly elected or appointed, qualified and acting as the holder of the offices set forth opposite their names;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each of the individuals listed below have the authority to receive call backs at the telephone numbers noted below upon request of Deutsche Bank Trust Company Americas in connection with the Notes issued pursuant to the Indenture;</w:t>
      </w:r>
    </w:p>
    <w:tbl>
      <w:tblPr>
        <w:tblW w:w="5965" w:type="dxa"/>
        <w:jc w:val="left"/>
        <w:tblInd w:w="0" w:type="dxa"/>
        <w:tblLayout w:type="fixed"/>
        <w:tblCellMar>
          <w:top w:w="0" w:type="dxa"/>
          <w:left w:w="0" w:type="dxa"/>
          <w:bottom w:w="0" w:type="dxa"/>
          <w:right w:w="0" w:type="dxa"/>
        </w:tblCellMar>
      </w:tblPr>
      <w:tblGrid>
        <w:gridCol w:w="275"/>
        <w:gridCol w:w="5690"/>
      </w:tblGrid>
      <w:tr>
        <w:trPr/>
        <w:tc>
          <w:tcPr>
            <w:tcW w:w="27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(C)</w:t>
            </w:r>
          </w:p>
        </w:tc>
        <w:tc>
          <w:tcPr>
            <w:tcW w:w="569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each signature appearing below is the person’s genuine signature; and</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attached hereto as Schedule I is a true, correct and complete specimen of the certificates representing the Notes.</w:t>
      </w:r>
    </w:p>
    <w:p>
      <w:pPr>
        <w:pStyle w:val="TextBody"/>
        <w:bidi w:val="0"/>
        <w:spacing w:before="0" w:after="200"/>
        <w:ind w:left="10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B-1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100" w:right="0" w:firstLine="719"/>
        <w:jc w:val="left"/>
        <w:rPr>
          <w:rFonts w:ascii="Times New Roman;Times;serif" w:hAnsi="Times New Roman;Times;serif"/>
          <w:sz w:val="20"/>
        </w:rPr>
      </w:pPr>
      <w:r>
        <w:rPr>
          <w:rFonts w:ascii="Times New Roman;Times;serif" w:hAnsi="Times New Roman;Times;serif"/>
          <w:sz w:val="20"/>
        </w:rPr>
        <w:t>IN WITNESS WHEREOF, I have hereunto executed and delivered this certificate on behalf of the Company as of the date indicated.</w:t>
      </w:r>
    </w:p>
    <w:tbl>
      <w:tblPr>
        <w:tblW w:w="1961" w:type="dxa"/>
        <w:jc w:val="left"/>
        <w:tblInd w:w="0" w:type="dxa"/>
        <w:tblLayout w:type="fixed"/>
        <w:tblCellMar>
          <w:top w:w="0" w:type="dxa"/>
          <w:left w:w="0" w:type="dxa"/>
          <w:bottom w:w="0" w:type="dxa"/>
          <w:right w:w="0" w:type="dxa"/>
        </w:tblCellMar>
      </w:tblPr>
      <w:tblGrid>
        <w:gridCol w:w="661"/>
        <w:gridCol w:w="109"/>
        <w:gridCol w:w="406"/>
        <w:gridCol w:w="631"/>
        <w:gridCol w:w="154"/>
      </w:tblGrid>
      <w:tr>
        <w:trPr/>
        <w:tc>
          <w:tcPr>
            <w:tcW w:w="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1"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70" w:type="dxa"/>
            <w:gridSpan w:val="2"/>
            <w:tcBorders/>
            <w:vAlign w:val="center"/>
          </w:tcPr>
          <w:p>
            <w:pPr>
              <w:pStyle w:val="TableContents"/>
              <w:bidi w:val="0"/>
              <w:spacing w:before="0" w:after="0"/>
              <w:ind w:left="0" w:right="0" w:hanging="0"/>
              <w:jc w:val="left"/>
              <w:rPr/>
            </w:pPr>
            <w:r>
              <w:rPr/>
              <w:t>​</w:t>
            </w:r>
          </w:p>
        </w:tc>
        <w:tc>
          <w:tcPr>
            <w:tcW w:w="1191" w:type="dxa"/>
            <w:gridSpan w:val="3"/>
            <w:tcBorders/>
            <w:vAlign w:val="center"/>
          </w:tcPr>
          <w:p>
            <w:pPr>
              <w:pStyle w:val="TableContents"/>
              <w:bidi w:val="0"/>
              <w:spacing w:before="0" w:after="0"/>
              <w:ind w:left="0" w:right="0" w:hanging="0"/>
              <w:jc w:val="left"/>
              <w:rPr/>
            </w:pPr>
            <w:r>
              <w:rPr/>
              <w:t>​</w:t>
            </w:r>
          </w:p>
        </w:tc>
      </w:tr>
      <w:tr>
        <w:trPr/>
        <w:tc>
          <w:tcPr>
            <w:tcW w:w="770" w:type="dxa"/>
            <w:gridSpan w:val="2"/>
            <w:tcBorders/>
            <w:vAlign w:val="center"/>
          </w:tcPr>
          <w:p>
            <w:pPr>
              <w:pStyle w:val="TableContents"/>
              <w:bidi w:val="0"/>
              <w:spacing w:before="0" w:after="0"/>
              <w:ind w:left="0" w:right="0" w:hanging="0"/>
              <w:jc w:val="left"/>
              <w:rPr/>
            </w:pPr>
            <w:r>
              <w:rPr/>
              <w:t>​</w:t>
            </w:r>
          </w:p>
        </w:tc>
        <w:tc>
          <w:tcPr>
            <w:tcW w:w="1191"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770" w:type="dxa"/>
            <w:gridSpan w:val="2"/>
            <w:tcBorders/>
            <w:vAlign w:val="center"/>
          </w:tcPr>
          <w:p>
            <w:pPr>
              <w:pStyle w:val="TableContents"/>
              <w:bidi w:val="0"/>
              <w:spacing w:before="0" w:after="0"/>
              <w:ind w:left="0" w:right="0" w:hanging="0"/>
              <w:jc w:val="left"/>
              <w:rPr/>
            </w:pPr>
            <w:r>
              <w:rPr/>
              <w:t>​</w:t>
            </w:r>
          </w:p>
        </w:tc>
        <w:tc>
          <w:tcPr>
            <w:tcW w:w="1191" w:type="dxa"/>
            <w:gridSpan w:val="3"/>
            <w:tcBorders/>
            <w:vAlign w:val="center"/>
          </w:tcPr>
          <w:p>
            <w:pPr>
              <w:pStyle w:val="TableContents"/>
              <w:bidi w:val="0"/>
              <w:spacing w:before="0" w:after="0"/>
              <w:ind w:left="0" w:right="0" w:hanging="0"/>
              <w:jc w:val="left"/>
              <w:rPr/>
            </w:pPr>
            <w:r>
              <w:rPr/>
              <w:t>​</w:t>
            </w:r>
          </w:p>
        </w:tc>
      </w:tr>
      <w:tr>
        <w:trPr/>
        <w:tc>
          <w:tcPr>
            <w:tcW w:w="770"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70"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770"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200"/>
        <w:ind w:left="4961"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B-2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SCHEDULE I</w:t>
      </w:r>
    </w:p>
    <w:tbl>
      <w:tblPr>
        <w:tblW w:w="4336" w:type="dxa"/>
        <w:jc w:val="left"/>
        <w:tblInd w:w="0" w:type="dxa"/>
        <w:tblLayout w:type="fixed"/>
        <w:tblCellMar>
          <w:top w:w="0" w:type="dxa"/>
          <w:left w:w="0" w:type="dxa"/>
          <w:bottom w:w="28" w:type="dxa"/>
          <w:right w:w="0" w:type="dxa"/>
        </w:tblCellMar>
      </w:tblPr>
      <w:tblGrid>
        <w:gridCol w:w="586"/>
        <w:gridCol w:w="109"/>
        <w:gridCol w:w="1786"/>
        <w:gridCol w:w="109"/>
        <w:gridCol w:w="886"/>
        <w:gridCol w:w="109"/>
        <w:gridCol w:w="751"/>
      </w:tblGrid>
      <w:tr>
        <w:trPr/>
        <w:tc>
          <w:tcPr>
            <w:tcW w:w="586" w:type="dxa"/>
            <w:tcBorders>
              <w:bottom w:val="single" w:sz="2" w:space="0" w:color="000000"/>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w:t>
            </w:r>
          </w:p>
        </w:tc>
        <w:tc>
          <w:tcPr>
            <w:tcW w:w="109" w:type="dxa"/>
            <w:tcBorders/>
            <w:shd w:fill="D9D9D9" w:val="clear"/>
            <w:tcMar>
              <w:bottom w:w="0" w:type="dxa"/>
            </w:tcMar>
            <w:vAlign w:val="center"/>
          </w:tcPr>
          <w:p>
            <w:pPr>
              <w:pStyle w:val="TableContents"/>
              <w:bidi w:val="0"/>
              <w:spacing w:before="0" w:after="0"/>
              <w:ind w:left="0" w:right="0" w:hanging="0"/>
              <w:jc w:val="center"/>
              <w:rPr/>
            </w:pPr>
            <w:r>
              <w:rPr/>
              <w:t>​</w:t>
            </w:r>
          </w:p>
        </w:tc>
        <w:tc>
          <w:tcPr>
            <w:tcW w:w="1786" w:type="dxa"/>
            <w:tcBorders>
              <w:bottom w:val="single" w:sz="2" w:space="0" w:color="000000"/>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Fax No., Email</w:t>
            </w:r>
          </w:p>
        </w:tc>
        <w:tc>
          <w:tcPr>
            <w:tcW w:w="109" w:type="dxa"/>
            <w:tcBorders/>
            <w:shd w:fill="D9D9D9" w:val="clear"/>
            <w:tcMar>
              <w:bottom w:w="0" w:type="dxa"/>
            </w:tcMar>
            <w:vAlign w:val="center"/>
          </w:tcPr>
          <w:p>
            <w:pPr>
              <w:pStyle w:val="TableContents"/>
              <w:bidi w:val="0"/>
              <w:spacing w:before="0" w:after="0"/>
              <w:ind w:left="0" w:right="0" w:hanging="0"/>
              <w:jc w:val="center"/>
              <w:rPr/>
            </w:pPr>
            <w:r>
              <w:rPr/>
              <w:t>​</w:t>
            </w:r>
          </w:p>
        </w:tc>
        <w:tc>
          <w:tcPr>
            <w:tcW w:w="886" w:type="dxa"/>
            <w:tcBorders>
              <w:bottom w:val="single" w:sz="2" w:space="0" w:color="000000"/>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w:t>
            </w:r>
          </w:p>
        </w:tc>
        <w:tc>
          <w:tcPr>
            <w:tcW w:w="109" w:type="dxa"/>
            <w:tcBorders/>
            <w:shd w:fill="D9D9D9" w:val="clear"/>
            <w:tcMar>
              <w:bottom w:w="0" w:type="dxa"/>
            </w:tcMar>
            <w:vAlign w:val="center"/>
          </w:tcPr>
          <w:p>
            <w:pPr>
              <w:pStyle w:val="TableContents"/>
              <w:bidi w:val="0"/>
              <w:spacing w:before="0" w:after="0"/>
              <w:ind w:left="0" w:right="0" w:hanging="0"/>
              <w:jc w:val="center"/>
              <w:rPr/>
            </w:pPr>
            <w:r>
              <w:rPr/>
              <w:t>​</w:t>
            </w:r>
          </w:p>
        </w:tc>
        <w:tc>
          <w:tcPr>
            <w:tcW w:w="751" w:type="dxa"/>
            <w:tcBorders>
              <w:bottom w:val="single" w:sz="2" w:space="0" w:color="000000"/>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Tel No.</w:t>
            </w:r>
          </w:p>
        </w:tc>
      </w:tr>
      <w:tr>
        <w:trPr/>
        <w:tc>
          <w:tcPr>
            <w:tcW w:w="58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78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8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5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586" w:type="dxa"/>
            <w:tcBorders>
              <w:bottom w:val="single" w:sz="2" w:space="0" w:color="000000"/>
            </w:tcBorders>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786" w:type="dxa"/>
            <w:tcBorders>
              <w:bottom w:val="single" w:sz="2" w:space="0" w:color="000000"/>
            </w:tcBorders>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58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78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8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5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586" w:type="dxa"/>
            <w:tcBorders>
              <w:bottom w:val="single" w:sz="2" w:space="0" w:color="000000"/>
            </w:tcBorders>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786" w:type="dxa"/>
            <w:tcBorders>
              <w:bottom w:val="single" w:sz="2" w:space="0" w:color="000000"/>
            </w:tcBorders>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58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78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8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5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586" w:type="dxa"/>
            <w:tcBorders>
              <w:bottom w:val="single" w:sz="2" w:space="0" w:color="000000"/>
            </w:tcBorders>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786" w:type="dxa"/>
            <w:tcBorders>
              <w:bottom w:val="single" w:sz="2" w:space="0" w:color="000000"/>
            </w:tcBorders>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B-3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323" w:name="nio-20241231xex4d45.htm"/>
      <w:bookmarkStart w:id="2324" w:name="ksnio20241231xex4d45"/>
      <w:bookmarkEnd w:id="2323"/>
      <w:bookmarkEnd w:id="2324"/>
      <w:r>
        <w:rPr>
          <w:rFonts w:ascii="Times New Roman;Times;serif" w:hAnsi="Times New Roman;Times;serif"/>
          <w:b/>
          <w:sz w:val="20"/>
        </w:rPr>
        <w:t>Exhibit 4.45</w:t>
      </w:r>
      <w:r>
        <w:br w:type="page"/>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Execution Version</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NIO Inc.</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and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Deutsche Bank Trust Company Americas, as Trustee</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INDENTURE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dated as of September 22, 2023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US$500,000,000 4.625% CONVERTIBLE SENIOR NOTES DUE 2030</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TABLE OF CONTENTS</w:t>
      </w:r>
    </w:p>
    <w:tbl>
      <w:tblPr>
        <w:tblW w:w="8763" w:type="dxa"/>
        <w:jc w:val="left"/>
        <w:tblInd w:w="0" w:type="dxa"/>
        <w:tblLayout w:type="fixed"/>
        <w:tblCellMar>
          <w:top w:w="0" w:type="dxa"/>
          <w:left w:w="0" w:type="dxa"/>
          <w:bottom w:w="0" w:type="dxa"/>
          <w:right w:w="0" w:type="dxa"/>
        </w:tblCellMar>
      </w:tblPr>
      <w:tblGrid>
        <w:gridCol w:w="1141"/>
        <w:gridCol w:w="6976"/>
        <w:gridCol w:w="646"/>
      </w:tblGrid>
      <w:tr>
        <w:trPr/>
        <w:tc>
          <w:tcPr>
            <w:tcW w:w="8117" w:type="dxa"/>
            <w:gridSpan w:val="2"/>
            <w:tcBorders/>
            <w:vAlign w:val="center"/>
          </w:tcPr>
          <w:p>
            <w:pPr>
              <w:pStyle w:val="TableContents"/>
              <w:bidi w:val="0"/>
              <w:spacing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8117" w:type="dxa"/>
            <w:gridSpan w:val="2"/>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r>
      <w:tr>
        <w:trPr/>
        <w:tc>
          <w:tcPr>
            <w:tcW w:w="811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1</w:t>
              <w:br/>
              <w:t>DEFINITIONS</w:t>
            </w:r>
          </w:p>
        </w:tc>
        <w:tc>
          <w:tcPr>
            <w:tcW w:w="646" w:type="dxa"/>
            <w:tcBorders/>
            <w:vAlign w:val="center"/>
          </w:tcPr>
          <w:p>
            <w:pPr>
              <w:pStyle w:val="TableContents"/>
              <w:bidi w:val="0"/>
              <w:spacing w:before="0" w:after="0"/>
              <w:ind w:left="0" w:right="0" w:hanging="0"/>
              <w:jc w:val="center"/>
              <w:rPr/>
            </w:pPr>
            <w:r>
              <w:rPr/>
              <w:t>​</w:t>
            </w:r>
          </w:p>
        </w:tc>
      </w:tr>
      <w:tr>
        <w:trPr/>
        <w:tc>
          <w:tcPr>
            <w:tcW w:w="8117" w:type="dxa"/>
            <w:gridSpan w:val="2"/>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1.01</w:t>
            </w:r>
          </w:p>
        </w:tc>
        <w:tc>
          <w:tcPr>
            <w:tcW w:w="6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Definitions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1.02</w:t>
            </w:r>
          </w:p>
        </w:tc>
        <w:tc>
          <w:tcPr>
            <w:tcW w:w="6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References to Interest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1141" w:type="dxa"/>
            <w:tcBorders/>
            <w:vAlign w:val="center"/>
          </w:tcPr>
          <w:p>
            <w:pPr>
              <w:pStyle w:val="TableContents"/>
              <w:bidi w:val="0"/>
              <w:spacing w:before="0" w:after="0"/>
              <w:ind w:left="0" w:right="0" w:hanging="0"/>
              <w:jc w:val="left"/>
              <w:rPr/>
            </w:pPr>
            <w:r>
              <w:rPr/>
              <w:t>​</w:t>
            </w:r>
          </w:p>
        </w:tc>
        <w:tc>
          <w:tcPr>
            <w:tcW w:w="697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811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2</w:t>
              <w:br/>
              <w:t>ISSUE, DESCRIPTION, EXECUTION, REGISTRATION AND EXCHANGE OF NOTES</w:t>
            </w:r>
          </w:p>
        </w:tc>
        <w:tc>
          <w:tcPr>
            <w:tcW w:w="646" w:type="dxa"/>
            <w:tcBorders/>
            <w:vAlign w:val="center"/>
          </w:tcPr>
          <w:p>
            <w:pPr>
              <w:pStyle w:val="TableContents"/>
              <w:bidi w:val="0"/>
              <w:spacing w:before="0" w:after="0"/>
              <w:ind w:left="0" w:right="0" w:hanging="0"/>
              <w:jc w:val="right"/>
              <w:rPr/>
            </w:pPr>
            <w:r>
              <w:rPr/>
              <w:t>​</w:t>
            </w:r>
          </w:p>
        </w:tc>
      </w:tr>
      <w:tr>
        <w:trPr/>
        <w:tc>
          <w:tcPr>
            <w:tcW w:w="8117" w:type="dxa"/>
            <w:gridSpan w:val="2"/>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2.01</w:t>
            </w:r>
          </w:p>
        </w:tc>
        <w:tc>
          <w:tcPr>
            <w:tcW w:w="6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Designation and Amount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2.02</w:t>
            </w:r>
          </w:p>
        </w:tc>
        <w:tc>
          <w:tcPr>
            <w:tcW w:w="6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Notes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2.03</w:t>
            </w:r>
          </w:p>
        </w:tc>
        <w:tc>
          <w:tcPr>
            <w:tcW w:w="6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and Denomination of Notes; Payments of Interest and Defaulted Amounts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2.04</w:t>
            </w:r>
          </w:p>
        </w:tc>
        <w:tc>
          <w:tcPr>
            <w:tcW w:w="6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Execution, Authentication and Delivery of Notes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2.05</w:t>
            </w:r>
          </w:p>
        </w:tc>
        <w:tc>
          <w:tcPr>
            <w:tcW w:w="6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and Registration of Transfer of Notes; Restrictions on Transfer; Depositary</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2.06</w:t>
            </w:r>
          </w:p>
        </w:tc>
        <w:tc>
          <w:tcPr>
            <w:tcW w:w="6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Mutilated, Destroyed, Lost or Stolen Notes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2.07</w:t>
            </w:r>
          </w:p>
        </w:tc>
        <w:tc>
          <w:tcPr>
            <w:tcW w:w="6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Temporary Notes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2.08</w:t>
            </w:r>
          </w:p>
        </w:tc>
        <w:tc>
          <w:tcPr>
            <w:tcW w:w="6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Cancellation of Notes Paid, Converted, Etc.</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2.09</w:t>
            </w:r>
          </w:p>
        </w:tc>
        <w:tc>
          <w:tcPr>
            <w:tcW w:w="6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CUSIP Numbers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2.10</w:t>
            </w:r>
          </w:p>
        </w:tc>
        <w:tc>
          <w:tcPr>
            <w:tcW w:w="6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Notes; Repurchases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2.11</w:t>
            </w:r>
          </w:p>
        </w:tc>
        <w:tc>
          <w:tcPr>
            <w:tcW w:w="6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Appointment of Authenticating Agent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1141" w:type="dxa"/>
            <w:tcBorders/>
            <w:vAlign w:val="center"/>
          </w:tcPr>
          <w:p>
            <w:pPr>
              <w:pStyle w:val="TableContents"/>
              <w:bidi w:val="0"/>
              <w:spacing w:before="0" w:after="0"/>
              <w:ind w:left="0" w:right="0" w:hanging="0"/>
              <w:jc w:val="left"/>
              <w:rPr/>
            </w:pPr>
            <w:r>
              <w:rPr/>
              <w:t>​</w:t>
            </w:r>
          </w:p>
        </w:tc>
        <w:tc>
          <w:tcPr>
            <w:tcW w:w="697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811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3</w:t>
              <w:br/>
              <w:t>SATISFACTION AND DISCHARGE</w:t>
            </w:r>
          </w:p>
        </w:tc>
        <w:tc>
          <w:tcPr>
            <w:tcW w:w="646"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bidi w:val="0"/>
              <w:spacing w:before="0" w:after="0"/>
              <w:ind w:left="0" w:right="0" w:hanging="0"/>
              <w:jc w:val="left"/>
              <w:rPr/>
            </w:pPr>
            <w:r>
              <w:rPr/>
              <w:t>​</w:t>
            </w:r>
          </w:p>
        </w:tc>
        <w:tc>
          <w:tcPr>
            <w:tcW w:w="697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3.01</w:t>
            </w:r>
          </w:p>
        </w:tc>
        <w:tc>
          <w:tcPr>
            <w:tcW w:w="6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Satisfaction and Discharge</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1141" w:type="dxa"/>
            <w:tcBorders/>
            <w:vAlign w:val="center"/>
          </w:tcPr>
          <w:p>
            <w:pPr>
              <w:pStyle w:val="TableContents"/>
              <w:bidi w:val="0"/>
              <w:spacing w:before="0" w:after="0"/>
              <w:ind w:left="0" w:right="0" w:hanging="0"/>
              <w:jc w:val="left"/>
              <w:rPr/>
            </w:pPr>
            <w:r>
              <w:rPr/>
              <w:t>​</w:t>
            </w:r>
          </w:p>
        </w:tc>
        <w:tc>
          <w:tcPr>
            <w:tcW w:w="697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811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4</w:t>
              <w:br/>
              <w:t>PARTICULAR COVENANTS OF THE COMPANY</w:t>
            </w:r>
          </w:p>
        </w:tc>
        <w:tc>
          <w:tcPr>
            <w:tcW w:w="646"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bidi w:val="0"/>
              <w:spacing w:before="0" w:after="0"/>
              <w:ind w:left="0" w:right="0" w:hanging="0"/>
              <w:jc w:val="left"/>
              <w:rPr/>
            </w:pPr>
            <w:r>
              <w:rPr/>
              <w:t>​</w:t>
            </w:r>
          </w:p>
        </w:tc>
        <w:tc>
          <w:tcPr>
            <w:tcW w:w="697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4.01</w:t>
            </w:r>
          </w:p>
        </w:tc>
        <w:tc>
          <w:tcPr>
            <w:tcW w:w="6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Principal and Interest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4.02</w:t>
            </w:r>
          </w:p>
        </w:tc>
        <w:tc>
          <w:tcPr>
            <w:tcW w:w="6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Maintenance of Office or Agency</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4.03</w:t>
            </w:r>
          </w:p>
        </w:tc>
        <w:tc>
          <w:tcPr>
            <w:tcW w:w="6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Appointments to Fill Vacancies in Trustee’s Office</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4.04</w:t>
            </w:r>
          </w:p>
        </w:tc>
        <w:tc>
          <w:tcPr>
            <w:tcW w:w="6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Provisions as to Paying Agent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4.05</w:t>
            </w:r>
          </w:p>
        </w:tc>
        <w:tc>
          <w:tcPr>
            <w:tcW w:w="6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Existence</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4.06</w:t>
            </w:r>
          </w:p>
        </w:tc>
        <w:tc>
          <w:tcPr>
            <w:tcW w:w="6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Rule 144A Information Requirement and Annual Reports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908" w:type="dxa"/>
        <w:jc w:val="left"/>
        <w:tblInd w:w="0" w:type="dxa"/>
        <w:tblLayout w:type="fixed"/>
        <w:tblCellMar>
          <w:top w:w="0" w:type="dxa"/>
          <w:left w:w="0" w:type="dxa"/>
          <w:bottom w:w="0" w:type="dxa"/>
          <w:right w:w="0" w:type="dxa"/>
        </w:tblCellMar>
      </w:tblPr>
      <w:tblGrid>
        <w:gridCol w:w="1141"/>
        <w:gridCol w:w="6406"/>
        <w:gridCol w:w="361"/>
      </w:tblGrid>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4.07</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Amounts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4.08</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Stay, Extension and Usury Laws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4.09</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Compliance Certificate; Statements as to Defaults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4.10</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Further Instruments and Acts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141" w:type="dxa"/>
            <w:tcBorders/>
            <w:vAlign w:val="center"/>
          </w:tcPr>
          <w:p>
            <w:pPr>
              <w:pStyle w:val="TableContents"/>
              <w:bidi w:val="0"/>
              <w:spacing w:before="0" w:after="0"/>
              <w:ind w:left="0" w:right="0" w:hanging="0"/>
              <w:jc w:val="left"/>
              <w:rPr/>
            </w:pPr>
            <w:r>
              <w:rPr/>
              <w:t>​</w:t>
            </w:r>
          </w:p>
        </w:tc>
        <w:tc>
          <w:tcPr>
            <w:tcW w:w="640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54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5</w:t>
              <w:br/>
              <w:t>LISTS OF HOLDERS AND REPORTS BY THE COMPANY AND THE TRUSTEE</w:t>
            </w:r>
          </w:p>
        </w:tc>
        <w:tc>
          <w:tcPr>
            <w:tcW w:w="361"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bidi w:val="0"/>
              <w:spacing w:before="0" w:after="0"/>
              <w:ind w:left="0" w:right="0" w:hanging="0"/>
              <w:jc w:val="left"/>
              <w:rPr/>
            </w:pPr>
            <w:r>
              <w:rPr/>
              <w:t>​</w:t>
            </w:r>
          </w:p>
        </w:tc>
        <w:tc>
          <w:tcPr>
            <w:tcW w:w="640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5.01</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Lists of Holders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5.02</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Preservation and Disclosure of Lists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141" w:type="dxa"/>
            <w:tcBorders/>
            <w:vAlign w:val="center"/>
          </w:tcPr>
          <w:p>
            <w:pPr>
              <w:pStyle w:val="TableContents"/>
              <w:bidi w:val="0"/>
              <w:spacing w:before="0" w:after="0"/>
              <w:ind w:left="0" w:right="0" w:hanging="0"/>
              <w:jc w:val="left"/>
              <w:rPr/>
            </w:pPr>
            <w:r>
              <w:rPr/>
              <w:t>​</w:t>
            </w:r>
          </w:p>
        </w:tc>
        <w:tc>
          <w:tcPr>
            <w:tcW w:w="640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54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6</w:t>
              <w:br/>
              <w:t>DEFAULTS AND REMEDIES</w:t>
            </w:r>
          </w:p>
        </w:tc>
        <w:tc>
          <w:tcPr>
            <w:tcW w:w="361"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bidi w:val="0"/>
              <w:spacing w:before="0" w:after="0"/>
              <w:ind w:left="0" w:right="0" w:hanging="0"/>
              <w:jc w:val="left"/>
              <w:rPr/>
            </w:pPr>
            <w:r>
              <w:rPr/>
              <w:t>​</w:t>
            </w:r>
          </w:p>
        </w:tc>
        <w:tc>
          <w:tcPr>
            <w:tcW w:w="640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6.01</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Events of Default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6.02</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Acceleration; Rescission and Annulment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6.03</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Interest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6.04</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of Notes on Default; Suit Therefor</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6.05</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Application of Monies Collected by Trustee</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6.06</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Proceedings by Holders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6.07</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Proceedings by Trustee</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6.08</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Remedies Cumulative and Continuing</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6.09</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Direction of Proceedings and Waiver of Defaults by Majority of Holders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6.10</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 of Defaults and Events of Default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6.11</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Undertaking to Pay Costs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1141" w:type="dxa"/>
            <w:tcBorders/>
            <w:vAlign w:val="center"/>
          </w:tcPr>
          <w:p>
            <w:pPr>
              <w:pStyle w:val="TableContents"/>
              <w:bidi w:val="0"/>
              <w:spacing w:before="0" w:after="0"/>
              <w:ind w:left="0" w:right="0" w:hanging="0"/>
              <w:jc w:val="left"/>
              <w:rPr/>
            </w:pPr>
            <w:r>
              <w:rPr/>
              <w:t>​</w:t>
            </w:r>
          </w:p>
        </w:tc>
        <w:tc>
          <w:tcPr>
            <w:tcW w:w="640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54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7</w:t>
              <w:br/>
              <w:t>CONCERNING THE TRUSTEE</w:t>
            </w:r>
          </w:p>
        </w:tc>
        <w:tc>
          <w:tcPr>
            <w:tcW w:w="361"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bidi w:val="0"/>
              <w:spacing w:before="0" w:after="0"/>
              <w:ind w:left="0" w:right="0" w:hanging="0"/>
              <w:jc w:val="left"/>
              <w:rPr/>
            </w:pPr>
            <w:r>
              <w:rPr/>
              <w:t>​</w:t>
            </w:r>
          </w:p>
        </w:tc>
        <w:tc>
          <w:tcPr>
            <w:tcW w:w="640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7.01</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Duties and Responsibilities of Trustee</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7.02</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Reliance on Documents, Opinions, Etc.</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7.03</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Responsibility for Recitals, Etc.</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7.04</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Trustee, Paying Agents, Conversion Agents or Note Registrar May Own Notes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7.05</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Monies and ADSs to Be Held in Trust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7.06</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Expenses and Indemnification of Trustee and Agents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7.07</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Officers’ Certificate as Evidence</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7.08</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Eligibility of Trustee</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908" w:type="dxa"/>
        <w:jc w:val="left"/>
        <w:tblInd w:w="0" w:type="dxa"/>
        <w:tblLayout w:type="fixed"/>
        <w:tblCellMar>
          <w:top w:w="0" w:type="dxa"/>
          <w:left w:w="0" w:type="dxa"/>
          <w:bottom w:w="0" w:type="dxa"/>
          <w:right w:w="0" w:type="dxa"/>
        </w:tblCellMar>
      </w:tblPr>
      <w:tblGrid>
        <w:gridCol w:w="1246"/>
        <w:gridCol w:w="6301"/>
        <w:gridCol w:w="361"/>
      </w:tblGrid>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7.09</w:t>
            </w:r>
          </w:p>
        </w:tc>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Resignation or Removal of Trustee</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7.10</w:t>
            </w:r>
          </w:p>
        </w:tc>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Acceptance by Successor Trustee</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7.11</w:t>
            </w:r>
          </w:p>
        </w:tc>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Succession by Merger, Etc.</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7.12</w:t>
            </w:r>
          </w:p>
        </w:tc>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Trustee’s Application for Instructions from the Company</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1246" w:type="dxa"/>
            <w:tcBorders/>
            <w:vAlign w:val="center"/>
          </w:tcPr>
          <w:p>
            <w:pPr>
              <w:pStyle w:val="TableContents"/>
              <w:bidi w:val="0"/>
              <w:spacing w:before="0" w:after="0"/>
              <w:ind w:left="0" w:right="0" w:hanging="0"/>
              <w:jc w:val="left"/>
              <w:rPr/>
            </w:pPr>
            <w:r>
              <w:rPr/>
              <w:t>​</w:t>
            </w:r>
          </w:p>
        </w:tc>
        <w:tc>
          <w:tcPr>
            <w:tcW w:w="630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54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8</w:t>
              <w:br/>
              <w:t>CONCERNING THE HOLDERS</w:t>
            </w:r>
          </w:p>
        </w:tc>
        <w:tc>
          <w:tcPr>
            <w:tcW w:w="36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630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8.01</w:t>
            </w:r>
          </w:p>
        </w:tc>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Action by Holders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8.02</w:t>
            </w:r>
          </w:p>
        </w:tc>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Proof of Execution by Holders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8.03</w:t>
            </w:r>
          </w:p>
        </w:tc>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Who Are Deemed Absolute Owners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8.04</w:t>
            </w:r>
          </w:p>
        </w:tc>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Company-Owned Notes Disregarded</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8.05</w:t>
            </w:r>
          </w:p>
        </w:tc>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Revocation of Consents; Future Holders Bound</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1246" w:type="dxa"/>
            <w:tcBorders/>
            <w:vAlign w:val="center"/>
          </w:tcPr>
          <w:p>
            <w:pPr>
              <w:pStyle w:val="TableContents"/>
              <w:bidi w:val="0"/>
              <w:spacing w:before="0" w:after="0"/>
              <w:ind w:left="0" w:right="0" w:hanging="0"/>
              <w:jc w:val="left"/>
              <w:rPr/>
            </w:pPr>
            <w:r>
              <w:rPr/>
              <w:t>​</w:t>
            </w:r>
          </w:p>
        </w:tc>
        <w:tc>
          <w:tcPr>
            <w:tcW w:w="630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54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9</w:t>
              <w:br/>
              <w:t>HOLDERS’ MEETINGS</w:t>
            </w:r>
          </w:p>
        </w:tc>
        <w:tc>
          <w:tcPr>
            <w:tcW w:w="36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630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9.01</w:t>
            </w:r>
          </w:p>
        </w:tc>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Purpose of Meetings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9.02</w:t>
            </w:r>
          </w:p>
        </w:tc>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Call of Meetings by Trustee</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9.03</w:t>
            </w:r>
          </w:p>
        </w:tc>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Call of Meetings by Company or Holders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9.04</w:t>
            </w:r>
          </w:p>
        </w:tc>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Qualifications for Voting</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9.05</w:t>
            </w:r>
          </w:p>
        </w:tc>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Regulations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9.06</w:t>
            </w:r>
          </w:p>
        </w:tc>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Voting</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9.07</w:t>
            </w:r>
          </w:p>
        </w:tc>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Delay of Rights by Meeting</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1246" w:type="dxa"/>
            <w:tcBorders/>
            <w:vAlign w:val="center"/>
          </w:tcPr>
          <w:p>
            <w:pPr>
              <w:pStyle w:val="TableContents"/>
              <w:bidi w:val="0"/>
              <w:spacing w:before="0" w:after="0"/>
              <w:ind w:left="0" w:right="0" w:hanging="0"/>
              <w:jc w:val="left"/>
              <w:rPr/>
            </w:pPr>
            <w:r>
              <w:rPr/>
              <w:t>​</w:t>
            </w:r>
          </w:p>
        </w:tc>
        <w:tc>
          <w:tcPr>
            <w:tcW w:w="630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54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10</w:t>
              <w:br/>
              <w:t>SUPPLEMENTAL INDENTURES</w:t>
            </w:r>
          </w:p>
        </w:tc>
        <w:tc>
          <w:tcPr>
            <w:tcW w:w="36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630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10.01</w:t>
            </w:r>
          </w:p>
        </w:tc>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Indentures Without Consent of Holders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10.02</w:t>
            </w:r>
          </w:p>
        </w:tc>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Indentures with Consent of Holders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10.03</w:t>
            </w:r>
          </w:p>
        </w:tc>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Indenture in respect of Fundamental Change</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10.04</w:t>
            </w:r>
          </w:p>
        </w:tc>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Supplemental Indentures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10.05</w:t>
            </w:r>
          </w:p>
        </w:tc>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Notation on Notes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10.06</w:t>
            </w:r>
          </w:p>
        </w:tc>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Evidence of Compliance of Supplemental Indenture to Be Furnished Trustee</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1246" w:type="dxa"/>
            <w:tcBorders/>
            <w:vAlign w:val="center"/>
          </w:tcPr>
          <w:p>
            <w:pPr>
              <w:pStyle w:val="TableContents"/>
              <w:bidi w:val="0"/>
              <w:spacing w:before="0" w:after="0"/>
              <w:ind w:left="0" w:right="0" w:hanging="0"/>
              <w:jc w:val="left"/>
              <w:rPr/>
            </w:pPr>
            <w:r>
              <w:rPr/>
              <w:t>​</w:t>
            </w:r>
          </w:p>
        </w:tc>
        <w:tc>
          <w:tcPr>
            <w:tcW w:w="630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54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11</w:t>
              <w:br/>
              <w:t>CONSOLIDATION, MERGER, SALE, CONVEYANCE AND LEASE</w:t>
            </w:r>
          </w:p>
        </w:tc>
        <w:tc>
          <w:tcPr>
            <w:tcW w:w="36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630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11.01</w:t>
            </w:r>
          </w:p>
        </w:tc>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May Consolidate, Etc. on Certain Terms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56"/>
        <w:gridCol w:w="8687"/>
        <w:gridCol w:w="362"/>
      </w:tblGrid>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11.02</w:t>
            </w:r>
          </w:p>
        </w:tc>
        <w:tc>
          <w:tcPr>
            <w:tcW w:w="86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Successor Corporation to Be Substituted</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11.03</w:t>
            </w:r>
          </w:p>
        </w:tc>
        <w:tc>
          <w:tcPr>
            <w:tcW w:w="86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Opinion of Counsel to Be Given to Trustee</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1156" w:type="dxa"/>
            <w:tcBorders/>
            <w:vAlign w:val="center"/>
          </w:tcPr>
          <w:p>
            <w:pPr>
              <w:pStyle w:val="TableContents"/>
              <w:bidi w:val="0"/>
              <w:spacing w:before="0" w:after="0"/>
              <w:ind w:left="0" w:right="0" w:hanging="0"/>
              <w:jc w:val="left"/>
              <w:rPr/>
            </w:pPr>
            <w:r>
              <w:rPr/>
              <w:t>​</w:t>
            </w:r>
          </w:p>
        </w:tc>
        <w:tc>
          <w:tcPr>
            <w:tcW w:w="8687"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984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12</w:t>
              <w:br/>
              <w:t>IMMUNITY OF INCORPORATORS, STOCKHOLDERS, OFFICERS AND DIRECTORS</w:t>
            </w:r>
          </w:p>
        </w:tc>
        <w:tc>
          <w:tcPr>
            <w:tcW w:w="362" w:type="dxa"/>
            <w:tcBorders/>
            <w:vAlign w:val="center"/>
          </w:tcPr>
          <w:p>
            <w:pPr>
              <w:pStyle w:val="TableContents"/>
              <w:bidi w:val="0"/>
              <w:spacing w:before="0" w:after="0"/>
              <w:ind w:left="0" w:right="0" w:hanging="0"/>
              <w:jc w:val="right"/>
              <w:rPr/>
            </w:pPr>
            <w:r>
              <w:rPr/>
              <w:t>​</w:t>
            </w:r>
          </w:p>
        </w:tc>
      </w:tr>
      <w:tr>
        <w:trPr/>
        <w:tc>
          <w:tcPr>
            <w:tcW w:w="1156" w:type="dxa"/>
            <w:tcBorders/>
            <w:vAlign w:val="center"/>
          </w:tcPr>
          <w:p>
            <w:pPr>
              <w:pStyle w:val="TableContents"/>
              <w:bidi w:val="0"/>
              <w:spacing w:before="0" w:after="0"/>
              <w:ind w:left="0" w:right="0" w:hanging="0"/>
              <w:jc w:val="left"/>
              <w:rPr/>
            </w:pPr>
            <w:r>
              <w:rPr/>
              <w:t>​</w:t>
            </w:r>
          </w:p>
        </w:tc>
        <w:tc>
          <w:tcPr>
            <w:tcW w:w="8687"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12.01</w:t>
            </w:r>
          </w:p>
        </w:tc>
        <w:tc>
          <w:tcPr>
            <w:tcW w:w="86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Indenture and Notes Solely Corporate Obligations</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1156" w:type="dxa"/>
            <w:tcBorders/>
            <w:vAlign w:val="center"/>
          </w:tcPr>
          <w:p>
            <w:pPr>
              <w:pStyle w:val="TableContents"/>
              <w:bidi w:val="0"/>
              <w:spacing w:before="0" w:after="0"/>
              <w:ind w:left="0" w:right="0" w:hanging="0"/>
              <w:jc w:val="left"/>
              <w:rPr/>
            </w:pPr>
            <w:r>
              <w:rPr/>
              <w:t>​</w:t>
            </w:r>
          </w:p>
        </w:tc>
        <w:tc>
          <w:tcPr>
            <w:tcW w:w="8687"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984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13</w:t>
              <w:br/>
              <w:t>INTENTIONALLY OMITTED</w:t>
            </w:r>
          </w:p>
        </w:tc>
        <w:tc>
          <w:tcPr>
            <w:tcW w:w="362" w:type="dxa"/>
            <w:tcBorders/>
            <w:vAlign w:val="center"/>
          </w:tcPr>
          <w:p>
            <w:pPr>
              <w:pStyle w:val="TableContents"/>
              <w:bidi w:val="0"/>
              <w:spacing w:before="0" w:after="0"/>
              <w:ind w:left="0" w:right="0" w:hanging="0"/>
              <w:jc w:val="right"/>
              <w:rPr/>
            </w:pPr>
            <w:r>
              <w:rPr/>
              <w:t>​</w:t>
            </w:r>
          </w:p>
        </w:tc>
      </w:tr>
      <w:tr>
        <w:trPr/>
        <w:tc>
          <w:tcPr>
            <w:tcW w:w="1156" w:type="dxa"/>
            <w:tcBorders/>
            <w:vAlign w:val="center"/>
          </w:tcPr>
          <w:p>
            <w:pPr>
              <w:pStyle w:val="TableContents"/>
              <w:bidi w:val="0"/>
              <w:spacing w:before="0" w:after="0"/>
              <w:ind w:left="0" w:right="0" w:hanging="0"/>
              <w:jc w:val="left"/>
              <w:rPr/>
            </w:pPr>
            <w:r>
              <w:rPr/>
              <w:t>​</w:t>
            </w:r>
          </w:p>
        </w:tc>
        <w:tc>
          <w:tcPr>
            <w:tcW w:w="8687"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984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14</w:t>
              <w:br/>
              <w:t>CONVERSION OF NOTES</w:t>
            </w:r>
          </w:p>
        </w:tc>
        <w:tc>
          <w:tcPr>
            <w:tcW w:w="362" w:type="dxa"/>
            <w:tcBorders/>
            <w:vAlign w:val="center"/>
          </w:tcPr>
          <w:p>
            <w:pPr>
              <w:pStyle w:val="TableContents"/>
              <w:bidi w:val="0"/>
              <w:spacing w:before="0" w:after="0"/>
              <w:ind w:left="0" w:right="0" w:hanging="0"/>
              <w:jc w:val="right"/>
              <w:rPr/>
            </w:pPr>
            <w:r>
              <w:rPr/>
              <w:t>​</w:t>
            </w:r>
          </w:p>
        </w:tc>
      </w:tr>
      <w:tr>
        <w:trPr/>
        <w:tc>
          <w:tcPr>
            <w:tcW w:w="1156" w:type="dxa"/>
            <w:tcBorders/>
            <w:vAlign w:val="center"/>
          </w:tcPr>
          <w:p>
            <w:pPr>
              <w:pStyle w:val="TableContents"/>
              <w:bidi w:val="0"/>
              <w:spacing w:before="0" w:after="0"/>
              <w:ind w:left="0" w:right="0" w:hanging="0"/>
              <w:jc w:val="left"/>
              <w:rPr/>
            </w:pPr>
            <w:r>
              <w:rPr/>
              <w:t>​</w:t>
            </w:r>
          </w:p>
        </w:tc>
        <w:tc>
          <w:tcPr>
            <w:tcW w:w="8687"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14.01</w:t>
            </w:r>
          </w:p>
        </w:tc>
        <w:tc>
          <w:tcPr>
            <w:tcW w:w="86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Privilege</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14.02</w:t>
            </w:r>
          </w:p>
        </w:tc>
        <w:tc>
          <w:tcPr>
            <w:tcW w:w="86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Procedure; Settlement Upon Conversion</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14.03</w:t>
            </w:r>
          </w:p>
        </w:tc>
        <w:tc>
          <w:tcPr>
            <w:tcW w:w="86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Increased Conversion Rate Applicable to Certain Notes Surrendered in Connection with Make-Whole Fundamental Changes</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14.04</w:t>
            </w:r>
          </w:p>
        </w:tc>
        <w:tc>
          <w:tcPr>
            <w:tcW w:w="86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 of Conversion Rate</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14.05</w:t>
            </w:r>
          </w:p>
        </w:tc>
        <w:tc>
          <w:tcPr>
            <w:tcW w:w="86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of Prices</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14.06</w:t>
            </w:r>
          </w:p>
        </w:tc>
        <w:tc>
          <w:tcPr>
            <w:tcW w:w="86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Ordinary Shares to Be Fully Paid</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14.07</w:t>
            </w:r>
          </w:p>
        </w:tc>
        <w:tc>
          <w:tcPr>
            <w:tcW w:w="86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Recapitalizations, Reclassifications and Changes of the Ordinary Shares</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14.08</w:t>
            </w:r>
          </w:p>
        </w:tc>
        <w:tc>
          <w:tcPr>
            <w:tcW w:w="86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Covenants</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14.09</w:t>
            </w:r>
          </w:p>
        </w:tc>
        <w:tc>
          <w:tcPr>
            <w:tcW w:w="86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Responsibility of Trustee</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14.10</w:t>
            </w:r>
          </w:p>
        </w:tc>
        <w:tc>
          <w:tcPr>
            <w:tcW w:w="86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 to Holders Prior to Certain Actions</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14.11</w:t>
            </w:r>
          </w:p>
        </w:tc>
        <w:tc>
          <w:tcPr>
            <w:tcW w:w="86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 Rights Plans</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14.12</w:t>
            </w:r>
          </w:p>
        </w:tc>
        <w:tc>
          <w:tcPr>
            <w:tcW w:w="86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Termination of Depositary Receipt Program</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14.13</w:t>
            </w:r>
          </w:p>
        </w:tc>
        <w:tc>
          <w:tcPr>
            <w:tcW w:w="86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In Lieu Of Conversion</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1156" w:type="dxa"/>
            <w:tcBorders/>
            <w:vAlign w:val="center"/>
          </w:tcPr>
          <w:p>
            <w:pPr>
              <w:pStyle w:val="TableContents"/>
              <w:bidi w:val="0"/>
              <w:spacing w:before="0" w:after="0"/>
              <w:ind w:left="0" w:right="0" w:hanging="0"/>
              <w:jc w:val="left"/>
              <w:rPr/>
            </w:pPr>
            <w:r>
              <w:rPr/>
              <w:t>​</w:t>
            </w:r>
          </w:p>
        </w:tc>
        <w:tc>
          <w:tcPr>
            <w:tcW w:w="8687"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984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15</w:t>
              <w:br/>
              <w:t>REPURCHASE OF NOTES AT OPTION OF HOLDERS</w:t>
            </w:r>
          </w:p>
        </w:tc>
        <w:tc>
          <w:tcPr>
            <w:tcW w:w="362" w:type="dxa"/>
            <w:tcBorders/>
            <w:vAlign w:val="center"/>
          </w:tcPr>
          <w:p>
            <w:pPr>
              <w:pStyle w:val="TableContents"/>
              <w:bidi w:val="0"/>
              <w:spacing w:before="0" w:after="0"/>
              <w:ind w:left="0" w:right="0" w:hanging="0"/>
              <w:jc w:val="right"/>
              <w:rPr/>
            </w:pPr>
            <w:r>
              <w:rPr/>
              <w:t>​</w:t>
            </w:r>
          </w:p>
        </w:tc>
      </w:tr>
      <w:tr>
        <w:trPr/>
        <w:tc>
          <w:tcPr>
            <w:tcW w:w="1156" w:type="dxa"/>
            <w:tcBorders/>
            <w:vAlign w:val="center"/>
          </w:tcPr>
          <w:p>
            <w:pPr>
              <w:pStyle w:val="TableContents"/>
              <w:bidi w:val="0"/>
              <w:spacing w:before="0" w:after="0"/>
              <w:ind w:left="0" w:right="0" w:hanging="0"/>
              <w:jc w:val="left"/>
              <w:rPr/>
            </w:pPr>
            <w:r>
              <w:rPr/>
              <w:t>​</w:t>
            </w:r>
          </w:p>
        </w:tc>
        <w:tc>
          <w:tcPr>
            <w:tcW w:w="8687"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15.01</w:t>
            </w:r>
          </w:p>
        </w:tc>
        <w:tc>
          <w:tcPr>
            <w:tcW w:w="86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at Option of Holders</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15.02</w:t>
            </w:r>
          </w:p>
        </w:tc>
        <w:tc>
          <w:tcPr>
            <w:tcW w:w="86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at Option of Holders Upon a Fundamental Change</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15.03</w:t>
            </w:r>
          </w:p>
        </w:tc>
        <w:tc>
          <w:tcPr>
            <w:tcW w:w="86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Withdrawal of Repurchase Notice or Fundamental Change Repurchase Notice</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15.04</w:t>
            </w:r>
          </w:p>
        </w:tc>
        <w:tc>
          <w:tcPr>
            <w:tcW w:w="86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 of Repurchase Price or Fundamental Change Repurchase Price</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15.05</w:t>
            </w:r>
          </w:p>
        </w:tc>
        <w:tc>
          <w:tcPr>
            <w:tcW w:w="86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Covenant to Comply with Applicable Laws Upon Repurchase of Notes</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993" w:type="dxa"/>
        <w:jc w:val="left"/>
        <w:tblInd w:w="0" w:type="dxa"/>
        <w:tblLayout w:type="fixed"/>
        <w:tblCellMar>
          <w:top w:w="0" w:type="dxa"/>
          <w:left w:w="0" w:type="dxa"/>
          <w:bottom w:w="0" w:type="dxa"/>
          <w:right w:w="0" w:type="dxa"/>
        </w:tblCellMar>
      </w:tblPr>
      <w:tblGrid>
        <w:gridCol w:w="1246"/>
        <w:gridCol w:w="8281"/>
        <w:gridCol w:w="466"/>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791210" cy="175260"/>
                      <wp:effectExtent l="0" t="0" r="0" b="0"/>
                      <wp:wrapNone/>
                      <wp:docPr id="688" name="Frame679"/>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5258435" cy="175260"/>
                      <wp:effectExtent l="0" t="0" r="0" b="0"/>
                      <wp:wrapNone/>
                      <wp:docPr id="689" name="Frame680"/>
                      <a:graphic xmlns:a="http://schemas.openxmlformats.org/drawingml/2006/main">
                        <a:graphicData uri="http://schemas.microsoft.com/office/word/2010/wordprocessingShape">
                          <wps:wsp>
                            <wps:cNvSpPr txBox="1"/>
                            <wps:spPr>
                              <a:xfrm>
                                <a:off x="0" y="0"/>
                                <a:ext cx="525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295910" cy="175260"/>
                      <wp:effectExtent l="0" t="0" r="0" b="0"/>
                      <wp:wrapNone/>
                      <wp:docPr id="690" name="Frame68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52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16</w:t>
              <w:br/>
              <w:t>OPTIONAL REDEMPTION</w:t>
            </w:r>
          </w:p>
        </w:tc>
        <w:tc>
          <w:tcPr>
            <w:tcW w:w="466" w:type="dxa"/>
            <w:tcBorders/>
            <w:vAlign w:val="center"/>
          </w:tcPr>
          <w:p>
            <w:pPr>
              <w:pStyle w:val="TableContents"/>
              <w:bidi w:val="0"/>
              <w:spacing w:before="0" w:after="0"/>
              <w:ind w:left="0" w:right="0" w:hanging="0"/>
              <w:jc w:val="right"/>
              <w:rPr/>
            </w:pPr>
            <w:r>
              <w:rPr/>
              <w:t>​</w:t>
            </w:r>
          </w:p>
        </w:tc>
      </w:tr>
      <w:tr>
        <w:trPr/>
        <w:tc>
          <w:tcPr>
            <w:tcW w:w="9527" w:type="dxa"/>
            <w:gridSpan w:val="2"/>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16.01</w:t>
            </w:r>
          </w:p>
        </w:tc>
        <w:tc>
          <w:tcPr>
            <w:tcW w:w="8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Optional Redemption for Changes in the Tax Law of the Relevant Jurisdiction</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16.02</w:t>
            </w:r>
          </w:p>
        </w:tc>
        <w:tc>
          <w:tcPr>
            <w:tcW w:w="8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Optional Redemption by the Company</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16.03</w:t>
            </w:r>
          </w:p>
        </w:tc>
        <w:tc>
          <w:tcPr>
            <w:tcW w:w="8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Cleanup Redemption</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1246" w:type="dxa"/>
            <w:tcBorders/>
            <w:vAlign w:val="center"/>
          </w:tcPr>
          <w:p>
            <w:pPr>
              <w:pStyle w:val="TableContents"/>
              <w:bidi w:val="0"/>
              <w:spacing w:before="0" w:after="0"/>
              <w:ind w:left="0" w:right="0" w:hanging="0"/>
              <w:jc w:val="left"/>
              <w:rPr/>
            </w:pPr>
            <w:r>
              <w:rPr/>
              <w:t>​</w:t>
            </w:r>
          </w:p>
        </w:tc>
        <w:tc>
          <w:tcPr>
            <w:tcW w:w="828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52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17</w:t>
              <w:br/>
              <w:t>MISCELLANEOUS PROVISIONS</w:t>
            </w:r>
          </w:p>
        </w:tc>
        <w:tc>
          <w:tcPr>
            <w:tcW w:w="466"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828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17.01</w:t>
            </w:r>
          </w:p>
        </w:tc>
        <w:tc>
          <w:tcPr>
            <w:tcW w:w="8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Provisions Binding on Company’s Successors</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17.02</w:t>
            </w:r>
          </w:p>
        </w:tc>
        <w:tc>
          <w:tcPr>
            <w:tcW w:w="8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Official Acts by Successor Corporation</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17.03</w:t>
            </w:r>
          </w:p>
        </w:tc>
        <w:tc>
          <w:tcPr>
            <w:tcW w:w="8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Addresses for Notices, Etc.</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17.04</w:t>
            </w:r>
          </w:p>
        </w:tc>
        <w:tc>
          <w:tcPr>
            <w:tcW w:w="8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Governing Law; Jurisdiction</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17.05</w:t>
            </w:r>
          </w:p>
        </w:tc>
        <w:tc>
          <w:tcPr>
            <w:tcW w:w="8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Submission to Jurisdiction; Service of Process</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17.06</w:t>
            </w:r>
          </w:p>
        </w:tc>
        <w:tc>
          <w:tcPr>
            <w:tcW w:w="8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Evidence of Compliance with Conditions Precedent; Certificates and Opinions of Counsel to Trustee</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17.07</w:t>
            </w:r>
          </w:p>
        </w:tc>
        <w:tc>
          <w:tcPr>
            <w:tcW w:w="8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Holidays</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17.08</w:t>
            </w:r>
          </w:p>
        </w:tc>
        <w:tc>
          <w:tcPr>
            <w:tcW w:w="8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Security Interest Created</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17.09</w:t>
            </w:r>
          </w:p>
        </w:tc>
        <w:tc>
          <w:tcPr>
            <w:tcW w:w="8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Benefits of Indenture</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17.10</w:t>
            </w:r>
          </w:p>
        </w:tc>
        <w:tc>
          <w:tcPr>
            <w:tcW w:w="8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Table of Contents, Headings, Etc.</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17.11</w:t>
            </w:r>
          </w:p>
        </w:tc>
        <w:tc>
          <w:tcPr>
            <w:tcW w:w="8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Execution in Counterparts</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17.12</w:t>
            </w:r>
          </w:p>
        </w:tc>
        <w:tc>
          <w:tcPr>
            <w:tcW w:w="8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Severability</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17.13</w:t>
            </w:r>
          </w:p>
        </w:tc>
        <w:tc>
          <w:tcPr>
            <w:tcW w:w="8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Waiver of Jury Trial</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17.14</w:t>
            </w:r>
          </w:p>
        </w:tc>
        <w:tc>
          <w:tcPr>
            <w:tcW w:w="8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Force Majeure</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17.15</w:t>
            </w:r>
          </w:p>
        </w:tc>
        <w:tc>
          <w:tcPr>
            <w:tcW w:w="8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Calculations</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17.16</w:t>
            </w:r>
          </w:p>
        </w:tc>
        <w:tc>
          <w:tcPr>
            <w:tcW w:w="8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Patriot Act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188" w:type="dxa"/>
        <w:jc w:val="left"/>
        <w:tblInd w:w="0" w:type="dxa"/>
        <w:tblLayout w:type="fixed"/>
        <w:tblCellMar>
          <w:top w:w="0" w:type="dxa"/>
          <w:left w:w="0" w:type="dxa"/>
          <w:bottom w:w="0" w:type="dxa"/>
          <w:right w:w="0" w:type="dxa"/>
        </w:tblCellMar>
      </w:tblPr>
      <w:tblGrid>
        <w:gridCol w:w="916"/>
        <w:gridCol w:w="2821"/>
        <w:gridCol w:w="451"/>
      </w:tblGrid>
      <w:tr>
        <w:trPr/>
        <w:tc>
          <w:tcPr>
            <w:tcW w:w="373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451" w:type="dxa"/>
            <w:tcBorders/>
            <w:vAlign w:val="center"/>
          </w:tcPr>
          <w:p>
            <w:pPr>
              <w:pStyle w:val="TableContents"/>
              <w:bidi w:val="0"/>
              <w:spacing w:before="0" w:after="0"/>
              <w:ind w:left="0" w:right="0" w:hanging="0"/>
              <w:jc w:val="right"/>
              <w:rPr/>
            </w:pPr>
            <w:r>
              <w:rPr/>
              <w:t>​</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A</w:t>
            </w:r>
          </w:p>
        </w:tc>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Note</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A-1</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B</w:t>
            </w:r>
          </w:p>
        </w:tc>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Authorization Certificate</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B-1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INDENTURE dated as of September 22, 2023 between NIO INC., a Cayman Islands exempted company, as issuer (the “</w:t>
      </w:r>
      <w:r>
        <w:rPr>
          <w:rFonts w:ascii="Times New Roman;Times;serif" w:hAnsi="Times New Roman;Times;serif"/>
          <w:b/>
          <w:sz w:val="20"/>
        </w:rPr>
        <w:t>Company</w:t>
      </w:r>
      <w:r>
        <w:rPr>
          <w:rFonts w:ascii="Times New Roman;Times;serif" w:hAnsi="Times New Roman;Times;serif"/>
          <w:sz w:val="20"/>
        </w:rPr>
        <w:t>,” as more fully set forth in Section 1.01) and DEUTSCHE BANK TRUST COMPANY AMERICAS, a New York banking corporation, as trustee (the “</w:t>
      </w:r>
      <w:r>
        <w:rPr>
          <w:rFonts w:ascii="Times New Roman;Times;serif" w:hAnsi="Times New Roman;Times;serif"/>
          <w:b/>
          <w:sz w:val="20"/>
        </w:rPr>
        <w:t>Trustee</w:t>
      </w:r>
      <w:r>
        <w:rPr>
          <w:rFonts w:ascii="Times New Roman;Times;serif" w:hAnsi="Times New Roman;Times;serif"/>
          <w:sz w:val="20"/>
        </w:rPr>
        <w:t>,” as more fully set forth in Section 1.01).</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 I T N E S S E T 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WHEREAS, for its lawful corporate purposes, the Company has duly authorized the issuance of its 4.625% Convertible Senior Notes due 2030 (the “</w:t>
      </w:r>
      <w:r>
        <w:rPr>
          <w:rFonts w:ascii="Times New Roman;Times;serif" w:hAnsi="Times New Roman;Times;serif"/>
          <w:b/>
          <w:sz w:val="20"/>
        </w:rPr>
        <w:t>Notes</w:t>
      </w:r>
      <w:r>
        <w:rPr>
          <w:rFonts w:ascii="Times New Roman;Times;serif" w:hAnsi="Times New Roman;Times;serif"/>
          <w:sz w:val="20"/>
        </w:rPr>
        <w:t>”), initially in an aggregate principal amount not to exceed US$500,000,000 (as increased by an amount equal to the aggregate principal amount of any additional Notes purchased by the Initial Purchasers pursuant to the exercise of their option to purchase additional Notes as set forth in the Purchase Agreement), subject to Section 2.10, and in order to provide the terms and conditions upon which the Notes are to be authenticated, issued and delivered, the Company has duly authorized the execution and delivery of this Indenture; 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WHEREAS, the Form of Note, the certificate of authentication to be borne by each Note, the Form of Notice of Conversion, the Form of Fundamental Change Repurchase Notice, the Form of Repurchase Notice and the Form of Assignment and Transfer to be borne by the Notes are to be substantially in the forms hereinafter provided; 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WHEREAS, all acts and things necessary to make the Notes, when executed by the Company and authenticated and delivered by the Trustee,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NOW, THEREFORE, THIS INDENTURE WITNESSETH: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ARTICLE 1</w:t>
        <w:br/>
        <w:t>DEFINITIONS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1.01</w:t>
      </w:r>
      <w:r>
        <w:rPr>
          <w:rFonts w:ascii="Times New Roman;Times;serif" w:hAnsi="Times New Roman;Times;serif"/>
          <w:i/>
          <w:sz w:val="20"/>
        </w:rPr>
        <w:t>Definitions</w:t>
      </w:r>
      <w:r>
        <w:rPr>
          <w:rFonts w:ascii="Times New Roman;Times;serif" w:hAnsi="Times New Roman;Times;serif"/>
          <w:sz w:val="20"/>
        </w:rPr>
        <w:t>.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pStyle w:val="TextBody"/>
        <w:bidi w:val="0"/>
        <w:spacing w:before="0" w:after="240"/>
        <w:ind w:left="0" w:right="0" w:firstLine="720"/>
        <w:jc w:val="left"/>
        <w:rPr/>
      </w:pPr>
      <w:r>
        <w:rPr/>
        <w:t>“</w:t>
      </w:r>
      <w:r>
        <w:rPr>
          <w:rFonts w:ascii="Times New Roman;Times;serif" w:hAnsi="Times New Roman;Times;serif"/>
          <w:b/>
          <w:sz w:val="20"/>
        </w:rPr>
        <w:t>Additional ADSs</w:t>
      </w:r>
      <w:r>
        <w:rPr>
          <w:rFonts w:ascii="Times New Roman;Times;serif" w:hAnsi="Times New Roman;Times;serif"/>
          <w:sz w:val="20"/>
        </w:rPr>
        <w:t>” shall have the meaning specified in Section 14.03(a).</w:t>
      </w:r>
    </w:p>
    <w:p>
      <w:pPr>
        <w:pStyle w:val="TextBody"/>
        <w:bidi w:val="0"/>
        <w:spacing w:before="0" w:after="240"/>
        <w:ind w:left="0" w:right="0" w:firstLine="720"/>
        <w:jc w:val="left"/>
        <w:rPr/>
      </w:pPr>
      <w:r>
        <w:rPr/>
        <w:t>“</w:t>
      </w:r>
      <w:r>
        <w:rPr>
          <w:rFonts w:ascii="Times New Roman;Times;serif" w:hAnsi="Times New Roman;Times;serif"/>
          <w:b/>
          <w:sz w:val="20"/>
        </w:rPr>
        <w:t>Additional Amounts</w:t>
      </w:r>
      <w:r>
        <w:rPr>
          <w:rFonts w:ascii="Times New Roman;Times;serif" w:hAnsi="Times New Roman;Times;serif"/>
          <w:sz w:val="20"/>
        </w:rPr>
        <w:t>” shall have the meaning specified in Section 4.07(a).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r>
        <w:rPr>
          <w:rFonts w:ascii="Times New Roman;Times;serif" w:hAnsi="Times New Roman;Times;serif"/>
          <w:b/>
          <w:sz w:val="20"/>
        </w:rPr>
        <w:t>Additional Interest</w:t>
      </w:r>
      <w:r>
        <w:rPr>
          <w:rFonts w:ascii="Times New Roman;Times;serif" w:hAnsi="Times New Roman;Times;serif"/>
          <w:sz w:val="20"/>
        </w:rPr>
        <w:t>” means all amounts, if any, payable pursuant to Section 4.06(d), Section 4.06(e) and Section 6.03, as applicable.</w:t>
      </w:r>
    </w:p>
    <w:p>
      <w:pPr>
        <w:pStyle w:val="TextBody"/>
        <w:bidi w:val="0"/>
        <w:spacing w:before="0" w:after="240"/>
        <w:ind w:left="0" w:right="0" w:firstLine="720"/>
        <w:jc w:val="left"/>
        <w:rPr/>
      </w:pPr>
      <w:r>
        <w:rPr/>
        <w:t>“</w:t>
      </w:r>
      <w:r>
        <w:rPr>
          <w:rFonts w:ascii="Times New Roman;Times;serif" w:hAnsi="Times New Roman;Times;serif"/>
          <w:b/>
          <w:sz w:val="20"/>
        </w:rPr>
        <w:t>ADS</w:t>
      </w:r>
      <w:r>
        <w:rPr>
          <w:rFonts w:ascii="Times New Roman;Times;serif" w:hAnsi="Times New Roman;Times;serif"/>
          <w:sz w:val="20"/>
        </w:rPr>
        <w:t>” means an American Depositary Share, issued pursuant to the Unrestricted Deposit Agreement or Restricted Deposit Agreement, as applicable, and the Procedures Letter representing one Ordinary Share of the Company as of the date of this Indenture, and deposited with the ADS Custodian.</w:t>
      </w:r>
    </w:p>
    <w:p>
      <w:pPr>
        <w:pStyle w:val="TextBody"/>
        <w:bidi w:val="0"/>
        <w:spacing w:before="0" w:after="240"/>
        <w:ind w:left="0" w:right="0" w:firstLine="720"/>
        <w:jc w:val="left"/>
        <w:rPr/>
      </w:pPr>
      <w:r>
        <w:rPr/>
        <w:t>“</w:t>
      </w:r>
      <w:r>
        <w:rPr>
          <w:rFonts w:ascii="Times New Roman;Times;serif" w:hAnsi="Times New Roman;Times;serif"/>
          <w:b/>
          <w:sz w:val="20"/>
        </w:rPr>
        <w:t>ADS Custodian</w:t>
      </w:r>
      <w:r>
        <w:rPr>
          <w:rFonts w:ascii="Times New Roman;Times;serif" w:hAnsi="Times New Roman;Times;serif"/>
          <w:sz w:val="20"/>
        </w:rPr>
        <w:t>” means Deutsche Bank AG, Hong Kong Branch, with respect to the ADSs delivered pursuant to the Unrestricted Deposit Agreement or the Restricted Deposit Agreement, as applicable, and the Procedures Letter or any successor entity thereto.</w:t>
      </w:r>
    </w:p>
    <w:p>
      <w:pPr>
        <w:pStyle w:val="TextBody"/>
        <w:bidi w:val="0"/>
        <w:spacing w:before="0" w:after="240"/>
        <w:ind w:left="0" w:right="0" w:firstLine="720"/>
        <w:jc w:val="left"/>
        <w:rPr/>
      </w:pPr>
      <w:r>
        <w:rPr/>
        <w:t>“</w:t>
      </w:r>
      <w:r>
        <w:rPr>
          <w:rFonts w:ascii="Times New Roman;Times;serif" w:hAnsi="Times New Roman;Times;serif"/>
          <w:b/>
          <w:sz w:val="20"/>
        </w:rPr>
        <w:t>ADS Depositary</w:t>
      </w:r>
      <w:r>
        <w:rPr>
          <w:rFonts w:ascii="Times New Roman;Times;serif" w:hAnsi="Times New Roman;Times;serif"/>
          <w:sz w:val="20"/>
        </w:rPr>
        <w:t>” means Deutsche Bank Trust Company Americas, as depositary for the ADSs, or any successor entity thereto.</w:t>
      </w:r>
    </w:p>
    <w:p>
      <w:pPr>
        <w:pStyle w:val="TextBody"/>
        <w:bidi w:val="0"/>
        <w:spacing w:before="0" w:after="240"/>
        <w:ind w:left="0" w:right="0" w:firstLine="720"/>
        <w:jc w:val="left"/>
        <w:rPr/>
      </w:pPr>
      <w:r>
        <w:rPr/>
        <w:t>“</w:t>
      </w:r>
      <w:r>
        <w:rPr>
          <w:rFonts w:ascii="Times New Roman;Times;serif" w:hAnsi="Times New Roman;Times;serif"/>
          <w:b/>
          <w:sz w:val="20"/>
        </w:rPr>
        <w:t>ADS Price</w:t>
      </w:r>
      <w:r>
        <w:rPr>
          <w:rFonts w:ascii="Times New Roman;Times;serif" w:hAnsi="Times New Roman;Times;serif"/>
          <w:sz w:val="20"/>
        </w:rPr>
        <w:t>” shall have the meaning specified in Section 14.03(c).</w:t>
      </w:r>
    </w:p>
    <w:p>
      <w:pPr>
        <w:pStyle w:val="TextBody"/>
        <w:bidi w:val="0"/>
        <w:spacing w:before="0" w:after="240"/>
        <w:ind w:left="0" w:right="0" w:firstLine="720"/>
        <w:jc w:val="left"/>
        <w:rPr/>
      </w:pPr>
      <w:r>
        <w:rPr/>
        <w:t>“</w:t>
      </w:r>
      <w:r>
        <w:rPr>
          <w:rFonts w:ascii="Times New Roman;Times;serif" w:hAnsi="Times New Roman;Times;serif"/>
          <w:b/>
          <w:sz w:val="20"/>
        </w:rPr>
        <w:t>Affiliate</w:t>
      </w:r>
      <w:r>
        <w:rPr>
          <w:rFonts w:ascii="Times New Roman;Times;serif" w:hAnsi="Times New Roman;Times;serif"/>
          <w:sz w:val="20"/>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before="0" w:after="240"/>
        <w:ind w:left="0" w:right="0" w:firstLine="720"/>
        <w:jc w:val="left"/>
        <w:rPr/>
      </w:pPr>
      <w:r>
        <w:rPr/>
        <w:t>“</w:t>
      </w:r>
      <w:r>
        <w:rPr>
          <w:rFonts w:ascii="Times New Roman;Times;serif" w:hAnsi="Times New Roman;Times;serif"/>
          <w:b/>
          <w:sz w:val="20"/>
        </w:rPr>
        <w:t>Agents</w:t>
      </w:r>
      <w:r>
        <w:rPr>
          <w:rFonts w:ascii="Times New Roman;Times;serif" w:hAnsi="Times New Roman;Times;serif"/>
          <w:sz w:val="20"/>
        </w:rPr>
        <w:t>” means the Paying Agent, the Transfer Agent, the Note Registrar and the Conversion Agent, in each case, unless the Company is acting in such capacity.</w:t>
      </w:r>
    </w:p>
    <w:p>
      <w:pPr>
        <w:pStyle w:val="TextBody"/>
        <w:bidi w:val="0"/>
        <w:spacing w:before="0" w:after="240"/>
        <w:ind w:left="0" w:right="0" w:firstLine="720"/>
        <w:jc w:val="left"/>
        <w:rPr/>
      </w:pPr>
      <w:r>
        <w:rPr/>
        <w:t>“</w:t>
      </w:r>
      <w:r>
        <w:rPr>
          <w:rFonts w:ascii="Times New Roman;Times;serif" w:hAnsi="Times New Roman;Times;serif"/>
          <w:b/>
          <w:sz w:val="20"/>
        </w:rPr>
        <w:t>Applicable PRC Rate</w:t>
      </w:r>
      <w:r>
        <w:rPr>
          <w:rFonts w:ascii="Times New Roman;Times;serif" w:hAnsi="Times New Roman;Times;serif"/>
          <w:sz w:val="20"/>
        </w:rPr>
        <w:t>” means (i) in the case of deduction or withholding of People’s Republic of China income tax, 10%, (ii) in the case of deduction or withholding of, or reduction for, People’s Republic of China value added tax (including any related local levies), 6.72%, or (iii) in the case of deduction or withholding of, or reduction for, both People’s Republic of China income tax and People’s Republic of China value added tax (including any related local levies), 16.72%.</w:t>
      </w:r>
    </w:p>
    <w:p>
      <w:pPr>
        <w:pStyle w:val="TextBody"/>
        <w:bidi w:val="0"/>
        <w:spacing w:before="0" w:after="240"/>
        <w:ind w:left="0" w:right="0" w:firstLine="720"/>
        <w:jc w:val="left"/>
        <w:rPr/>
      </w:pPr>
      <w:r>
        <w:rPr/>
        <w:t>“</w:t>
      </w:r>
      <w:r>
        <w:rPr>
          <w:rFonts w:ascii="Times New Roman;Times;serif" w:hAnsi="Times New Roman;Times;serif"/>
          <w:b/>
          <w:sz w:val="20"/>
        </w:rPr>
        <w:t>applicable taxes</w:t>
      </w:r>
      <w:r>
        <w:rPr>
          <w:rFonts w:ascii="Times New Roman;Times;serif" w:hAnsi="Times New Roman;Times;serif"/>
          <w:sz w:val="20"/>
        </w:rPr>
        <w:t>” shall have the meaning specified in Section 4.07(a). “</w:t>
      </w:r>
      <w:r>
        <w:rPr>
          <w:rFonts w:ascii="Times New Roman;Times;serif" w:hAnsi="Times New Roman;Times;serif"/>
          <w:b/>
          <w:sz w:val="20"/>
        </w:rPr>
        <w:t>Authenticating Agent</w:t>
      </w:r>
      <w:r>
        <w:rPr>
          <w:rFonts w:ascii="Times New Roman;Times;serif" w:hAnsi="Times New Roman;Times;serif"/>
          <w:sz w:val="20"/>
        </w:rPr>
        <w:t>” shall have the meaning specified in Section 2.11.</w:t>
      </w:r>
    </w:p>
    <w:p>
      <w:pPr>
        <w:pStyle w:val="TextBody"/>
        <w:bidi w:val="0"/>
        <w:spacing w:before="0" w:after="240"/>
        <w:ind w:left="0" w:right="0" w:firstLine="720"/>
        <w:jc w:val="left"/>
        <w:rPr/>
      </w:pPr>
      <w:r>
        <w:rPr/>
        <w:t>“</w:t>
      </w:r>
      <w:r>
        <w:rPr>
          <w:rFonts w:ascii="Times New Roman;Times;serif" w:hAnsi="Times New Roman;Times;serif"/>
          <w:b/>
          <w:sz w:val="20"/>
        </w:rPr>
        <w:t>Board of Directors</w:t>
      </w:r>
      <w:r>
        <w:rPr>
          <w:rFonts w:ascii="Times New Roman;Times;serif" w:hAnsi="Times New Roman;Times;serif"/>
          <w:sz w:val="20"/>
        </w:rPr>
        <w:t>” means the board of directors of the Company or a committee of such board duly authorized to act for it hereunder.</w:t>
      </w:r>
    </w:p>
    <w:p>
      <w:pPr>
        <w:pStyle w:val="TextBody"/>
        <w:bidi w:val="0"/>
        <w:spacing w:before="0" w:after="240"/>
        <w:ind w:left="0" w:right="0" w:firstLine="720"/>
        <w:jc w:val="left"/>
        <w:rPr/>
      </w:pPr>
      <w:r>
        <w:rPr/>
        <w:t>“</w:t>
      </w:r>
      <w:r>
        <w:rPr>
          <w:rFonts w:ascii="Times New Roman;Times;serif" w:hAnsi="Times New Roman;Times;serif"/>
          <w:b/>
          <w:sz w:val="20"/>
        </w:rPr>
        <w:t>Board Resolution</w:t>
      </w:r>
      <w:r>
        <w:rPr>
          <w:rFonts w:ascii="Times New Roman;Times;serif" w:hAnsi="Times New Roman;Times;serif"/>
          <w:sz w:val="20"/>
        </w:rPr>
        <w:t>” means a copy of a resolution certified by the Secretary or an Assistant Secretary of the Company to have been duly adopted by the Board of Directors, and to be in full force and effect on the date of such certification, and delivered to the Trustee.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r>
        <w:rPr>
          <w:rFonts w:ascii="Times New Roman;Times;serif" w:hAnsi="Times New Roman;Times;serif"/>
          <w:b/>
          <w:sz w:val="20"/>
        </w:rPr>
        <w:t>Business Day</w:t>
      </w:r>
      <w:r>
        <w:rPr>
          <w:rFonts w:ascii="Times New Roman;Times;serif" w:hAnsi="Times New Roman;Times;serif"/>
          <w:sz w:val="20"/>
        </w:rPr>
        <w:t>” means, with respect to any Note, each Monday, Tuesday, Wednesday, Thursday and Friday that is not a day on which banking institutions in the State of New York are authorized or obligated by law or executive order to close.</w:t>
      </w:r>
    </w:p>
    <w:p>
      <w:pPr>
        <w:pStyle w:val="TextBody"/>
        <w:bidi w:val="0"/>
        <w:spacing w:before="0" w:after="240"/>
        <w:ind w:left="0" w:right="0" w:firstLine="720"/>
        <w:jc w:val="left"/>
        <w:rPr/>
      </w:pPr>
      <w:r>
        <w:rPr/>
        <w:t>“</w:t>
      </w:r>
      <w:r>
        <w:rPr>
          <w:rFonts w:ascii="Times New Roman;Times;serif" w:hAnsi="Times New Roman;Times;serif"/>
          <w:b/>
          <w:sz w:val="20"/>
        </w:rPr>
        <w:t>Capital Stock</w:t>
      </w:r>
      <w:r>
        <w:rPr>
          <w:rFonts w:ascii="Times New Roman;Times;serif" w:hAnsi="Times New Roman;Times;serif"/>
          <w:sz w:val="20"/>
        </w:rPr>
        <w:t>” means, for any entity, any and all shares, interests, rights to purchase, warrants, options, participations or other equivalents of or interests in (however designated) stock issued by that entity.</w:t>
      </w:r>
    </w:p>
    <w:p>
      <w:pPr>
        <w:pStyle w:val="TextBody"/>
        <w:bidi w:val="0"/>
        <w:spacing w:before="0" w:after="240"/>
        <w:ind w:left="0" w:right="0" w:firstLine="720"/>
        <w:jc w:val="left"/>
        <w:rPr/>
      </w:pPr>
      <w:r>
        <w:rPr/>
        <w:t>“</w:t>
      </w:r>
      <w:r>
        <w:rPr>
          <w:rFonts w:ascii="Times New Roman;Times;serif" w:hAnsi="Times New Roman;Times;serif"/>
          <w:b/>
          <w:sz w:val="20"/>
        </w:rPr>
        <w:t xml:space="preserve">Cash Settlement” </w:t>
      </w:r>
      <w:r>
        <w:rPr>
          <w:rFonts w:ascii="Times New Roman;Times;serif" w:hAnsi="Times New Roman;Times;serif"/>
          <w:sz w:val="20"/>
        </w:rPr>
        <w:t xml:space="preserve">shall have the meaning specified in Section 14.02(a). </w:t>
      </w:r>
    </w:p>
    <w:p>
      <w:pPr>
        <w:pStyle w:val="TextBody"/>
        <w:bidi w:val="0"/>
        <w:spacing w:before="0" w:after="240"/>
        <w:ind w:left="0" w:right="0" w:firstLine="720"/>
        <w:jc w:val="left"/>
        <w:rPr/>
      </w:pPr>
      <w:r>
        <w:rPr/>
        <w:t>“</w:t>
      </w:r>
      <w:r>
        <w:rPr>
          <w:rFonts w:ascii="Times New Roman;Times;serif" w:hAnsi="Times New Roman;Times;serif"/>
          <w:b/>
          <w:sz w:val="20"/>
        </w:rPr>
        <w:t>Change in Tax Law</w:t>
      </w:r>
      <w:r>
        <w:rPr>
          <w:rFonts w:ascii="Times New Roman;Times;serif" w:hAnsi="Times New Roman;Times;serif"/>
          <w:sz w:val="20"/>
        </w:rPr>
        <w:t xml:space="preserve">” shall have the meaning specified in Section 16.01. </w:t>
      </w:r>
    </w:p>
    <w:p>
      <w:pPr>
        <w:pStyle w:val="TextBody"/>
        <w:bidi w:val="0"/>
        <w:spacing w:before="0" w:after="240"/>
        <w:ind w:left="0" w:right="0" w:firstLine="720"/>
        <w:jc w:val="left"/>
        <w:rPr/>
      </w:pPr>
      <w:r>
        <w:rPr/>
        <w:t>“</w:t>
      </w:r>
      <w:r>
        <w:rPr>
          <w:rFonts w:ascii="Times New Roman;Times;serif" w:hAnsi="Times New Roman;Times;serif"/>
          <w:b/>
          <w:sz w:val="20"/>
        </w:rPr>
        <w:t>Clause A Distribution</w:t>
      </w:r>
      <w:r>
        <w:rPr>
          <w:rFonts w:ascii="Times New Roman;Times;serif" w:hAnsi="Times New Roman;Times;serif"/>
          <w:sz w:val="20"/>
        </w:rPr>
        <w:t xml:space="preserve">” shall have the meaning specified in Section 14.04(c). </w:t>
      </w:r>
    </w:p>
    <w:p>
      <w:pPr>
        <w:pStyle w:val="TextBody"/>
        <w:bidi w:val="0"/>
        <w:spacing w:before="0" w:after="240"/>
        <w:ind w:left="0" w:right="0" w:firstLine="720"/>
        <w:jc w:val="left"/>
        <w:rPr/>
      </w:pPr>
      <w:r>
        <w:rPr/>
        <w:t>“</w:t>
      </w:r>
      <w:r>
        <w:rPr>
          <w:rFonts w:ascii="Times New Roman;Times;serif" w:hAnsi="Times New Roman;Times;serif"/>
          <w:b/>
          <w:sz w:val="20"/>
        </w:rPr>
        <w:t>Clause B Distribution</w:t>
      </w:r>
      <w:r>
        <w:rPr>
          <w:rFonts w:ascii="Times New Roman;Times;serif" w:hAnsi="Times New Roman;Times;serif"/>
          <w:sz w:val="20"/>
        </w:rPr>
        <w:t xml:space="preserve">” shall have the meaning specified in Section 14.04(c). </w:t>
      </w:r>
    </w:p>
    <w:p>
      <w:pPr>
        <w:pStyle w:val="TextBody"/>
        <w:bidi w:val="0"/>
        <w:spacing w:before="0" w:after="240"/>
        <w:ind w:left="0" w:right="0" w:firstLine="720"/>
        <w:jc w:val="left"/>
        <w:rPr/>
      </w:pPr>
      <w:r>
        <w:rPr/>
        <w:t>“</w:t>
      </w:r>
      <w:r>
        <w:rPr>
          <w:rFonts w:ascii="Times New Roman;Times;serif" w:hAnsi="Times New Roman;Times;serif"/>
          <w:b/>
          <w:sz w:val="20"/>
        </w:rPr>
        <w:t>Clause C Distribution</w:t>
      </w:r>
      <w:r>
        <w:rPr>
          <w:rFonts w:ascii="Times New Roman;Times;serif" w:hAnsi="Times New Roman;Times;serif"/>
          <w:sz w:val="20"/>
        </w:rPr>
        <w:t xml:space="preserve">” shall have the meaning specified in Section 14.04(c). </w:t>
      </w:r>
    </w:p>
    <w:p>
      <w:pPr>
        <w:pStyle w:val="TextBody"/>
        <w:bidi w:val="0"/>
        <w:spacing w:before="0" w:after="240"/>
        <w:ind w:left="0" w:right="0" w:firstLine="720"/>
        <w:jc w:val="left"/>
        <w:rPr/>
      </w:pPr>
      <w:r>
        <w:rPr/>
        <w:t>“</w:t>
      </w:r>
      <w:r>
        <w:rPr>
          <w:rFonts w:ascii="Times New Roman;Times;serif" w:hAnsi="Times New Roman;Times;serif"/>
          <w:b/>
          <w:sz w:val="20"/>
        </w:rPr>
        <w:t>Cleanup Redemption</w:t>
      </w:r>
      <w:r>
        <w:rPr>
          <w:rFonts w:ascii="Times New Roman;Times;serif" w:hAnsi="Times New Roman;Times;serif"/>
          <w:sz w:val="20"/>
        </w:rPr>
        <w:t>” shall have the meaning specified in Section 16.03(a).</w:t>
      </w:r>
    </w:p>
    <w:p>
      <w:pPr>
        <w:pStyle w:val="TextBody"/>
        <w:bidi w:val="0"/>
        <w:spacing w:before="0" w:after="240"/>
        <w:ind w:left="0" w:right="0" w:firstLine="720"/>
        <w:jc w:val="left"/>
        <w:rPr/>
      </w:pPr>
      <w:r>
        <w:rPr/>
        <w:t>“</w:t>
      </w:r>
      <w:r>
        <w:rPr>
          <w:rFonts w:ascii="Times New Roman;Times;serif" w:hAnsi="Times New Roman;Times;serif"/>
          <w:b/>
          <w:sz w:val="20"/>
        </w:rPr>
        <w:t>Cleanup Redemption Date</w:t>
      </w:r>
      <w:r>
        <w:rPr>
          <w:rFonts w:ascii="Times New Roman;Times;serif" w:hAnsi="Times New Roman;Times;serif"/>
          <w:sz w:val="20"/>
        </w:rPr>
        <w:t xml:space="preserve">” shall have the meaning specified in Section 16.03(a). </w:t>
      </w:r>
    </w:p>
    <w:p>
      <w:pPr>
        <w:pStyle w:val="TextBody"/>
        <w:bidi w:val="0"/>
        <w:spacing w:before="0" w:after="240"/>
        <w:ind w:left="0" w:right="0" w:firstLine="720"/>
        <w:jc w:val="left"/>
        <w:rPr/>
      </w:pPr>
      <w:r>
        <w:rPr/>
        <w:t>“</w:t>
      </w:r>
      <w:r>
        <w:rPr>
          <w:rFonts w:ascii="Times New Roman;Times;serif" w:hAnsi="Times New Roman;Times;serif"/>
          <w:b/>
          <w:sz w:val="20"/>
        </w:rPr>
        <w:t>Cleanup Redemption Notice</w:t>
      </w:r>
      <w:r>
        <w:rPr>
          <w:rFonts w:ascii="Times New Roman;Times;serif" w:hAnsi="Times New Roman;Times;serif"/>
          <w:sz w:val="20"/>
        </w:rPr>
        <w:t xml:space="preserve">” shall have the meaning specified in Section 16.03(b). </w:t>
      </w:r>
    </w:p>
    <w:p>
      <w:pPr>
        <w:pStyle w:val="TextBody"/>
        <w:bidi w:val="0"/>
        <w:spacing w:before="0" w:after="240"/>
        <w:ind w:left="0" w:right="0" w:firstLine="720"/>
        <w:jc w:val="left"/>
        <w:rPr/>
      </w:pPr>
      <w:r>
        <w:rPr/>
        <w:t>“</w:t>
      </w:r>
      <w:r>
        <w:rPr>
          <w:rFonts w:ascii="Times New Roman;Times;serif" w:hAnsi="Times New Roman;Times;serif"/>
          <w:b/>
          <w:sz w:val="20"/>
        </w:rPr>
        <w:t>Cleanup Redemption Price</w:t>
      </w:r>
      <w:r>
        <w:rPr>
          <w:rFonts w:ascii="Times New Roman;Times;serif" w:hAnsi="Times New Roman;Times;serif"/>
          <w:sz w:val="20"/>
        </w:rPr>
        <w:t xml:space="preserve">” shall have the meaning specified in Section 16.03(b) </w:t>
      </w:r>
    </w:p>
    <w:p>
      <w:pPr>
        <w:pStyle w:val="TextBody"/>
        <w:bidi w:val="0"/>
        <w:spacing w:before="0" w:after="240"/>
        <w:ind w:left="0" w:right="0" w:firstLine="720"/>
        <w:jc w:val="left"/>
        <w:rPr/>
      </w:pPr>
      <w:r>
        <w:rPr/>
        <w:t>“</w:t>
      </w:r>
      <w:r>
        <w:rPr>
          <w:rFonts w:ascii="Times New Roman;Times;serif" w:hAnsi="Times New Roman;Times;serif"/>
          <w:b/>
          <w:sz w:val="20"/>
        </w:rPr>
        <w:t>close of business</w:t>
      </w:r>
      <w:r>
        <w:rPr>
          <w:rFonts w:ascii="Times New Roman;Times;serif" w:hAnsi="Times New Roman;Times;serif"/>
          <w:sz w:val="20"/>
        </w:rPr>
        <w:t>” means 5:00 p.m. (New York City time).</w:t>
      </w:r>
    </w:p>
    <w:p>
      <w:pPr>
        <w:pStyle w:val="TextBody"/>
        <w:bidi w:val="0"/>
        <w:spacing w:before="0" w:after="240"/>
        <w:ind w:left="0" w:right="0" w:firstLine="720"/>
        <w:jc w:val="left"/>
        <w:rPr/>
      </w:pPr>
      <w:r>
        <w:rPr/>
        <w:t>“</w:t>
      </w:r>
      <w:r>
        <w:rPr>
          <w:rFonts w:ascii="Times New Roman;Times;serif" w:hAnsi="Times New Roman;Times;serif"/>
          <w:b/>
          <w:sz w:val="20"/>
        </w:rPr>
        <w:t>Code</w:t>
      </w:r>
      <w:r>
        <w:rPr>
          <w:rFonts w:ascii="Times New Roman;Times;serif" w:hAnsi="Times New Roman;Times;serif"/>
          <w:sz w:val="20"/>
        </w:rPr>
        <w:t xml:space="preserve">” means the U.S. Internal Revenue Code of 1986, as amended. </w:t>
      </w:r>
    </w:p>
    <w:p>
      <w:pPr>
        <w:pStyle w:val="TextBody"/>
        <w:bidi w:val="0"/>
        <w:spacing w:before="0" w:after="240"/>
        <w:ind w:left="0" w:right="0" w:firstLine="720"/>
        <w:jc w:val="left"/>
        <w:rPr/>
      </w:pPr>
      <w:r>
        <w:rPr/>
        <w:t>“</w:t>
      </w:r>
      <w:r>
        <w:rPr>
          <w:rFonts w:ascii="Times New Roman;Times;serif" w:hAnsi="Times New Roman;Times;serif"/>
          <w:b/>
          <w:sz w:val="20"/>
        </w:rPr>
        <w:t>Combination Settlement</w:t>
      </w:r>
      <w:r>
        <w:rPr>
          <w:rFonts w:ascii="Times New Roman;Times;serif" w:hAnsi="Times New Roman;Times;serif"/>
          <w:sz w:val="20"/>
        </w:rPr>
        <w:t xml:space="preserve">” shall have the meaning specified in Section 14.02(a). </w:t>
      </w:r>
    </w:p>
    <w:p>
      <w:pPr>
        <w:pStyle w:val="TextBody"/>
        <w:bidi w:val="0"/>
        <w:spacing w:before="0" w:after="240"/>
        <w:ind w:left="0" w:right="0" w:firstLine="720"/>
        <w:jc w:val="left"/>
        <w:rPr/>
      </w:pPr>
      <w:r>
        <w:rPr/>
        <w:t>“</w:t>
      </w:r>
      <w:r>
        <w:rPr>
          <w:rFonts w:ascii="Times New Roman;Times;serif" w:hAnsi="Times New Roman;Times;serif"/>
          <w:b/>
          <w:sz w:val="20"/>
        </w:rPr>
        <w:t>Commission</w:t>
      </w:r>
      <w:r>
        <w:rPr>
          <w:rFonts w:ascii="Times New Roman;Times;serif" w:hAnsi="Times New Roman;Times;serif"/>
          <w:sz w:val="20"/>
        </w:rPr>
        <w:t>” means the U.S. Securities and Exchange Commission.</w:t>
      </w:r>
    </w:p>
    <w:p>
      <w:pPr>
        <w:pStyle w:val="TextBody"/>
        <w:bidi w:val="0"/>
        <w:spacing w:before="0" w:after="240"/>
        <w:ind w:left="0" w:right="0" w:firstLine="720"/>
        <w:jc w:val="left"/>
        <w:rPr/>
      </w:pPr>
      <w:r>
        <w:rPr/>
        <w:t>“</w:t>
      </w:r>
      <w:r>
        <w:rPr>
          <w:rFonts w:ascii="Times New Roman;Times;serif" w:hAnsi="Times New Roman;Times;serif"/>
          <w:b/>
          <w:sz w:val="20"/>
        </w:rPr>
        <w:t>Common Equity</w:t>
      </w:r>
      <w:r>
        <w:rPr>
          <w:rFonts w:ascii="Times New Roman;Times;serif" w:hAnsi="Times New Roman;Times;serif"/>
          <w:sz w:val="20"/>
        </w:rPr>
        <w:t>” of any Person means ordinary share capital or common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pStyle w:val="TextBody"/>
        <w:bidi w:val="0"/>
        <w:spacing w:before="0" w:after="240"/>
        <w:ind w:left="0" w:right="0" w:firstLine="720"/>
        <w:jc w:val="left"/>
        <w:rPr/>
      </w:pPr>
      <w:r>
        <w:rPr/>
        <w:t>“</w:t>
      </w:r>
      <w:r>
        <w:rPr>
          <w:rFonts w:ascii="Times New Roman;Times;serif" w:hAnsi="Times New Roman;Times;serif"/>
          <w:b/>
          <w:sz w:val="20"/>
        </w:rPr>
        <w:t>Company</w:t>
      </w:r>
      <w:r>
        <w:rPr>
          <w:rFonts w:ascii="Times New Roman;Times;serif" w:hAnsi="Times New Roman;Times;serif"/>
          <w:sz w:val="20"/>
        </w:rPr>
        <w:t>” shall have the meaning specified in the first paragraph of this Indenture, and subject to the provisions of Article 11, shall include its successors and assigns.</w:t>
      </w:r>
    </w:p>
    <w:p>
      <w:pPr>
        <w:pStyle w:val="TextBody"/>
        <w:bidi w:val="0"/>
        <w:spacing w:before="0" w:after="240"/>
        <w:ind w:left="0" w:right="0" w:firstLine="720"/>
        <w:jc w:val="left"/>
        <w:rPr/>
      </w:pPr>
      <w:r>
        <w:rPr/>
        <w:t>“</w:t>
      </w:r>
      <w:r>
        <w:rPr>
          <w:rFonts w:ascii="Times New Roman;Times;serif" w:hAnsi="Times New Roman;Times;serif"/>
          <w:b/>
          <w:sz w:val="20"/>
        </w:rPr>
        <w:t>Company Notice</w:t>
      </w:r>
      <w:r>
        <w:rPr>
          <w:rFonts w:ascii="Times New Roman;Times;serif" w:hAnsi="Times New Roman;Times;serif"/>
          <w:sz w:val="20"/>
        </w:rPr>
        <w:t>” shall have the meaning specified in Section 15.01(a).</w:t>
      </w:r>
    </w:p>
    <w:p>
      <w:pPr>
        <w:pStyle w:val="TextBody"/>
        <w:bidi w:val="0"/>
        <w:spacing w:before="0" w:after="240"/>
        <w:ind w:left="0" w:right="0" w:firstLine="720"/>
        <w:jc w:val="left"/>
        <w:rPr/>
      </w:pPr>
      <w:r>
        <w:rPr/>
        <w:t>“</w:t>
      </w:r>
      <w:r>
        <w:rPr>
          <w:rFonts w:ascii="Times New Roman;Times;serif" w:hAnsi="Times New Roman;Times;serif"/>
          <w:b/>
          <w:sz w:val="20"/>
        </w:rPr>
        <w:t>Company Order</w:t>
      </w:r>
      <w:r>
        <w:rPr>
          <w:rFonts w:ascii="Times New Roman;Times;serif" w:hAnsi="Times New Roman;Times;serif"/>
          <w:sz w:val="20"/>
        </w:rPr>
        <w:t>” means a written order of the Company, signed by an Officer of the Company and delivered to the Trustee.</w:t>
      </w:r>
    </w:p>
    <w:p>
      <w:pPr>
        <w:pStyle w:val="TextBody"/>
        <w:bidi w:val="0"/>
        <w:spacing w:before="0" w:after="240"/>
        <w:ind w:left="0" w:right="0" w:firstLine="720"/>
        <w:jc w:val="left"/>
        <w:rPr/>
      </w:pPr>
      <w:r>
        <w:rPr/>
        <w:t>“</w:t>
      </w:r>
      <w:r>
        <w:rPr>
          <w:rFonts w:ascii="Times New Roman;Times;serif" w:hAnsi="Times New Roman;Times;serif"/>
          <w:b/>
          <w:sz w:val="20"/>
        </w:rPr>
        <w:t>Consolidated Affiliated Entity</w:t>
      </w:r>
      <w:r>
        <w:rPr>
          <w:rFonts w:ascii="Times New Roman;Times;serif" w:hAnsi="Times New Roman;Times;serif"/>
          <w:sz w:val="20"/>
        </w:rPr>
        <w:t>” means, with respect to any Person, any corporation, association or other entity which is or is required to be consolidated with such Person under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Accounting Standards Codification subtopic 810-10, Consolidation: Overall (including any changes, amendments or supplements thereto) or, if such person prepares its financial statements in accordance with accounting principles other than the accounting principles generally accepted in the United States of America, the equivalent of Accounting Standards Codification subtopic 810-10, Consolidation: Overall under such accounting principles.</w:t>
      </w:r>
    </w:p>
    <w:p>
      <w:pPr>
        <w:pStyle w:val="TextBody"/>
        <w:bidi w:val="0"/>
        <w:spacing w:before="0" w:after="240"/>
        <w:ind w:left="0" w:right="0" w:firstLine="720"/>
        <w:jc w:val="left"/>
        <w:rPr/>
      </w:pPr>
      <w:r>
        <w:rPr/>
        <w:t>“</w:t>
      </w:r>
      <w:r>
        <w:rPr>
          <w:rFonts w:ascii="Times New Roman;Times;serif" w:hAnsi="Times New Roman;Times;serif"/>
          <w:b/>
          <w:sz w:val="20"/>
        </w:rPr>
        <w:t>Conversion Agent</w:t>
      </w:r>
      <w:r>
        <w:rPr>
          <w:rFonts w:ascii="Times New Roman;Times;serif" w:hAnsi="Times New Roman;Times;serif"/>
          <w:sz w:val="20"/>
        </w:rPr>
        <w:t xml:space="preserve">” shall have the meaning specified in Section 4.02. </w:t>
      </w:r>
    </w:p>
    <w:p>
      <w:pPr>
        <w:pStyle w:val="TextBody"/>
        <w:bidi w:val="0"/>
        <w:spacing w:before="0" w:after="240"/>
        <w:ind w:left="0" w:right="0" w:firstLine="720"/>
        <w:jc w:val="left"/>
        <w:rPr/>
      </w:pPr>
      <w:r>
        <w:rPr/>
        <w:t>“</w:t>
      </w:r>
      <w:r>
        <w:rPr>
          <w:rFonts w:ascii="Times New Roman;Times;serif" w:hAnsi="Times New Roman;Times;serif"/>
          <w:b/>
          <w:sz w:val="20"/>
        </w:rPr>
        <w:t>Conversion Date</w:t>
      </w:r>
      <w:r>
        <w:rPr>
          <w:rFonts w:ascii="Times New Roman;Times;serif" w:hAnsi="Times New Roman;Times;serif"/>
          <w:sz w:val="20"/>
        </w:rPr>
        <w:t xml:space="preserve">” shall have the meaning specified in Section 14.02(c). </w:t>
      </w:r>
    </w:p>
    <w:p>
      <w:pPr>
        <w:pStyle w:val="TextBody"/>
        <w:bidi w:val="0"/>
        <w:spacing w:before="0" w:after="240"/>
        <w:ind w:left="0" w:right="0" w:firstLine="720"/>
        <w:jc w:val="left"/>
        <w:rPr/>
      </w:pPr>
      <w:r>
        <w:rPr/>
        <w:t>“</w:t>
      </w:r>
      <w:r>
        <w:rPr>
          <w:rFonts w:ascii="Times New Roman;Times;serif" w:hAnsi="Times New Roman;Times;serif"/>
          <w:b/>
          <w:sz w:val="20"/>
        </w:rPr>
        <w:t>Conversion Obligation</w:t>
      </w:r>
      <w:r>
        <w:rPr>
          <w:rFonts w:ascii="Times New Roman;Times;serif" w:hAnsi="Times New Roman;Times;serif"/>
          <w:sz w:val="20"/>
        </w:rPr>
        <w:t>” shall have the meaning specified in Section 14.01.</w:t>
      </w:r>
    </w:p>
    <w:p>
      <w:pPr>
        <w:pStyle w:val="TextBody"/>
        <w:bidi w:val="0"/>
        <w:spacing w:before="0" w:after="240"/>
        <w:ind w:left="0" w:right="0" w:firstLine="720"/>
        <w:jc w:val="left"/>
        <w:rPr/>
      </w:pPr>
      <w:r>
        <w:rPr/>
        <w:t>“</w:t>
      </w:r>
      <w:r>
        <w:rPr>
          <w:rFonts w:ascii="Times New Roman;Times;serif" w:hAnsi="Times New Roman;Times;serif"/>
          <w:b/>
          <w:sz w:val="20"/>
        </w:rPr>
        <w:t>Conversion Price</w:t>
      </w:r>
      <w:r>
        <w:rPr>
          <w:rFonts w:ascii="Times New Roman;Times;serif" w:hAnsi="Times New Roman;Times;serif"/>
          <w:sz w:val="20"/>
        </w:rPr>
        <w:t xml:space="preserve">” means as of any time, US$1,000, </w:t>
      </w:r>
      <w:r>
        <w:rPr>
          <w:rFonts w:ascii="Times New Roman;Times;serif" w:hAnsi="Times New Roman;Times;serif"/>
          <w:i/>
          <w:sz w:val="20"/>
        </w:rPr>
        <w:t xml:space="preserve">divided by </w:t>
      </w:r>
      <w:r>
        <w:rPr>
          <w:rFonts w:ascii="Times New Roman;Times;serif" w:hAnsi="Times New Roman;Times;serif"/>
          <w:sz w:val="20"/>
        </w:rPr>
        <w:t>the Conversion Rate as of such time.</w:t>
      </w:r>
    </w:p>
    <w:p>
      <w:pPr>
        <w:pStyle w:val="TextBody"/>
        <w:bidi w:val="0"/>
        <w:spacing w:before="0" w:after="240"/>
        <w:ind w:left="0" w:right="0" w:firstLine="720"/>
        <w:jc w:val="left"/>
        <w:rPr/>
      </w:pPr>
      <w:r>
        <w:rPr/>
        <w:t>“</w:t>
      </w:r>
      <w:r>
        <w:rPr>
          <w:rFonts w:ascii="Times New Roman;Times;serif" w:hAnsi="Times New Roman;Times;serif"/>
          <w:b/>
          <w:sz w:val="20"/>
        </w:rPr>
        <w:t>Conversion Rate</w:t>
      </w:r>
      <w:r>
        <w:rPr>
          <w:rFonts w:ascii="Times New Roman;Times;serif" w:hAnsi="Times New Roman;Times;serif"/>
          <w:sz w:val="20"/>
        </w:rPr>
        <w:t>” shall have the meaning specified in Section 14.01.</w:t>
      </w:r>
    </w:p>
    <w:p>
      <w:pPr>
        <w:pStyle w:val="TextBody"/>
        <w:bidi w:val="0"/>
        <w:spacing w:before="0" w:after="240"/>
        <w:ind w:left="0" w:right="0" w:firstLine="720"/>
        <w:jc w:val="left"/>
        <w:rPr/>
      </w:pPr>
      <w:r>
        <w:rPr/>
        <w:t>“</w:t>
      </w:r>
      <w:r>
        <w:rPr>
          <w:rFonts w:ascii="Times New Roman;Times;serif" w:hAnsi="Times New Roman;Times;serif"/>
          <w:b/>
          <w:sz w:val="20"/>
        </w:rPr>
        <w:t>Corporate Trust Office</w:t>
      </w:r>
      <w:r>
        <w:rPr>
          <w:rFonts w:ascii="Times New Roman;Times;serif" w:hAnsi="Times New Roman;Times;serif"/>
          <w:sz w:val="20"/>
        </w:rPr>
        <w:t>” means the corporate trust office of the Trustee at which at any time its corporate trust business shall be administered, which office at the date hereof is located at 1 Columbus Circle, 17th Floor, Mail Stop: NYC01-1710, New York, New York, 10019, Attention: Trust &amp; Agency Services, Corporates Team – NIO Inc. Deal ID – AA 5802, or such other address as the Trustee may designate from time to time by notice to the Holders and the Company, or the corporate trust office of any successor trustee (or such other address as such successor trustee may designate from time to time by notice to the Holders and the Company).</w:t>
      </w:r>
    </w:p>
    <w:p>
      <w:pPr>
        <w:pStyle w:val="TextBody"/>
        <w:bidi w:val="0"/>
        <w:spacing w:before="0" w:after="240"/>
        <w:ind w:left="0" w:right="0" w:firstLine="720"/>
        <w:jc w:val="left"/>
        <w:rPr/>
      </w:pPr>
      <w:r>
        <w:rPr/>
        <w:t>“</w:t>
      </w:r>
      <w:r>
        <w:rPr>
          <w:rFonts w:ascii="Times New Roman;Times;serif" w:hAnsi="Times New Roman;Times;serif"/>
          <w:b/>
          <w:sz w:val="20"/>
        </w:rPr>
        <w:t>Daily Conversion Value</w:t>
      </w:r>
      <w:r>
        <w:rPr>
          <w:rFonts w:ascii="Times New Roman;Times;serif" w:hAnsi="Times New Roman;Times;serif"/>
          <w:sz w:val="20"/>
        </w:rPr>
        <w:t>” means, for each of the 20 consecutive Trading Days during the Observation Period, 5% of the product of (a) the Conversion Rate on such Trading Day and (b) the Daily VWAP for such Trading Day.</w:t>
      </w:r>
    </w:p>
    <w:p>
      <w:pPr>
        <w:pStyle w:val="TextBody"/>
        <w:bidi w:val="0"/>
        <w:spacing w:before="0" w:after="240"/>
        <w:ind w:left="0" w:right="0" w:firstLine="720"/>
        <w:jc w:val="left"/>
        <w:rPr/>
      </w:pPr>
      <w:r>
        <w:rPr/>
        <w:t>“</w:t>
      </w:r>
      <w:r>
        <w:rPr>
          <w:rFonts w:ascii="Times New Roman;Times;serif" w:hAnsi="Times New Roman;Times;serif"/>
          <w:b/>
          <w:sz w:val="20"/>
        </w:rPr>
        <w:t>Daily Measurement Value</w:t>
      </w:r>
      <w:r>
        <w:rPr>
          <w:rFonts w:ascii="Times New Roman;Times;serif" w:hAnsi="Times New Roman;Times;serif"/>
          <w:sz w:val="20"/>
        </w:rPr>
        <w:t xml:space="preserve">” means the Specified Dollar Amount (if any), </w:t>
      </w:r>
      <w:r>
        <w:rPr>
          <w:rFonts w:ascii="Times New Roman;Times;serif" w:hAnsi="Times New Roman;Times;serif"/>
          <w:i/>
          <w:sz w:val="20"/>
        </w:rPr>
        <w:t xml:space="preserve">divided by </w:t>
      </w:r>
      <w:r>
        <w:rPr>
          <w:rFonts w:ascii="Times New Roman;Times;serif" w:hAnsi="Times New Roman;Times;serif"/>
          <w:sz w:val="20"/>
        </w:rPr>
        <w:t xml:space="preserve">20. </w:t>
      </w:r>
    </w:p>
    <w:p>
      <w:pPr>
        <w:pStyle w:val="TextBody"/>
        <w:bidi w:val="0"/>
        <w:spacing w:before="0" w:after="240"/>
        <w:ind w:left="0" w:right="0" w:firstLine="720"/>
        <w:jc w:val="left"/>
        <w:rPr/>
      </w:pPr>
      <w:r>
        <w:rPr/>
        <w:t>“</w:t>
      </w:r>
      <w:r>
        <w:rPr>
          <w:rFonts w:ascii="Times New Roman;Times;serif" w:hAnsi="Times New Roman;Times;serif"/>
          <w:b/>
          <w:sz w:val="20"/>
        </w:rPr>
        <w:t>Daily Settlement Amount</w:t>
      </w:r>
      <w:r>
        <w:rPr>
          <w:rFonts w:ascii="Times New Roman;Times;serif" w:hAnsi="Times New Roman;Times;serif"/>
          <w:sz w:val="20"/>
        </w:rPr>
        <w:t>,” for each of the 20 consecutive Trading Days during the Observation Period, shall consist 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cash in an amount equal to the lesser of (i) the Daily Measurement Value and (ii) the Daily Conversion Value on such Trading Day;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if the Daily Conversion Value on such Trading Day exceeds the Daily Measurement Value, a number of ADSs equal to (i) the difference between the Daily Conversion Value and the Daily Measurement Value, </w:t>
      </w:r>
      <w:r>
        <w:rPr>
          <w:rFonts w:ascii="Times New Roman;Times;serif" w:hAnsi="Times New Roman;Times;serif"/>
          <w:i/>
          <w:sz w:val="20"/>
        </w:rPr>
        <w:t xml:space="preserve">divided by </w:t>
      </w:r>
      <w:r>
        <w:rPr>
          <w:rFonts w:ascii="Times New Roman;Times;serif" w:hAnsi="Times New Roman;Times;serif"/>
          <w:sz w:val="20"/>
        </w:rPr>
        <w:t>(ii) the Daily VWAP for such Trading Day.</w:t>
      </w:r>
    </w:p>
    <w:p>
      <w:pPr>
        <w:pStyle w:val="TextBody"/>
        <w:bidi w:val="0"/>
        <w:spacing w:before="0" w:after="240"/>
        <w:ind w:left="0" w:right="0" w:firstLine="720"/>
        <w:jc w:val="left"/>
        <w:rPr/>
      </w:pPr>
      <w:r>
        <w:rPr/>
        <w:t>“</w:t>
      </w:r>
      <w:r>
        <w:rPr>
          <w:rFonts w:ascii="Times New Roman;Times;serif" w:hAnsi="Times New Roman;Times;serif"/>
          <w:b/>
          <w:sz w:val="20"/>
        </w:rPr>
        <w:t>Daily VWAP</w:t>
      </w:r>
      <w:r>
        <w:rPr>
          <w:rFonts w:ascii="Times New Roman;Times;serif" w:hAnsi="Times New Roman;Times;serif"/>
          <w:sz w:val="20"/>
        </w:rPr>
        <w:t>” means, for each of the 20 consecutive Trading Days during the relevant Observation Period, the per ADS volume-weighted average price as displayed under the heading “Bloomberg VWAP” on Bloomberg page “NIO &lt;equity&gt; AQR” (or its equivalent successor if such page is not available) in respect of the period from the scheduled open of trading until the scheduled close of trading of the primary trading session on such Trading Day (or if such volume- weighted average price is unavailable, the market value of one ADS on such Trading Day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determined, using a volume-weighted average method, by a nationally recognized independent investment banking firm retained for this purpose by the Company). The </w:t>
      </w:r>
    </w:p>
    <w:p>
      <w:pPr>
        <w:pStyle w:val="TextBody"/>
        <w:bidi w:val="0"/>
        <w:spacing w:before="0" w:after="240"/>
        <w:ind w:left="0" w:right="0" w:firstLine="720"/>
        <w:jc w:val="left"/>
        <w:rPr/>
      </w:pPr>
      <w:r>
        <w:rPr/>
        <w:t>“</w:t>
      </w:r>
      <w:r>
        <w:rPr>
          <w:rFonts w:ascii="Times New Roman;Times;serif" w:hAnsi="Times New Roman;Times;serif"/>
          <w:b/>
          <w:sz w:val="20"/>
        </w:rPr>
        <w:t>Daily VWAP</w:t>
      </w:r>
      <w:r>
        <w:rPr>
          <w:rFonts w:ascii="Times New Roman;Times;serif" w:hAnsi="Times New Roman;Times;serif"/>
          <w:sz w:val="20"/>
        </w:rPr>
        <w:t>” shall be determined without regard to after-hours trading or any other trading outside of the regular trading session trading hours.</w:t>
      </w:r>
    </w:p>
    <w:p>
      <w:pPr>
        <w:pStyle w:val="TextBody"/>
        <w:bidi w:val="0"/>
        <w:spacing w:before="0" w:after="240"/>
        <w:ind w:left="0" w:right="0" w:firstLine="720"/>
        <w:jc w:val="left"/>
        <w:rPr/>
      </w:pPr>
      <w:r>
        <w:rPr/>
        <w:t>“</w:t>
      </w:r>
      <w:r>
        <w:rPr>
          <w:rFonts w:ascii="Times New Roman;Times;serif" w:hAnsi="Times New Roman;Times;serif"/>
          <w:b/>
          <w:sz w:val="20"/>
        </w:rPr>
        <w:t>Default</w:t>
      </w:r>
      <w:r>
        <w:rPr>
          <w:rFonts w:ascii="Times New Roman;Times;serif" w:hAnsi="Times New Roman;Times;serif"/>
          <w:sz w:val="20"/>
        </w:rPr>
        <w:t>” means any event that is, or after notice or passage of time, or both, would be, an Event of Default.</w:t>
      </w:r>
    </w:p>
    <w:p>
      <w:pPr>
        <w:pStyle w:val="TextBody"/>
        <w:bidi w:val="0"/>
        <w:spacing w:before="0" w:after="240"/>
        <w:ind w:left="0" w:right="0" w:firstLine="720"/>
        <w:jc w:val="left"/>
        <w:rPr/>
      </w:pPr>
      <w:r>
        <w:rPr/>
        <w:t>“</w:t>
      </w:r>
      <w:r>
        <w:rPr>
          <w:rFonts w:ascii="Times New Roman;Times;serif" w:hAnsi="Times New Roman;Times;serif"/>
          <w:b/>
          <w:sz w:val="20"/>
        </w:rPr>
        <w:t>Default Settlement Method</w:t>
      </w:r>
      <w:r>
        <w:rPr>
          <w:rFonts w:ascii="Times New Roman;Times;serif" w:hAnsi="Times New Roman;Times;serif"/>
          <w:sz w:val="20"/>
        </w:rPr>
        <w:t>” shall have the meaning specified in Section 14.02(a)(iii).</w:t>
      </w:r>
    </w:p>
    <w:p>
      <w:pPr>
        <w:pStyle w:val="TextBody"/>
        <w:bidi w:val="0"/>
        <w:spacing w:before="0" w:after="240"/>
        <w:ind w:left="0" w:right="0" w:firstLine="720"/>
        <w:jc w:val="left"/>
        <w:rPr/>
      </w:pPr>
      <w:r>
        <w:rPr/>
        <w:t>“</w:t>
      </w:r>
      <w:r>
        <w:rPr>
          <w:rFonts w:ascii="Times New Roman;Times;serif" w:hAnsi="Times New Roman;Times;serif"/>
          <w:b/>
          <w:sz w:val="20"/>
        </w:rPr>
        <w:t>Defaulted Amounts</w:t>
      </w:r>
      <w:r>
        <w:rPr>
          <w:rFonts w:ascii="Times New Roman;Times;serif" w:hAnsi="Times New Roman;Times;serif"/>
          <w:sz w:val="20"/>
        </w:rPr>
        <w:t>” means any amounts on any Note (including, without limitation, the Redemption Price, the Repurchase Price, the Fundamental Change Repurchase Price, principal and interest) that are payable but are not punctually paid or duly provided for.</w:t>
      </w:r>
    </w:p>
    <w:p>
      <w:pPr>
        <w:pStyle w:val="TextBody"/>
        <w:bidi w:val="0"/>
        <w:spacing w:before="0" w:after="240"/>
        <w:ind w:left="0" w:right="0" w:firstLine="720"/>
        <w:jc w:val="left"/>
        <w:rPr/>
      </w:pPr>
      <w:r>
        <w:rPr/>
        <w:t>“</w:t>
      </w:r>
      <w:r>
        <w:rPr>
          <w:rFonts w:ascii="Times New Roman;Times;serif" w:hAnsi="Times New Roman;Times;serif"/>
          <w:b/>
          <w:sz w:val="20"/>
        </w:rPr>
        <w:t>Depositary</w:t>
      </w:r>
      <w:r>
        <w:rPr>
          <w:rFonts w:ascii="Times New Roman;Times;serif" w:hAnsi="Times New Roman;Times;serif"/>
          <w:sz w:val="20"/>
        </w:rPr>
        <w:t>” means, with respect to each Global Note, the Person specified in Section 2.05(c) and Section 2.05(e) as the Depositary with respect to such Notes, until a successor shall have been appointed and become such pursuant to the applicable provisions of this Indenture, and thereafter,</w:t>
      </w:r>
    </w:p>
    <w:p>
      <w:pPr>
        <w:pStyle w:val="TextBody"/>
        <w:bidi w:val="0"/>
        <w:spacing w:before="0" w:after="240"/>
        <w:ind w:left="0" w:right="0" w:firstLine="720"/>
        <w:jc w:val="left"/>
        <w:rPr/>
      </w:pPr>
      <w:r>
        <w:rPr/>
        <w:t>“</w:t>
      </w:r>
      <w:r>
        <w:rPr>
          <w:rFonts w:ascii="Times New Roman;Times;serif" w:hAnsi="Times New Roman;Times;serif"/>
          <w:b/>
          <w:sz w:val="20"/>
        </w:rPr>
        <w:t>Depositary</w:t>
      </w:r>
      <w:r>
        <w:rPr>
          <w:rFonts w:ascii="Times New Roman;Times;serif" w:hAnsi="Times New Roman;Times;serif"/>
          <w:sz w:val="20"/>
        </w:rPr>
        <w:t>” shall mean or include such successor.</w:t>
      </w:r>
    </w:p>
    <w:p>
      <w:pPr>
        <w:pStyle w:val="TextBody"/>
        <w:bidi w:val="0"/>
        <w:spacing w:before="0" w:after="240"/>
        <w:ind w:left="0" w:right="0" w:firstLine="720"/>
        <w:jc w:val="left"/>
        <w:rPr/>
      </w:pPr>
      <w:r>
        <w:rPr/>
        <w:t>“</w:t>
      </w:r>
      <w:r>
        <w:rPr>
          <w:rFonts w:ascii="Times New Roman;Times;serif" w:hAnsi="Times New Roman;Times;serif"/>
          <w:b/>
          <w:sz w:val="20"/>
        </w:rPr>
        <w:t>Designated Financial Institution</w:t>
      </w:r>
      <w:r>
        <w:rPr>
          <w:rFonts w:ascii="Times New Roman;Times;serif" w:hAnsi="Times New Roman;Times;serif"/>
          <w:sz w:val="20"/>
        </w:rPr>
        <w:t>” shall have the meaning specified in Section 14.13(a).</w:t>
      </w:r>
    </w:p>
    <w:p>
      <w:pPr>
        <w:pStyle w:val="TextBody"/>
        <w:bidi w:val="0"/>
        <w:spacing w:before="0" w:after="240"/>
        <w:ind w:left="0" w:right="0" w:firstLine="720"/>
        <w:jc w:val="left"/>
        <w:rPr/>
      </w:pPr>
      <w:r>
        <w:rPr/>
        <w:t>“</w:t>
      </w:r>
      <w:r>
        <w:rPr>
          <w:rFonts w:ascii="Times New Roman;Times;serif" w:hAnsi="Times New Roman;Times;serif"/>
          <w:b/>
          <w:sz w:val="20"/>
        </w:rPr>
        <w:t>Distributed Property</w:t>
      </w:r>
      <w:r>
        <w:rPr>
          <w:rFonts w:ascii="Times New Roman;Times;serif" w:hAnsi="Times New Roman;Times;serif"/>
          <w:sz w:val="20"/>
        </w:rPr>
        <w:t xml:space="preserve">” shall have the meaning specified in Section 14.04(c). </w:t>
      </w:r>
    </w:p>
    <w:p>
      <w:pPr>
        <w:pStyle w:val="TextBody"/>
        <w:bidi w:val="0"/>
        <w:spacing w:before="0" w:after="240"/>
        <w:ind w:left="0" w:right="0" w:firstLine="720"/>
        <w:jc w:val="left"/>
        <w:rPr/>
      </w:pPr>
      <w:r>
        <w:rPr/>
        <w:t>“</w:t>
      </w:r>
      <w:r>
        <w:rPr>
          <w:rFonts w:ascii="Times New Roman;Times;serif" w:hAnsi="Times New Roman;Times;serif"/>
          <w:b/>
          <w:sz w:val="20"/>
        </w:rPr>
        <w:t>DTC</w:t>
      </w:r>
      <w:r>
        <w:rPr>
          <w:rFonts w:ascii="Times New Roman;Times;serif" w:hAnsi="Times New Roman;Times;serif"/>
          <w:sz w:val="20"/>
        </w:rPr>
        <w:t>” means The Depository Trust Company, a New York corporation.</w:t>
      </w:r>
    </w:p>
    <w:p>
      <w:pPr>
        <w:pStyle w:val="TextBody"/>
        <w:bidi w:val="0"/>
        <w:spacing w:before="0" w:after="240"/>
        <w:ind w:left="0" w:right="0" w:firstLine="720"/>
        <w:jc w:val="left"/>
        <w:rPr/>
      </w:pPr>
      <w:r>
        <w:rPr/>
        <w:t>“</w:t>
      </w:r>
      <w:r>
        <w:rPr>
          <w:rFonts w:ascii="Times New Roman;Times;serif" w:hAnsi="Times New Roman;Times;serif"/>
          <w:b/>
          <w:sz w:val="20"/>
        </w:rPr>
        <w:t>Effective Date</w:t>
      </w:r>
      <w:r>
        <w:rPr>
          <w:rFonts w:ascii="Times New Roman;Times;serif" w:hAnsi="Times New Roman;Times;serif"/>
          <w:sz w:val="20"/>
        </w:rPr>
        <w:t>” shall have the meaning specified in Section 14.03(c), except that, as used in Section 14.04 and Section 14.05,</w:t>
      </w:r>
    </w:p>
    <w:p>
      <w:pPr>
        <w:pStyle w:val="TextBody"/>
        <w:bidi w:val="0"/>
        <w:spacing w:before="0" w:after="240"/>
        <w:ind w:left="0" w:right="0" w:firstLine="720"/>
        <w:jc w:val="left"/>
        <w:rPr/>
      </w:pPr>
      <w:r>
        <w:rPr/>
        <w:t>“</w:t>
      </w:r>
      <w:r>
        <w:rPr>
          <w:rFonts w:ascii="Times New Roman;Times;serif" w:hAnsi="Times New Roman;Times;serif"/>
          <w:b/>
          <w:sz w:val="20"/>
        </w:rPr>
        <w:t>Effective Date</w:t>
      </w:r>
      <w:r>
        <w:rPr>
          <w:rFonts w:ascii="Times New Roman;Times;serif" w:hAnsi="Times New Roman;Times;serif"/>
          <w:sz w:val="20"/>
        </w:rPr>
        <w:t>” means the first date on which ADSs trade on the applicable exchange or in the applicable market, regular way, reflecting the relevant share split or share combination, as applicable.</w:t>
      </w:r>
    </w:p>
    <w:p>
      <w:pPr>
        <w:pStyle w:val="TextBody"/>
        <w:bidi w:val="0"/>
        <w:spacing w:before="0" w:after="240"/>
        <w:ind w:left="0" w:right="0" w:firstLine="720"/>
        <w:jc w:val="left"/>
        <w:rPr/>
      </w:pPr>
      <w:r>
        <w:rPr/>
        <w:t>“</w:t>
      </w:r>
      <w:r>
        <w:rPr>
          <w:rFonts w:ascii="Times New Roman;Times;serif" w:hAnsi="Times New Roman;Times;serif"/>
          <w:b/>
          <w:sz w:val="20"/>
        </w:rPr>
        <w:t>Event of Default</w:t>
      </w:r>
      <w:r>
        <w:rPr>
          <w:rFonts w:ascii="Times New Roman;Times;serif" w:hAnsi="Times New Roman;Times;serif"/>
          <w:sz w:val="20"/>
        </w:rPr>
        <w:t>” shall have the meaning specified in Section 6.01.</w:t>
      </w:r>
    </w:p>
    <w:p>
      <w:pPr>
        <w:pStyle w:val="TextBody"/>
        <w:bidi w:val="0"/>
        <w:spacing w:before="0" w:after="240"/>
        <w:ind w:left="0" w:right="0" w:firstLine="720"/>
        <w:jc w:val="left"/>
        <w:rPr/>
      </w:pPr>
      <w:r>
        <w:rPr/>
        <w:t>“</w:t>
      </w:r>
      <w:r>
        <w:rPr>
          <w:rFonts w:ascii="Times New Roman;Times;serif" w:hAnsi="Times New Roman;Times;serif"/>
          <w:b/>
          <w:sz w:val="20"/>
        </w:rPr>
        <w:t>Ex-Dividend Date</w:t>
      </w:r>
      <w:r>
        <w:rPr>
          <w:rFonts w:ascii="Times New Roman;Times;serif" w:hAnsi="Times New Roman;Times;serif"/>
          <w:sz w:val="20"/>
        </w:rPr>
        <w:t>” means the first date on which the ADSs trade on the applicable exchange or in the applicable market, regular way, without the right to receive the issuance, dividend or distribution in question, from the Company or, if applicable, from the seller of the ADSs on such exchange or market (in the form of due bills or otherwise) as determined by such exchange or market.</w:t>
      </w:r>
    </w:p>
    <w:p>
      <w:pPr>
        <w:pStyle w:val="TextBody"/>
        <w:bidi w:val="0"/>
        <w:spacing w:before="0" w:after="240"/>
        <w:ind w:left="0" w:right="0" w:firstLine="720"/>
        <w:jc w:val="left"/>
        <w:rPr/>
      </w:pPr>
      <w:r>
        <w:rPr/>
        <w:t>“</w:t>
      </w:r>
      <w:r>
        <w:rPr>
          <w:rFonts w:ascii="Times New Roman;Times;serif" w:hAnsi="Times New Roman;Times;serif"/>
          <w:b/>
          <w:sz w:val="20"/>
        </w:rPr>
        <w:t>Exchange Act</w:t>
      </w:r>
      <w:r>
        <w:rPr>
          <w:rFonts w:ascii="Times New Roman;Times;serif" w:hAnsi="Times New Roman;Times;serif"/>
          <w:sz w:val="20"/>
        </w:rPr>
        <w:t>” means the Securities Exchange Act of 1934, as amended, and the rules and regulations promulgated thereunder.</w:t>
      </w:r>
    </w:p>
    <w:p>
      <w:pPr>
        <w:pStyle w:val="TextBody"/>
        <w:bidi w:val="0"/>
        <w:spacing w:before="0" w:after="240"/>
        <w:ind w:left="0" w:right="0" w:firstLine="720"/>
        <w:jc w:val="left"/>
        <w:rPr/>
      </w:pPr>
      <w:r>
        <w:rPr/>
        <w:t>“</w:t>
      </w:r>
      <w:r>
        <w:rPr>
          <w:rFonts w:ascii="Times New Roman;Times;serif" w:hAnsi="Times New Roman;Times;serif"/>
          <w:b/>
          <w:sz w:val="20"/>
        </w:rPr>
        <w:t>Exchange Election</w:t>
      </w:r>
      <w:r>
        <w:rPr>
          <w:rFonts w:ascii="Times New Roman;Times;serif" w:hAnsi="Times New Roman;Times;serif"/>
          <w:sz w:val="20"/>
        </w:rPr>
        <w:t>” shall have the meaning specified in Section 14.13(a).</w:t>
      </w:r>
    </w:p>
    <w:p>
      <w:pPr>
        <w:pStyle w:val="TextBody"/>
        <w:bidi w:val="0"/>
        <w:spacing w:before="0" w:after="240"/>
        <w:ind w:left="0" w:right="0" w:firstLine="720"/>
        <w:jc w:val="left"/>
        <w:rPr/>
      </w:pPr>
      <w:r>
        <w:rPr/>
        <w:t>“</w:t>
      </w:r>
      <w:r>
        <w:rPr>
          <w:rFonts w:ascii="Times New Roman;Times;serif" w:hAnsi="Times New Roman;Times;serif"/>
          <w:b/>
          <w:sz w:val="20"/>
        </w:rPr>
        <w:t>Expiring Rights</w:t>
      </w:r>
      <w:r>
        <w:rPr>
          <w:rFonts w:ascii="Times New Roman;Times;serif" w:hAnsi="Times New Roman;Times;serif"/>
          <w:sz w:val="20"/>
        </w:rPr>
        <w:t>” means any rights (other than in connection with a stockholders rights plan), options or warrants to purchase Ordinary Shares or ADSs that expire on or prior to the Maturity Date.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r>
        <w:rPr>
          <w:rFonts w:ascii="Times New Roman;Times;serif" w:hAnsi="Times New Roman;Times;serif"/>
          <w:b/>
          <w:sz w:val="20"/>
        </w:rPr>
        <w:t>FATCA</w:t>
      </w:r>
      <w:r>
        <w:rPr>
          <w:rFonts w:ascii="Times New Roman;Times;serif" w:hAnsi="Times New Roman;Times;serif"/>
          <w:sz w:val="20"/>
        </w:rPr>
        <w:t>” shall have the meaning specified in Section 4.07(a)(i)(D).</w:t>
      </w:r>
    </w:p>
    <w:p>
      <w:pPr>
        <w:pStyle w:val="TextBody"/>
        <w:bidi w:val="0"/>
        <w:spacing w:before="0" w:after="240"/>
        <w:ind w:left="0" w:right="0" w:firstLine="720"/>
        <w:jc w:val="left"/>
        <w:rPr/>
      </w:pPr>
      <w:r>
        <w:rPr/>
        <w:t>“</w:t>
      </w:r>
      <w:r>
        <w:rPr>
          <w:rFonts w:ascii="Times New Roman;Times;serif" w:hAnsi="Times New Roman;Times;serif"/>
          <w:b/>
          <w:sz w:val="20"/>
        </w:rPr>
        <w:t>Form of Assignment and Transfer</w:t>
      </w:r>
      <w:r>
        <w:rPr>
          <w:rFonts w:ascii="Times New Roman;Times;serif" w:hAnsi="Times New Roman;Times;serif"/>
          <w:sz w:val="20"/>
        </w:rPr>
        <w:t>” shall mean the “Form of Assignment and Transfer” attached as Attachment 4 to the Form of Note.</w:t>
      </w:r>
    </w:p>
    <w:p>
      <w:pPr>
        <w:pStyle w:val="TextBody"/>
        <w:bidi w:val="0"/>
        <w:spacing w:before="0" w:after="240"/>
        <w:ind w:left="0" w:right="0" w:firstLine="720"/>
        <w:jc w:val="left"/>
        <w:rPr/>
      </w:pPr>
      <w:r>
        <w:rPr/>
        <w:t>“</w:t>
      </w:r>
      <w:r>
        <w:rPr>
          <w:rFonts w:ascii="Times New Roman;Times;serif" w:hAnsi="Times New Roman;Times;serif"/>
          <w:b/>
          <w:sz w:val="20"/>
        </w:rPr>
        <w:t>Form of Fundamental Change Repurchase Notice</w:t>
      </w:r>
      <w:r>
        <w:rPr>
          <w:rFonts w:ascii="Times New Roman;Times;serif" w:hAnsi="Times New Roman;Times;serif"/>
          <w:sz w:val="20"/>
        </w:rPr>
        <w:t>” shall mean the “Form of Fundamental Change Repurchase Notice” attached as Attachment 2 to the Form of Note .</w:t>
      </w:r>
    </w:p>
    <w:p>
      <w:pPr>
        <w:pStyle w:val="TextBody"/>
        <w:bidi w:val="0"/>
        <w:spacing w:before="0" w:after="240"/>
        <w:ind w:left="0" w:right="0" w:firstLine="720"/>
        <w:jc w:val="left"/>
        <w:rPr/>
      </w:pPr>
      <w:r>
        <w:rPr/>
        <w:t>“</w:t>
      </w:r>
      <w:r>
        <w:rPr>
          <w:rFonts w:ascii="Times New Roman;Times;serif" w:hAnsi="Times New Roman;Times;serif"/>
          <w:b/>
          <w:sz w:val="20"/>
        </w:rPr>
        <w:t>Form of Note</w:t>
      </w:r>
      <w:r>
        <w:rPr>
          <w:rFonts w:ascii="Times New Roman;Times;serif" w:hAnsi="Times New Roman;Times;serif"/>
          <w:sz w:val="20"/>
        </w:rPr>
        <w:t xml:space="preserve">” shall mean the “Form of Note” attached hereto as Exhibit A. </w:t>
      </w:r>
    </w:p>
    <w:p>
      <w:pPr>
        <w:pStyle w:val="TextBody"/>
        <w:bidi w:val="0"/>
        <w:spacing w:before="0" w:after="240"/>
        <w:ind w:left="0" w:right="0" w:firstLine="720"/>
        <w:jc w:val="left"/>
        <w:rPr/>
      </w:pPr>
      <w:r>
        <w:rPr/>
        <w:t>“</w:t>
      </w:r>
      <w:r>
        <w:rPr>
          <w:rFonts w:ascii="Times New Roman;Times;serif" w:hAnsi="Times New Roman;Times;serif"/>
          <w:b/>
          <w:sz w:val="20"/>
        </w:rPr>
        <w:t>Form of Notice of Conversion</w:t>
      </w:r>
      <w:r>
        <w:rPr>
          <w:rFonts w:ascii="Times New Roman;Times;serif" w:hAnsi="Times New Roman;Times;serif"/>
          <w:sz w:val="20"/>
        </w:rPr>
        <w:t>” shall mean the “Form of Notice of Conversion” attached as Attachment 1 to the Form of Note .</w:t>
      </w:r>
    </w:p>
    <w:p>
      <w:pPr>
        <w:pStyle w:val="TextBody"/>
        <w:bidi w:val="0"/>
        <w:spacing w:before="0" w:after="240"/>
        <w:ind w:left="0" w:right="0" w:firstLine="720"/>
        <w:jc w:val="left"/>
        <w:rPr/>
      </w:pPr>
      <w:r>
        <w:rPr/>
        <w:t>“</w:t>
      </w:r>
      <w:r>
        <w:rPr>
          <w:rFonts w:ascii="Times New Roman;Times;serif" w:hAnsi="Times New Roman;Times;serif"/>
          <w:b/>
          <w:sz w:val="20"/>
        </w:rPr>
        <w:t>Form of Repurchase Notice</w:t>
      </w:r>
      <w:r>
        <w:rPr>
          <w:rFonts w:ascii="Times New Roman;Times;serif" w:hAnsi="Times New Roman;Times;serif"/>
          <w:sz w:val="20"/>
        </w:rPr>
        <w:t>” shall mean the “Form of Repurchase Notice” attached as Attachment 3 to the Form of Note .</w:t>
      </w:r>
    </w:p>
    <w:p>
      <w:pPr>
        <w:pStyle w:val="TextBody"/>
        <w:bidi w:val="0"/>
        <w:spacing w:before="0" w:after="240"/>
        <w:ind w:left="0" w:right="0" w:firstLine="720"/>
        <w:jc w:val="left"/>
        <w:rPr/>
      </w:pPr>
      <w:r>
        <w:rPr/>
        <w:t>“</w:t>
      </w:r>
      <w:r>
        <w:rPr>
          <w:rFonts w:ascii="Times New Roman;Times;serif" w:hAnsi="Times New Roman;Times;serif"/>
          <w:b/>
          <w:sz w:val="20"/>
        </w:rPr>
        <w:t>Fractional ADS</w:t>
      </w:r>
      <w:r>
        <w:rPr>
          <w:rFonts w:ascii="Times New Roman;Times;serif" w:hAnsi="Times New Roman;Times;serif"/>
          <w:sz w:val="20"/>
        </w:rPr>
        <w:t>” shall have the meaning specified in Section 14.02(a).</w:t>
      </w:r>
    </w:p>
    <w:p>
      <w:pPr>
        <w:pStyle w:val="TextBody"/>
        <w:bidi w:val="0"/>
        <w:spacing w:before="0" w:after="240"/>
        <w:ind w:left="0" w:right="0" w:firstLine="720"/>
        <w:jc w:val="left"/>
        <w:rPr/>
      </w:pPr>
      <w:r>
        <w:rPr/>
        <w:t>“</w:t>
      </w:r>
      <w:r>
        <w:rPr>
          <w:rFonts w:ascii="Times New Roman;Times;serif" w:hAnsi="Times New Roman;Times;serif"/>
          <w:b/>
          <w:sz w:val="20"/>
        </w:rPr>
        <w:t>Fundamental Change</w:t>
      </w:r>
      <w:r>
        <w:rPr>
          <w:rFonts w:ascii="Times New Roman;Times;serif" w:hAnsi="Times New Roman;Times;serif"/>
          <w:sz w:val="20"/>
        </w:rPr>
        <w:t>” shall be deemed to have occurred at the time after the Notes are originally issued if any of the following occurs: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 a “person” or “group” within the meaning of Section 13(d) of the Exchange Act, other than the Company, its Subsidiaries, the employee benefit plans of the Company and its Subsidiaries and the Permitted Holder, files a Schedule TO or any schedule, form or report under the Exchange Act disclosing that such person or group has become the direct or indirect “beneficial owner,” as defined in Rule 13d-3 under the Exchange Act, of: (i) the Company’s ordinary share capital (including ordinary share capital held in the form of ADSs) representing more than 50% of the voting power of the Company’s ordinary share capital, or (ii) more than 50% of the then outstanding Ordinary Shares (including Ordinary Shares held in the form of ADSs), or (B) the Permitted Holder (together with any of its respective affiliates that directly or indirectly through one or more intermediaries is controlling, is controlled by, or is under common control with, the Permitted Holder) have become the direct or indirect “beneficial owner”, as defined in Rule 13d-3 under the Exchange Act, of Ordinary Shares (including Ordinary Shares held in the form of ADSs) representing, in the aggregate, more than 50% of the outstanding Ordinary Shares (including Ordinary Shares held in the form of ADSs), based on any Schedule TO or any schedule, form or report under the Exchange Act disclosing the same filed by the Permitted Holder (excluding in both numerator and denominator for such calculation, for the avoidance of doubt, any Ordinary Shares deemed to be “beneficially owned” by the Permitted Holder solely by virtue of the Permitted Holder’s ownership of any Ordinary Shares);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consummation of (A) any recapitalization, reclassification or change of the Ordinary Shares or the ADSs (other than changes resulting from a subdivision or combination) as a result of which the Ordinary Shares or the ADSs would be converted into, or exchanged for, stock, other securities, other property or assets; (B) any share exchange, consolidation or merger of the Company pursuant to which the Ordinary Shares or the ADSs will be converted into cash, securities or other property; or (C) any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 xml:space="preserve">sale, lease or other transfer in one transaction or a series of transactions of all or substantially all of the consolidated assets of the Company and its Subsidiaries and Consolidated Affiliated Entities, taken as a whole, to any Person other than one of the Company’s wholly-owned Subsidiaries;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a transaction described in clause (B) in which the holders of all classes of the Company’s ordinary share capital (including ordinary share capital held in the form of ADSs) immediately prior to such transaction own, directly or indirectly, more than 50% of all classes of Common Equity of the continuing or surviving corporation or transferee or the parent thereof immediately after such transaction in substantially the same proportions vis-a-vis each other as such ownership immediately prior to such transaction shall not be a Fundamental Change pursuant to this clause (b);</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shareholders of the Company approve any plan or proposal for the liquidation or dissolution of the Company;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ADSs (or other Common Equity or ADSs in respect of Common Equity underlying the Notes) cease to be listed or quoted on any of The New York Stock Exchange, The NASDAQ Global Select Market or The NASDAQ Global Market (or any of their respective successors);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any change in or amendment to the laws, regulations and rules of the People’s Republic of China or the official interpretation or official application thereof (a “</w:t>
      </w:r>
      <w:r>
        <w:rPr>
          <w:rFonts w:ascii="Times New Roman;Times;serif" w:hAnsi="Times New Roman;Times;serif"/>
          <w:b/>
          <w:sz w:val="20"/>
        </w:rPr>
        <w:t>Change in Law</w:t>
      </w:r>
      <w:r>
        <w:rPr>
          <w:rFonts w:ascii="Times New Roman;Times;serif" w:hAnsi="Times New Roman;Times;serif"/>
          <w:sz w:val="20"/>
        </w:rPr>
        <w:t>”) that results in (x) the Company, its Subsidiaries and its Consolidated Affiliated Entities (collectively, the “</w:t>
      </w:r>
      <w:r>
        <w:rPr>
          <w:rFonts w:ascii="Times New Roman;Times;serif" w:hAnsi="Times New Roman;Times;serif"/>
          <w:b/>
          <w:sz w:val="20"/>
        </w:rPr>
        <w:t>Company Group</w:t>
      </w:r>
      <w:r>
        <w:rPr>
          <w:rFonts w:ascii="Times New Roman;Times;serif" w:hAnsi="Times New Roman;Times;serif"/>
          <w:sz w:val="20"/>
        </w:rPr>
        <w:t>”) (as in existence immediately subsequent to such Change in Law), as a whole, being legally prohibited from operating substantially all of the business operations conducted by the Company Group (as in existence immediately prior to such Change in Law) as of the last date of the period described in the Company’s consolidated financial statements for the most recent fiscal quarter and (y) the Company’s being unable to continue to derive substantially all of the economic benefits from the business operations conducted by the Company Group (as in existence immediately prior to such Change in Law) in the same manner as reflected in the Company’s consolidated financial statements for the most recent fiscal quarter;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xml:space="preserve">, that a transaction or event described in clause (b) above shall not constitute a Fundamental Change, if at least 90% of the consideration received or to be received by holders of the ADSs, excluding cash payments for Fractional ADSs, in connection with such transaction or event consists of shares of Common Equity or ADSs in respect of Common Equity that are listed or quoted on any of The New York Stock Exchange, The NASDAQ Global Select Market or The NASDAQ Global Market (or any of their respective successors) or will be so listed or quoted when issued or exchanged in connection with such transaction or event that would otherwise constitute a Fundamental Change under clause (b) of the definition thereof and as a result of such transaction or event, the Notes become convertible into such consideration, excluding cash payments for Fractional ADSs; and </w:t>
      </w:r>
      <w:r>
        <w:rPr>
          <w:rFonts w:ascii="Times New Roman;Times;serif" w:hAnsi="Times New Roman;Times;serif"/>
          <w:i/>
          <w:sz w:val="20"/>
        </w:rPr>
        <w:t xml:space="preserve">provided further </w:t>
      </w:r>
      <w:r>
        <w:rPr>
          <w:rFonts w:ascii="Times New Roman;Times;serif" w:hAnsi="Times New Roman;Times;serif"/>
          <w:sz w:val="20"/>
        </w:rPr>
        <w:t>that an event that is not considered a Fundamental Change pursuant to this proviso shall not be a Fundamental Change solely because such event could also be subject to clause (a) above.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r>
        <w:rPr>
          <w:rFonts w:ascii="Times New Roman;Times;serif" w:hAnsi="Times New Roman;Times;serif"/>
          <w:b/>
          <w:sz w:val="20"/>
        </w:rPr>
        <w:t>Fundamental Change Company Notice</w:t>
      </w:r>
      <w:r>
        <w:rPr>
          <w:rFonts w:ascii="Times New Roman;Times;serif" w:hAnsi="Times New Roman;Times;serif"/>
          <w:sz w:val="20"/>
        </w:rPr>
        <w:t>” shall have the meaning specified in Section 15.02(c).</w:t>
      </w:r>
    </w:p>
    <w:p>
      <w:pPr>
        <w:pStyle w:val="TextBody"/>
        <w:bidi w:val="0"/>
        <w:spacing w:before="0" w:after="240"/>
        <w:ind w:left="0" w:right="0" w:firstLine="720"/>
        <w:jc w:val="left"/>
        <w:rPr/>
      </w:pPr>
      <w:r>
        <w:rPr/>
        <w:t>“</w:t>
      </w:r>
      <w:r>
        <w:rPr>
          <w:rFonts w:ascii="Times New Roman;Times;serif" w:hAnsi="Times New Roman;Times;serif"/>
          <w:b/>
          <w:sz w:val="20"/>
        </w:rPr>
        <w:t>Fundamental Change Repurchase Date</w:t>
      </w:r>
      <w:r>
        <w:rPr>
          <w:rFonts w:ascii="Times New Roman;Times;serif" w:hAnsi="Times New Roman;Times;serif"/>
          <w:sz w:val="20"/>
        </w:rPr>
        <w:t>” shall have the meaning specified in Section 15.02(a).</w:t>
      </w:r>
    </w:p>
    <w:p>
      <w:pPr>
        <w:pStyle w:val="TextBody"/>
        <w:bidi w:val="0"/>
        <w:spacing w:before="0" w:after="240"/>
        <w:ind w:left="0" w:right="0" w:firstLine="720"/>
        <w:jc w:val="left"/>
        <w:rPr/>
      </w:pPr>
      <w:r>
        <w:rPr/>
        <w:t>“</w:t>
      </w:r>
      <w:r>
        <w:rPr>
          <w:rFonts w:ascii="Times New Roman;Times;serif" w:hAnsi="Times New Roman;Times;serif"/>
          <w:b/>
          <w:sz w:val="20"/>
        </w:rPr>
        <w:t>Fundamental Change Repurchase Notice</w:t>
      </w:r>
      <w:r>
        <w:rPr>
          <w:rFonts w:ascii="Times New Roman;Times;serif" w:hAnsi="Times New Roman;Times;serif"/>
          <w:sz w:val="20"/>
        </w:rPr>
        <w:t>” shall have the meaning specified in Section 15.02(b)(i).</w:t>
      </w:r>
    </w:p>
    <w:p>
      <w:pPr>
        <w:pStyle w:val="TextBody"/>
        <w:bidi w:val="0"/>
        <w:spacing w:before="0" w:after="240"/>
        <w:ind w:left="0" w:right="0" w:firstLine="720"/>
        <w:jc w:val="left"/>
        <w:rPr/>
      </w:pPr>
      <w:r>
        <w:rPr/>
        <w:t>“</w:t>
      </w:r>
      <w:r>
        <w:rPr>
          <w:rFonts w:ascii="Times New Roman;Times;serif" w:hAnsi="Times New Roman;Times;serif"/>
          <w:b/>
          <w:sz w:val="20"/>
        </w:rPr>
        <w:t>Fundamental Change Repurchase Price</w:t>
      </w:r>
      <w:r>
        <w:rPr>
          <w:rFonts w:ascii="Times New Roman;Times;serif" w:hAnsi="Times New Roman;Times;serif"/>
          <w:sz w:val="20"/>
        </w:rPr>
        <w:t>” shall have the meaning specified in Section 15.02(a).</w:t>
      </w:r>
    </w:p>
    <w:p>
      <w:pPr>
        <w:pStyle w:val="TextBody"/>
        <w:bidi w:val="0"/>
        <w:spacing w:before="0" w:after="240"/>
        <w:ind w:left="0" w:right="0" w:firstLine="720"/>
        <w:jc w:val="left"/>
        <w:rPr/>
      </w:pPr>
      <w:r>
        <w:rPr/>
        <w:t>“</w:t>
      </w:r>
      <w:r>
        <w:rPr>
          <w:rFonts w:ascii="Times New Roman;Times;serif" w:hAnsi="Times New Roman;Times;serif"/>
          <w:b/>
          <w:sz w:val="20"/>
        </w:rPr>
        <w:t>Global Note</w:t>
      </w:r>
      <w:r>
        <w:rPr>
          <w:rFonts w:ascii="Times New Roman;Times;serif" w:hAnsi="Times New Roman;Times;serif"/>
          <w:sz w:val="20"/>
        </w:rPr>
        <w:t>” shall have the meaning specified in Section 2.05(b).</w:t>
      </w:r>
    </w:p>
    <w:p>
      <w:pPr>
        <w:pStyle w:val="TextBody"/>
        <w:bidi w:val="0"/>
        <w:spacing w:before="0" w:after="240"/>
        <w:ind w:left="0" w:right="0" w:firstLine="720"/>
        <w:jc w:val="left"/>
        <w:rPr/>
      </w:pPr>
      <w:r>
        <w:rPr/>
        <w:t>“</w:t>
      </w:r>
      <w:r>
        <w:rPr>
          <w:rFonts w:ascii="Times New Roman;Times;serif" w:hAnsi="Times New Roman;Times;serif"/>
          <w:b/>
          <w:sz w:val="20"/>
        </w:rPr>
        <w:t>Holder</w:t>
      </w:r>
      <w:r>
        <w:rPr>
          <w:rFonts w:ascii="Times New Roman;Times;serif" w:hAnsi="Times New Roman;Times;serif"/>
          <w:sz w:val="20"/>
        </w:rPr>
        <w:t>,” as applied to any Note, or other similar terms (but excluding the term “beneficial holder”), shall mean any Person in whose name at the time a particular Note is registered on the Note Register.</w:t>
      </w:r>
    </w:p>
    <w:p>
      <w:pPr>
        <w:pStyle w:val="TextBody"/>
        <w:bidi w:val="0"/>
        <w:spacing w:before="0" w:after="240"/>
        <w:ind w:left="0" w:right="0" w:firstLine="720"/>
        <w:jc w:val="left"/>
        <w:rPr/>
      </w:pPr>
      <w:r>
        <w:rPr/>
        <w:t>“</w:t>
      </w:r>
      <w:r>
        <w:rPr>
          <w:rFonts w:ascii="Times New Roman;Times;serif" w:hAnsi="Times New Roman;Times;serif"/>
          <w:b/>
          <w:sz w:val="20"/>
        </w:rPr>
        <w:t>Hong Kong Stock Exchange</w:t>
      </w:r>
      <w:r>
        <w:rPr>
          <w:rFonts w:ascii="Times New Roman;Times;serif" w:hAnsi="Times New Roman;Times;serif"/>
          <w:sz w:val="20"/>
        </w:rPr>
        <w:t xml:space="preserve">” means The Stock Exchange of Hong Kong Limited. </w:t>
      </w:r>
    </w:p>
    <w:p>
      <w:pPr>
        <w:pStyle w:val="TextBody"/>
        <w:bidi w:val="0"/>
        <w:spacing w:before="0" w:after="240"/>
        <w:ind w:left="0" w:right="0" w:firstLine="720"/>
        <w:jc w:val="left"/>
        <w:rPr/>
      </w:pPr>
      <w:r>
        <w:rPr/>
        <w:t>“</w:t>
      </w:r>
      <w:r>
        <w:rPr>
          <w:rFonts w:ascii="Times New Roman;Times;serif" w:hAnsi="Times New Roman;Times;serif"/>
          <w:b/>
          <w:sz w:val="20"/>
        </w:rPr>
        <w:t>Indenture</w:t>
      </w:r>
      <w:r>
        <w:rPr>
          <w:rFonts w:ascii="Times New Roman;Times;serif" w:hAnsi="Times New Roman;Times;serif"/>
          <w:sz w:val="20"/>
        </w:rPr>
        <w:t>” means this instrument as originally executed or, if amended or supplemented as herein provided, as so amended or supplemented.</w:t>
      </w:r>
    </w:p>
    <w:p>
      <w:pPr>
        <w:pStyle w:val="TextBody"/>
        <w:bidi w:val="0"/>
        <w:spacing w:before="0" w:after="240"/>
        <w:ind w:left="0" w:right="0" w:firstLine="720"/>
        <w:jc w:val="left"/>
        <w:rPr/>
      </w:pPr>
      <w:r>
        <w:rPr/>
        <w:t>“</w:t>
      </w:r>
      <w:r>
        <w:rPr>
          <w:rFonts w:ascii="Times New Roman;Times;serif" w:hAnsi="Times New Roman;Times;serif"/>
          <w:b/>
          <w:sz w:val="20"/>
        </w:rPr>
        <w:t>Initial Purchasers</w:t>
      </w:r>
      <w:r>
        <w:rPr>
          <w:rFonts w:ascii="Times New Roman;Times;serif" w:hAnsi="Times New Roman;Times;serif"/>
          <w:sz w:val="20"/>
        </w:rPr>
        <w:t>” means Goldman Sachs (Asia) LLC, Morgan Stanley Asia Limited, China International Capital Corporation Hong Kong Securities Limited and J.P. Morgan Securities LLC as representatives of the several “Purchasers” (as defined in the Purchase Agreement).</w:t>
      </w:r>
    </w:p>
    <w:p>
      <w:pPr>
        <w:pStyle w:val="TextBody"/>
        <w:bidi w:val="0"/>
        <w:spacing w:before="0" w:after="240"/>
        <w:ind w:left="0" w:right="0" w:firstLine="720"/>
        <w:jc w:val="left"/>
        <w:rPr/>
      </w:pPr>
      <w:r>
        <w:rPr/>
        <w:t>“</w:t>
      </w:r>
      <w:r>
        <w:rPr>
          <w:rFonts w:ascii="Times New Roman;Times;serif" w:hAnsi="Times New Roman;Times;serif"/>
          <w:b/>
          <w:sz w:val="20"/>
        </w:rPr>
        <w:t>Interest Payment Date</w:t>
      </w:r>
      <w:r>
        <w:rPr>
          <w:rFonts w:ascii="Times New Roman;Times;serif" w:hAnsi="Times New Roman;Times;serif"/>
          <w:sz w:val="20"/>
        </w:rPr>
        <w:t>” means each April 15 and October 15 of each year or, if the relevant date is not a Business Day, the immediately following Business Day, beginning on April 15, 2024.</w:t>
      </w:r>
    </w:p>
    <w:p>
      <w:pPr>
        <w:pStyle w:val="TextBody"/>
        <w:bidi w:val="0"/>
        <w:spacing w:before="0" w:after="240"/>
        <w:ind w:left="0" w:right="0" w:firstLine="720"/>
        <w:jc w:val="left"/>
        <w:rPr/>
      </w:pPr>
      <w:r>
        <w:rPr/>
        <w:t>“</w:t>
      </w:r>
      <w:r>
        <w:rPr>
          <w:rFonts w:ascii="Times New Roman;Times;serif" w:hAnsi="Times New Roman;Times;serif"/>
          <w:b/>
          <w:sz w:val="20"/>
        </w:rPr>
        <w:t>Last Reported Sale Price</w:t>
      </w:r>
      <w:r>
        <w:rPr>
          <w:rFonts w:ascii="Times New Roman;Times;serif" w:hAnsi="Times New Roman;Times;serif"/>
          <w:sz w:val="20"/>
        </w:rPr>
        <w:t>” of the ADSs (or such other security for which a closing price must be determined) on any date means the closing sale price per ADS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ADSs (or such other security) are traded. If (i) subject to the immediately succeeding clause (ii), the ADSs (or such other security) are not listed for trading on a U.S. national or regional securities exchange on the relevant date, the “Last Reported Sale Price” shall be the last quoted bid price for the ADSs in the over-the-counter market on the relevant date as reported by OTC Markets Group Inc. or a similar organization, and, if the ADSs (or such other security) are not so quoted, the “Last Reported Sale Price” shall be the average of the mid-point of the last bid and ask prices for the ADSs (or such other security) on the relevant date from each of at least three nationally recognized independent investment banking firms selected by the Company for this purpose and (ii) a Fundamental Change described in clause (d) of the definition thereof has occurred and the Listed Equity remain listed or have been accepted for listing on a Permitted Exchange, the “</w:t>
      </w:r>
      <w:r>
        <w:rPr>
          <w:rFonts w:ascii="Times New Roman;Times;serif" w:hAnsi="Times New Roman;Times;serif"/>
          <w:b/>
          <w:sz w:val="20"/>
        </w:rPr>
        <w:t>Last Reported Sale Price</w:t>
      </w:r>
      <w:r>
        <w:rPr>
          <w:rFonts w:ascii="Times New Roman;Times;serif" w:hAnsi="Times New Roman;Times;serif"/>
          <w:sz w:val="20"/>
        </w:rPr>
        <w:t>” will be determined based on the closing sale price of the Listed Equity on</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principal Permitted Exchange, with such changes to the foregoing definition (including the deletion of clause (i) of this definition) and the definition of “Trading Day” as the Board of Directors determines in good faith are necessary to reflect the replacement of ADS (or other security) with Listed Equity as set forth in a supplemental indenture to be executed by the Company and the Trustee as described under Section 10.03.</w:t>
      </w:r>
    </w:p>
    <w:p>
      <w:pPr>
        <w:pStyle w:val="TextBody"/>
        <w:bidi w:val="0"/>
        <w:spacing w:before="0" w:after="240"/>
        <w:ind w:left="0" w:right="0" w:firstLine="720"/>
        <w:jc w:val="left"/>
        <w:rPr/>
      </w:pPr>
      <w:r>
        <w:rPr/>
        <w:t>“</w:t>
      </w:r>
      <w:r>
        <w:rPr>
          <w:rFonts w:ascii="Times New Roman;Times;serif" w:hAnsi="Times New Roman;Times;serif"/>
          <w:b/>
          <w:sz w:val="20"/>
        </w:rPr>
        <w:t>Listed Equity</w:t>
      </w:r>
      <w:r>
        <w:rPr>
          <w:rFonts w:ascii="Times New Roman;Times;serif" w:hAnsi="Times New Roman;Times;serif"/>
          <w:sz w:val="20"/>
        </w:rPr>
        <w:t>” shall have the meaning specified in Section 10.03.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b/>
          <w:sz w:val="20"/>
        </w:rPr>
        <w:t xml:space="preserve">majority” </w:t>
      </w:r>
      <w:r>
        <w:rPr>
          <w:rFonts w:ascii="Times New Roman;Times;serif" w:hAnsi="Times New Roman;Times;serif"/>
          <w:sz w:val="20"/>
        </w:rPr>
        <w:t>of Holders shall mean Holders of more than 50% in principal amount of the outstanding Notes.</w:t>
      </w:r>
    </w:p>
    <w:p>
      <w:pPr>
        <w:pStyle w:val="TextBody"/>
        <w:bidi w:val="0"/>
        <w:spacing w:before="0" w:after="240"/>
        <w:ind w:left="0" w:right="0" w:firstLine="720"/>
        <w:jc w:val="left"/>
        <w:rPr/>
      </w:pPr>
      <w:r>
        <w:rPr/>
        <w:t>“</w:t>
      </w:r>
      <w:r>
        <w:rPr>
          <w:rFonts w:ascii="Times New Roman;Times;serif" w:hAnsi="Times New Roman;Times;serif"/>
          <w:b/>
          <w:sz w:val="20"/>
        </w:rPr>
        <w:t>Make-Whole ADSs</w:t>
      </w:r>
      <w:r>
        <w:rPr>
          <w:rFonts w:ascii="Times New Roman;Times;serif" w:hAnsi="Times New Roman;Times;serif"/>
          <w:sz w:val="20"/>
        </w:rPr>
        <w:t>” shall have the meaning specified in Section 14.02(a).</w:t>
      </w:r>
    </w:p>
    <w:p>
      <w:pPr>
        <w:pStyle w:val="TextBody"/>
        <w:bidi w:val="0"/>
        <w:spacing w:before="0" w:after="240"/>
        <w:ind w:left="0" w:right="0" w:firstLine="720"/>
        <w:jc w:val="left"/>
        <w:rPr/>
      </w:pPr>
      <w:r>
        <w:rPr/>
        <w:t>“</w:t>
      </w:r>
      <w:r>
        <w:rPr>
          <w:rFonts w:ascii="Times New Roman;Times;serif" w:hAnsi="Times New Roman;Times;serif"/>
          <w:b/>
          <w:sz w:val="20"/>
        </w:rPr>
        <w:t>Make-Whole Fundamental Change</w:t>
      </w:r>
      <w:r>
        <w:rPr>
          <w:rFonts w:ascii="Times New Roman;Times;serif" w:hAnsi="Times New Roman;Times;serif"/>
          <w:sz w:val="20"/>
        </w:rPr>
        <w:t xml:space="preserve">” means any transaction or event described in clause (a), (b), (d) or (e) of the definition of Fundamental Change (determined after giving effect to any exceptions to or exclusions from such definition, including in the </w:t>
      </w:r>
      <w:r>
        <w:rPr>
          <w:rFonts w:ascii="Times New Roman;Times;serif" w:hAnsi="Times New Roman;Times;serif"/>
          <w:i/>
          <w:sz w:val="20"/>
        </w:rPr>
        <w:t xml:space="preserve">proviso </w:t>
      </w:r>
      <w:r>
        <w:rPr>
          <w:rFonts w:ascii="Times New Roman;Times;serif" w:hAnsi="Times New Roman;Times;serif"/>
          <w:sz w:val="20"/>
        </w:rPr>
        <w:t xml:space="preserve">immediately succeeding clause (e) of the definition thereof, but without regard to the </w:t>
      </w:r>
      <w:r>
        <w:rPr>
          <w:rFonts w:ascii="Times New Roman;Times;serif" w:hAnsi="Times New Roman;Times;serif"/>
          <w:i/>
          <w:sz w:val="20"/>
        </w:rPr>
        <w:t xml:space="preserve">proviso </w:t>
      </w:r>
      <w:r>
        <w:rPr>
          <w:rFonts w:ascii="Times New Roman;Times;serif" w:hAnsi="Times New Roman;Times;serif"/>
          <w:sz w:val="20"/>
        </w:rPr>
        <w:t>in clause (b) of the definition thereof).</w:t>
      </w:r>
    </w:p>
    <w:p>
      <w:pPr>
        <w:pStyle w:val="TextBody"/>
        <w:bidi w:val="0"/>
        <w:spacing w:before="0" w:after="240"/>
        <w:ind w:left="0" w:right="0" w:firstLine="720"/>
        <w:jc w:val="left"/>
        <w:rPr/>
      </w:pPr>
      <w:r>
        <w:rPr/>
        <w:t>“</w:t>
      </w:r>
      <w:r>
        <w:rPr>
          <w:rFonts w:ascii="Times New Roman;Times;serif" w:hAnsi="Times New Roman;Times;serif"/>
          <w:b/>
          <w:sz w:val="20"/>
        </w:rPr>
        <w:t>Market Disruption Event</w:t>
      </w:r>
      <w:r>
        <w:rPr>
          <w:rFonts w:ascii="Times New Roman;Times;serif" w:hAnsi="Times New Roman;Times;serif"/>
          <w:sz w:val="20"/>
        </w:rPr>
        <w:t>” means, for the purposes of determining amounts due upon conversion, (a) a failure by the primary U.S. national or regional securities exchange or market on which the ADSs are listed or admitted for trading to open for trading during its regular trading session or (b) the occurrence or existence prior to 1:00 p.m., New York City time, on any Scheduled Trading Day for the ADSs for more than one half-hour period in the aggregate during regular trading hours of any suspension or limitation imposed on trading (by reason of movements in price exceeding limits permitted by the relevant stock exchange or otherwise) in the ADSs or in any options contracts or futures contracts relating to the ADSs.</w:t>
      </w:r>
    </w:p>
    <w:p>
      <w:pPr>
        <w:pStyle w:val="TextBody"/>
        <w:bidi w:val="0"/>
        <w:spacing w:before="0" w:after="240"/>
        <w:ind w:left="0" w:right="0" w:firstLine="720"/>
        <w:jc w:val="left"/>
        <w:rPr/>
      </w:pPr>
      <w:r>
        <w:rPr/>
        <w:t>“</w:t>
      </w:r>
      <w:r>
        <w:rPr>
          <w:rFonts w:ascii="Times New Roman;Times;serif" w:hAnsi="Times New Roman;Times;serif"/>
          <w:b/>
          <w:sz w:val="20"/>
        </w:rPr>
        <w:t>Maturity Date</w:t>
      </w:r>
      <w:r>
        <w:rPr>
          <w:rFonts w:ascii="Times New Roman;Times;serif" w:hAnsi="Times New Roman;Times;serif"/>
          <w:sz w:val="20"/>
        </w:rPr>
        <w:t>” means October 15, 2030.</w:t>
      </w:r>
    </w:p>
    <w:p>
      <w:pPr>
        <w:pStyle w:val="TextBody"/>
        <w:bidi w:val="0"/>
        <w:spacing w:before="0" w:after="240"/>
        <w:ind w:left="0" w:right="0" w:firstLine="720"/>
        <w:jc w:val="left"/>
        <w:rPr/>
      </w:pPr>
      <w:r>
        <w:rPr/>
        <w:t>“</w:t>
      </w:r>
      <w:r>
        <w:rPr>
          <w:rFonts w:ascii="Times New Roman;Times;serif" w:hAnsi="Times New Roman;Times;serif"/>
          <w:b/>
          <w:sz w:val="20"/>
        </w:rPr>
        <w:t>Merger Event</w:t>
      </w:r>
      <w:r>
        <w:rPr>
          <w:rFonts w:ascii="Times New Roman;Times;serif" w:hAnsi="Times New Roman;Times;serif"/>
          <w:sz w:val="20"/>
        </w:rPr>
        <w:t>” shall have the meaning specified in Section 14.07(a).</w:t>
      </w:r>
    </w:p>
    <w:p>
      <w:pPr>
        <w:pStyle w:val="TextBody"/>
        <w:bidi w:val="0"/>
        <w:spacing w:before="0" w:after="240"/>
        <w:ind w:left="0" w:right="0" w:firstLine="720"/>
        <w:jc w:val="left"/>
        <w:rPr/>
      </w:pPr>
      <w:r>
        <w:rPr/>
        <w:t>“</w:t>
      </w:r>
      <w:r>
        <w:rPr>
          <w:rFonts w:ascii="Times New Roman;Times;serif" w:hAnsi="Times New Roman;Times;serif"/>
          <w:b/>
          <w:sz w:val="20"/>
        </w:rPr>
        <w:t>Note</w:t>
      </w:r>
      <w:r>
        <w:rPr>
          <w:rFonts w:ascii="Times New Roman;Times;serif" w:hAnsi="Times New Roman;Times;serif"/>
          <w:sz w:val="20"/>
        </w:rPr>
        <w:t>” or “</w:t>
      </w:r>
      <w:r>
        <w:rPr>
          <w:rFonts w:ascii="Times New Roman;Times;serif" w:hAnsi="Times New Roman;Times;serif"/>
          <w:b/>
          <w:sz w:val="20"/>
        </w:rPr>
        <w:t>Notes</w:t>
      </w:r>
      <w:r>
        <w:rPr>
          <w:rFonts w:ascii="Times New Roman;Times;serif" w:hAnsi="Times New Roman;Times;serif"/>
          <w:sz w:val="20"/>
        </w:rPr>
        <w:t>” shall have the meaning specified in the first paragraph of the recitals of this Indenture.</w:t>
      </w:r>
    </w:p>
    <w:p>
      <w:pPr>
        <w:pStyle w:val="TextBody"/>
        <w:bidi w:val="0"/>
        <w:spacing w:before="0" w:after="240"/>
        <w:ind w:left="0" w:right="0" w:firstLine="720"/>
        <w:jc w:val="left"/>
        <w:rPr/>
      </w:pPr>
      <w:r>
        <w:rPr/>
        <w:t>“</w:t>
      </w:r>
      <w:r>
        <w:rPr>
          <w:rFonts w:ascii="Times New Roman;Times;serif" w:hAnsi="Times New Roman;Times;serif"/>
          <w:b/>
          <w:sz w:val="20"/>
        </w:rPr>
        <w:t>Notes Fungibility Date</w:t>
      </w:r>
      <w:r>
        <w:rPr>
          <w:rFonts w:ascii="Times New Roman;Times;serif" w:hAnsi="Times New Roman;Times;serif"/>
          <w:sz w:val="20"/>
        </w:rPr>
        <w:t>” means the date, if any, following the Resale Restriction Termination Date on which all of the Notes are no longer Restricted Securities, do not bear the restrictive legend required by Section 2.05(c), are fungible for U.S. securities law purposes and are assigned an identical, unrestricted CUSIP number.</w:t>
      </w:r>
    </w:p>
    <w:p>
      <w:pPr>
        <w:pStyle w:val="TextBody"/>
        <w:bidi w:val="0"/>
        <w:spacing w:before="0" w:after="240"/>
        <w:ind w:left="0" w:right="0" w:firstLine="720"/>
        <w:jc w:val="left"/>
        <w:rPr/>
      </w:pPr>
      <w:r>
        <w:rPr/>
        <w:t>“</w:t>
      </w:r>
      <w:r>
        <w:rPr>
          <w:rFonts w:ascii="Times New Roman;Times;serif" w:hAnsi="Times New Roman;Times;serif"/>
          <w:b/>
          <w:sz w:val="20"/>
        </w:rPr>
        <w:t>Note Register</w:t>
      </w:r>
      <w:r>
        <w:rPr>
          <w:rFonts w:ascii="Times New Roman;Times;serif" w:hAnsi="Times New Roman;Times;serif"/>
          <w:sz w:val="20"/>
        </w:rPr>
        <w:t xml:space="preserve">” shall have the meaning specified in Section 2.05(a). </w:t>
      </w:r>
    </w:p>
    <w:p>
      <w:pPr>
        <w:pStyle w:val="TextBody"/>
        <w:bidi w:val="0"/>
        <w:spacing w:before="0" w:after="240"/>
        <w:ind w:left="0" w:right="0" w:firstLine="720"/>
        <w:jc w:val="left"/>
        <w:rPr/>
      </w:pPr>
      <w:r>
        <w:rPr/>
        <w:t>“</w:t>
      </w:r>
      <w:r>
        <w:rPr>
          <w:rFonts w:ascii="Times New Roman;Times;serif" w:hAnsi="Times New Roman;Times;serif"/>
          <w:b/>
          <w:sz w:val="20"/>
        </w:rPr>
        <w:t>Note Registrar</w:t>
      </w:r>
      <w:r>
        <w:rPr>
          <w:rFonts w:ascii="Times New Roman;Times;serif" w:hAnsi="Times New Roman;Times;serif"/>
          <w:sz w:val="20"/>
        </w:rPr>
        <w:t>” shall have the meaning specified in Section 2.05(a).</w:t>
      </w:r>
    </w:p>
    <w:p>
      <w:pPr>
        <w:pStyle w:val="TextBody"/>
        <w:bidi w:val="0"/>
        <w:spacing w:before="0" w:after="240"/>
        <w:ind w:left="0" w:right="0" w:firstLine="720"/>
        <w:jc w:val="left"/>
        <w:rPr/>
      </w:pPr>
      <w:r>
        <w:rPr/>
        <w:t>“</w:t>
      </w:r>
      <w:r>
        <w:rPr>
          <w:rFonts w:ascii="Times New Roman;Times;serif" w:hAnsi="Times New Roman;Times;serif"/>
          <w:b/>
          <w:sz w:val="20"/>
        </w:rPr>
        <w:t>Notice of Conversion</w:t>
      </w:r>
      <w:r>
        <w:rPr>
          <w:rFonts w:ascii="Times New Roman;Times;serif" w:hAnsi="Times New Roman;Times;serif"/>
          <w:sz w:val="20"/>
        </w:rPr>
        <w:t>” shall have the meaning specified in Section 14.02(b).</w:t>
      </w:r>
    </w:p>
    <w:p>
      <w:pPr>
        <w:pStyle w:val="TextBody"/>
        <w:bidi w:val="0"/>
        <w:spacing w:before="0" w:after="240"/>
        <w:ind w:left="0" w:right="0" w:firstLine="720"/>
        <w:jc w:val="left"/>
        <w:rPr/>
      </w:pPr>
      <w:r>
        <w:rPr/>
        <w:t>“</w:t>
      </w:r>
      <w:r>
        <w:rPr>
          <w:rFonts w:ascii="Times New Roman;Times;serif" w:hAnsi="Times New Roman;Times;serif"/>
          <w:b/>
          <w:sz w:val="20"/>
        </w:rPr>
        <w:t>Observation Period</w:t>
      </w:r>
      <w:r>
        <w:rPr>
          <w:rFonts w:ascii="Times New Roman;Times;serif" w:hAnsi="Times New Roman;Times;serif"/>
          <w:sz w:val="20"/>
        </w:rPr>
        <w:t>” with respect to any Note surrendered for conversion means: (i) subject to clause (ii), if the relevant Conversion Date occurs prior to the 30</w:t>
      </w:r>
      <w:r>
        <w:rPr>
          <w:rFonts w:ascii="Times New Roman;Times;serif" w:hAnsi="Times New Roman;Times;serif"/>
          <w:sz w:val="15"/>
        </w:rPr>
        <w:t xml:space="preserve">th </w:t>
      </w:r>
      <w:r>
        <w:rPr>
          <w:rFonts w:ascii="Times New Roman;Times;serif" w:hAnsi="Times New Roman;Times;serif"/>
          <w:sz w:val="20"/>
        </w:rPr>
        <w:t>Scheduled Trading</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Day immediately preceding the Maturity Date, the 20 consecutive Trading Day period beginning on, and including, the third Trading Day immediately succeeding such Conversion Date; (ii) if the relevant Conversion Date occurs on or after the date of the Company’s issuance of a Redemption Notice with respect to the Notes pursuant to Article 16 and prior to the close of business on the second Scheduled Trading Day prior to the relevant Redemption Date, the 20 consecutive Trading Days beginning on, and including, the 21</w:t>
      </w:r>
      <w:r>
        <w:rPr>
          <w:rFonts w:ascii="Times New Roman;Times;serif" w:hAnsi="Times New Roman;Times;serif"/>
          <w:sz w:val="15"/>
        </w:rPr>
        <w:t>st</w:t>
      </w:r>
      <w:r>
        <w:rPr>
          <w:rFonts w:ascii="Times New Roman;Times;serif" w:hAnsi="Times New Roman;Times;serif"/>
          <w:sz w:val="20"/>
        </w:rPr>
        <w:t xml:space="preserve"> Scheduled Trading Day immediately preceding such Redemption Date; and (iii) subject to clause (ii), if the relevant Conversion Date occurs on or after the 30</w:t>
      </w:r>
      <w:r>
        <w:rPr>
          <w:rFonts w:ascii="Times New Roman;Times;serif" w:hAnsi="Times New Roman;Times;serif"/>
          <w:sz w:val="15"/>
        </w:rPr>
        <w:t>th</w:t>
      </w:r>
      <w:r>
        <w:rPr>
          <w:rFonts w:ascii="Times New Roman;Times;serif" w:hAnsi="Times New Roman;Times;serif"/>
          <w:sz w:val="20"/>
        </w:rPr>
        <w:t xml:space="preserve"> Scheduled Trading Day immediately preceding the Maturity Date, the 20 consecutive Trading Days beginning on, and including, the 21</w:t>
      </w:r>
      <w:r>
        <w:rPr>
          <w:rFonts w:ascii="Times New Roman;Times;serif" w:hAnsi="Times New Roman;Times;serif"/>
          <w:sz w:val="15"/>
        </w:rPr>
        <w:t xml:space="preserve">st </w:t>
      </w:r>
      <w:r>
        <w:rPr>
          <w:rFonts w:ascii="Times New Roman;Times;serif" w:hAnsi="Times New Roman;Times;serif"/>
          <w:sz w:val="20"/>
        </w:rPr>
        <w:t>Scheduled Trading Day immediately preceding the Maturity Date.</w:t>
      </w:r>
    </w:p>
    <w:p>
      <w:pPr>
        <w:pStyle w:val="TextBody"/>
        <w:bidi w:val="0"/>
        <w:spacing w:before="0" w:after="240"/>
        <w:ind w:left="0" w:right="0" w:firstLine="720"/>
        <w:jc w:val="left"/>
        <w:rPr/>
      </w:pPr>
      <w:r>
        <w:rPr/>
        <w:t>“</w:t>
      </w:r>
      <w:r>
        <w:rPr>
          <w:rFonts w:ascii="Times New Roman;Times;serif" w:hAnsi="Times New Roman;Times;serif"/>
          <w:b/>
          <w:sz w:val="20"/>
        </w:rPr>
        <w:t>Offering Memorandum</w:t>
      </w:r>
      <w:r>
        <w:rPr>
          <w:rFonts w:ascii="Times New Roman;Times;serif" w:hAnsi="Times New Roman;Times;serif"/>
          <w:sz w:val="20"/>
        </w:rPr>
        <w:t>” means the preliminary offering memorandum dated September 18, 2023, as supplemented by the pricing term sheet dated September 19, 2023, relating to the offering and sale of the Notes.</w:t>
      </w:r>
    </w:p>
    <w:p>
      <w:pPr>
        <w:pStyle w:val="TextBody"/>
        <w:bidi w:val="0"/>
        <w:spacing w:before="0" w:after="240"/>
        <w:ind w:left="0" w:right="0" w:firstLine="720"/>
        <w:jc w:val="left"/>
        <w:rPr/>
      </w:pPr>
      <w:r>
        <w:rPr/>
        <w:t>“</w:t>
      </w:r>
      <w:r>
        <w:rPr>
          <w:rFonts w:ascii="Times New Roman;Times;serif" w:hAnsi="Times New Roman;Times;serif"/>
          <w:b/>
          <w:sz w:val="20"/>
        </w:rPr>
        <w:t>Officer</w:t>
      </w:r>
      <w:r>
        <w:rPr>
          <w:rFonts w:ascii="Times New Roman;Times;serif" w:hAnsi="Times New Roman;Times;serif"/>
          <w:sz w:val="20"/>
        </w:rPr>
        <w:t>” means, with respect to the Company, the President, the Chief Executive Officer, the Chief Financial Officer the Treasurer, the Secretary, any Executive or Senior Vice President or any Vice President (whether or not designated by a number or numbers or word or words added before or after the title “Vice President”).</w:t>
      </w:r>
    </w:p>
    <w:p>
      <w:pPr>
        <w:pStyle w:val="TextBody"/>
        <w:bidi w:val="0"/>
        <w:spacing w:before="0" w:after="240"/>
        <w:ind w:left="0" w:right="0" w:firstLine="720"/>
        <w:jc w:val="left"/>
        <w:rPr/>
      </w:pPr>
      <w:r>
        <w:rPr/>
        <w:t>“</w:t>
      </w:r>
      <w:r>
        <w:rPr>
          <w:rFonts w:ascii="Times New Roman;Times;serif" w:hAnsi="Times New Roman;Times;serif"/>
          <w:b/>
          <w:sz w:val="20"/>
        </w:rPr>
        <w:t>Officers’ Certificate</w:t>
      </w:r>
      <w:r>
        <w:rPr>
          <w:rFonts w:ascii="Times New Roman;Times;serif" w:hAnsi="Times New Roman;Times;serif"/>
          <w:sz w:val="20"/>
        </w:rPr>
        <w:t>,” when used with respect to the Company, means a certificate that is delivered to the Trustee and that is signed by (a) two Officers of the Company or (b) one Officer of the Company and one of any Assistant Treasurer, any Assistant Secretary or General Counsel or the Controller of the Company. Each such certificate shall include the statements provided for in Section 17.06 if and to the extent required by the provisions of such Section. One of the Officers giving an Officers’ Certificate pursuant to Section 4.09 shall be the principal executive, financial or accounting officer of the Company.</w:t>
      </w:r>
    </w:p>
    <w:p>
      <w:pPr>
        <w:pStyle w:val="TextBody"/>
        <w:bidi w:val="0"/>
        <w:spacing w:before="0" w:after="240"/>
        <w:ind w:left="0" w:right="0" w:firstLine="720"/>
        <w:jc w:val="left"/>
        <w:rPr/>
      </w:pPr>
      <w:r>
        <w:rPr/>
        <w:t>“</w:t>
      </w:r>
      <w:r>
        <w:rPr>
          <w:rFonts w:ascii="Times New Roman;Times;serif" w:hAnsi="Times New Roman;Times;serif"/>
          <w:b/>
          <w:sz w:val="20"/>
        </w:rPr>
        <w:t>open of business</w:t>
      </w:r>
      <w:r>
        <w:rPr>
          <w:rFonts w:ascii="Times New Roman;Times;serif" w:hAnsi="Times New Roman;Times;serif"/>
          <w:sz w:val="20"/>
        </w:rPr>
        <w:t>” means 9:00 a.m. (New York City time).</w:t>
      </w:r>
    </w:p>
    <w:p>
      <w:pPr>
        <w:pStyle w:val="TextBody"/>
        <w:bidi w:val="0"/>
        <w:spacing w:before="0" w:after="240"/>
        <w:ind w:left="0" w:right="0" w:firstLine="720"/>
        <w:jc w:val="left"/>
        <w:rPr/>
      </w:pPr>
      <w:r>
        <w:rPr/>
        <w:t>“</w:t>
      </w:r>
      <w:r>
        <w:rPr>
          <w:rFonts w:ascii="Times New Roman;Times;serif" w:hAnsi="Times New Roman;Times;serif"/>
          <w:b/>
          <w:sz w:val="20"/>
        </w:rPr>
        <w:t>Opinion of Counsel</w:t>
      </w:r>
      <w:r>
        <w:rPr>
          <w:rFonts w:ascii="Times New Roman;Times;serif" w:hAnsi="Times New Roman;Times;serif"/>
          <w:sz w:val="20"/>
        </w:rPr>
        <w:t>” means an opinion in writing signed by legal counsel and in a form reasonably acceptable to the Trustee, who may be counsel to the Company, or other counsel acceptable to the Trustee, that is delivered to the Trustee. Each such opinion shall include the statements provided for in Section 17.06 if and to the extent required by the provisions of such Section 17.06.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Optional Redemption</w:t>
      </w:r>
      <w:r>
        <w:rPr>
          <w:rFonts w:ascii="Times New Roman;Times;serif" w:hAnsi="Times New Roman;Times;serif"/>
          <w:sz w:val="20"/>
        </w:rPr>
        <w:t xml:space="preserve">” shall have the meaning specified in Section 16.02. </w:t>
      </w:r>
    </w:p>
    <w:p>
      <w:pPr>
        <w:pStyle w:val="TextBody"/>
        <w:bidi w:val="0"/>
        <w:spacing w:before="0" w:after="240"/>
        <w:ind w:left="0" w:right="0" w:firstLine="720"/>
        <w:jc w:val="left"/>
        <w:rPr/>
      </w:pPr>
      <w:r>
        <w:rPr/>
        <w:t>“</w:t>
      </w:r>
      <w:r>
        <w:rPr>
          <w:rFonts w:ascii="Times New Roman;Times;serif" w:hAnsi="Times New Roman;Times;serif"/>
          <w:b/>
          <w:sz w:val="20"/>
        </w:rPr>
        <w:t>Optional Redemption Date</w:t>
      </w:r>
      <w:r>
        <w:rPr>
          <w:rFonts w:ascii="Times New Roman;Times;serif" w:hAnsi="Times New Roman;Times;serif"/>
          <w:sz w:val="20"/>
        </w:rPr>
        <w:t xml:space="preserve">” shall have the meaning specified in Section 16.02(b). </w:t>
      </w:r>
    </w:p>
    <w:p>
      <w:pPr>
        <w:pStyle w:val="TextBody"/>
        <w:bidi w:val="0"/>
        <w:spacing w:before="0" w:after="240"/>
        <w:ind w:left="0" w:right="0" w:firstLine="720"/>
        <w:jc w:val="left"/>
        <w:rPr/>
      </w:pPr>
      <w:r>
        <w:rPr/>
        <w:t>“</w:t>
      </w:r>
      <w:r>
        <w:rPr>
          <w:rFonts w:ascii="Times New Roman;Times;serif" w:hAnsi="Times New Roman;Times;serif"/>
          <w:b/>
          <w:sz w:val="20"/>
        </w:rPr>
        <w:t>Optional Redemption Notice</w:t>
      </w:r>
      <w:r>
        <w:rPr>
          <w:rFonts w:ascii="Times New Roman;Times;serif" w:hAnsi="Times New Roman;Times;serif"/>
          <w:sz w:val="20"/>
        </w:rPr>
        <w:t xml:space="preserve">” shall have the meaning specified in Section 16.02(b). </w:t>
      </w:r>
    </w:p>
    <w:p>
      <w:pPr>
        <w:pStyle w:val="TextBody"/>
        <w:bidi w:val="0"/>
        <w:spacing w:before="0" w:after="240"/>
        <w:ind w:left="0" w:right="0" w:firstLine="720"/>
        <w:jc w:val="left"/>
        <w:rPr/>
      </w:pPr>
      <w:r>
        <w:rPr/>
        <w:t>“</w:t>
      </w:r>
      <w:r>
        <w:rPr>
          <w:rFonts w:ascii="Times New Roman;Times;serif" w:hAnsi="Times New Roman;Times;serif"/>
          <w:b/>
          <w:sz w:val="20"/>
        </w:rPr>
        <w:t>Optional Redemption Price</w:t>
      </w:r>
      <w:r>
        <w:rPr>
          <w:rFonts w:ascii="Times New Roman;Times;serif" w:hAnsi="Times New Roman;Times;serif"/>
          <w:sz w:val="20"/>
        </w:rPr>
        <w:t>” shall have the meaning specified in Section 16.02(b).</w:t>
      </w:r>
    </w:p>
    <w:p>
      <w:pPr>
        <w:pStyle w:val="TextBody"/>
        <w:bidi w:val="0"/>
        <w:spacing w:before="0" w:after="240"/>
        <w:ind w:left="0" w:right="0" w:firstLine="720"/>
        <w:jc w:val="left"/>
        <w:rPr/>
      </w:pPr>
      <w:r>
        <w:rPr/>
        <w:t>“</w:t>
      </w:r>
      <w:r>
        <w:rPr>
          <w:rFonts w:ascii="Times New Roman;Times;serif" w:hAnsi="Times New Roman;Times;serif"/>
          <w:b/>
          <w:sz w:val="20"/>
        </w:rPr>
        <w:t>Ordinary Shares</w:t>
      </w:r>
      <w:r>
        <w:rPr>
          <w:rFonts w:ascii="Times New Roman;Times;serif" w:hAnsi="Times New Roman;Times;serif"/>
          <w:sz w:val="20"/>
        </w:rPr>
        <w:t>” means Class A ordinary shares of the Company, par value US$0.00025 per share, at the date of this Indenture, subject to Section 14.07.</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r>
        <w:rPr>
          <w:rFonts w:ascii="Times New Roman;Times;serif" w:hAnsi="Times New Roman;Times;serif"/>
          <w:b/>
          <w:sz w:val="20"/>
        </w:rPr>
        <w:t>outstanding</w:t>
      </w:r>
      <w:r>
        <w:rPr>
          <w:rFonts w:ascii="Times New Roman;Times;serif" w:hAnsi="Times New Roman;Times;serif"/>
          <w:sz w:val="20"/>
        </w:rPr>
        <w:t>,” when used with reference to Notes, shall, subject to the provisions of Section 8.04, mean, as of any particular time, all Notes authenticated and delivered by the Trustee under this Indenture, except: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Notes theretofore canceled by the Trustee or accepted by the Trustee for cancellation;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Notes, or portions thereof, that have become due and payable and in respect of which monies in the necessary amount shall have been deposited with the Trustee or with any Paying Agent (other than the Company) or shall have been set aside and segregated in trust by the Company (if the Company shall act as its own Paying Agent);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Notes that have been paid pursuant to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Notes converted pursuant to Article 14 and required to be cancelled pursuant to Section 2.08;</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Notes redeemed pursuant to Article 16;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Notes repurchased by the Company pursuant to the third sentence of Section 2.10.</w:t>
      </w:r>
    </w:p>
    <w:p>
      <w:pPr>
        <w:pStyle w:val="TextBody"/>
        <w:bidi w:val="0"/>
        <w:spacing w:before="0" w:after="240"/>
        <w:ind w:left="0" w:right="0" w:firstLine="720"/>
        <w:jc w:val="left"/>
        <w:rPr/>
      </w:pPr>
      <w:r>
        <w:rPr/>
        <w:t>“</w:t>
      </w:r>
      <w:r>
        <w:rPr>
          <w:rFonts w:ascii="Times New Roman;Times;serif" w:hAnsi="Times New Roman;Times;serif"/>
          <w:b/>
          <w:sz w:val="20"/>
        </w:rPr>
        <w:t>Paying Agent</w:t>
      </w:r>
      <w:r>
        <w:rPr>
          <w:rFonts w:ascii="Times New Roman;Times;serif" w:hAnsi="Times New Roman;Times;serif"/>
          <w:sz w:val="20"/>
        </w:rPr>
        <w:t>” shall have the meaning specified in Section 4.02.</w:t>
      </w:r>
    </w:p>
    <w:p>
      <w:pPr>
        <w:pStyle w:val="TextBody"/>
        <w:bidi w:val="0"/>
        <w:spacing w:before="0" w:after="240"/>
        <w:ind w:left="0" w:right="0" w:firstLine="720"/>
        <w:jc w:val="left"/>
        <w:rPr/>
      </w:pPr>
      <w:r>
        <w:rPr/>
        <w:t>“</w:t>
      </w:r>
      <w:r>
        <w:rPr>
          <w:rFonts w:ascii="Times New Roman;Times;serif" w:hAnsi="Times New Roman;Times;serif"/>
          <w:b/>
          <w:sz w:val="20"/>
        </w:rPr>
        <w:t>Paying Agent Office</w:t>
      </w:r>
      <w:r>
        <w:rPr>
          <w:rFonts w:ascii="Times New Roman;Times;serif" w:hAnsi="Times New Roman;Times;serif"/>
          <w:sz w:val="20"/>
        </w:rPr>
        <w:t>” means the designated office of the Paying Agent at which at any time this Indenture shall be administered, which office at the date hereof is located at located at 60 Wall Street, 24</w:t>
      </w:r>
      <w:r>
        <w:rPr>
          <w:rFonts w:ascii="Times New Roman;Times;serif" w:hAnsi="Times New Roman;Times;serif"/>
          <w:sz w:val="15"/>
        </w:rPr>
        <w:t>th</w:t>
      </w:r>
      <w:r>
        <w:rPr>
          <w:rFonts w:ascii="Times New Roman;Times;serif" w:hAnsi="Times New Roman;Times;serif"/>
          <w:sz w:val="20"/>
        </w:rPr>
        <w:t xml:space="preserve"> Floor, Mail Stop: NYC60-2405, New York, New York, 10005, Attention: Trust &amp; Agency Services, Corporates Team – NIO Inc. Facsimile: (732) 578-4635, or such other address as the Paying Agent may designate from time to time by notice to the Holders and the Company, or the designated office of any successor paying agent (or such other address as such successor paying agent may designate from time to time by notice to the Holders and the Company).</w:t>
      </w:r>
    </w:p>
    <w:p>
      <w:pPr>
        <w:pStyle w:val="TextBody"/>
        <w:bidi w:val="0"/>
        <w:spacing w:before="0" w:after="240"/>
        <w:ind w:left="0" w:right="0" w:firstLine="720"/>
        <w:jc w:val="left"/>
        <w:rPr/>
      </w:pPr>
      <w:r>
        <w:rPr/>
        <w:t>“</w:t>
      </w:r>
      <w:r>
        <w:rPr>
          <w:rFonts w:ascii="Times New Roman;Times;serif" w:hAnsi="Times New Roman;Times;serif"/>
          <w:b/>
          <w:sz w:val="20"/>
        </w:rPr>
        <w:t>Permitted Exchange</w:t>
      </w:r>
      <w:r>
        <w:rPr>
          <w:rFonts w:ascii="Times New Roman;Times;serif" w:hAnsi="Times New Roman;Times;serif"/>
          <w:sz w:val="20"/>
        </w:rPr>
        <w:t>” means Singapore Exchange, Hong Kong Stock Exchange or London Stock Exchange (or any of their respective successors).</w:t>
      </w:r>
    </w:p>
    <w:p>
      <w:pPr>
        <w:pStyle w:val="TextBody"/>
        <w:bidi w:val="0"/>
        <w:spacing w:before="0" w:after="240"/>
        <w:ind w:left="0" w:right="0" w:firstLine="720"/>
        <w:jc w:val="left"/>
        <w:rPr/>
      </w:pPr>
      <w:r>
        <w:rPr/>
        <w:t>“</w:t>
      </w:r>
      <w:r>
        <w:rPr>
          <w:rFonts w:ascii="Times New Roman;Times;serif" w:hAnsi="Times New Roman;Times;serif"/>
          <w:b/>
          <w:sz w:val="20"/>
        </w:rPr>
        <w:t>Permitted Holder</w:t>
      </w:r>
      <w:r>
        <w:rPr>
          <w:rFonts w:ascii="Times New Roman;Times;serif" w:hAnsi="Times New Roman;Times;serif"/>
          <w:sz w:val="20"/>
        </w:rPr>
        <w:t>” means Mr. Bin Li, together with any other respective “person” and “group” subject to aggregation with respect to the Ordinary Shares (including Ordinary Shares held in the form of ADSs) with such person under Section 13(d) of the Exchange Act.</w:t>
      </w:r>
    </w:p>
    <w:p>
      <w:pPr>
        <w:pStyle w:val="TextBody"/>
        <w:bidi w:val="0"/>
        <w:spacing w:before="0" w:after="240"/>
        <w:ind w:left="0" w:right="0" w:firstLine="720"/>
        <w:jc w:val="left"/>
        <w:rPr/>
      </w:pPr>
      <w:r>
        <w:rPr/>
        <w:t>“</w:t>
      </w:r>
      <w:r>
        <w:rPr>
          <w:rFonts w:ascii="Times New Roman;Times;serif" w:hAnsi="Times New Roman;Times;serif"/>
          <w:b/>
          <w:sz w:val="20"/>
        </w:rPr>
        <w:t>Person</w:t>
      </w:r>
      <w:r>
        <w:rPr>
          <w:rFonts w:ascii="Times New Roman;Times;serif" w:hAnsi="Times New Roman;Times;serif"/>
          <w:sz w:val="20"/>
        </w:rPr>
        <w:t>” means an individual, a corporation, a limited liability company, an association, a partnership, a joint venture, a joint stock company, a trust, an unincorporated organization or a government or an agency or a political subdivision thereof.</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r>
        <w:rPr>
          <w:rFonts w:ascii="Times New Roman;Times;serif" w:hAnsi="Times New Roman;Times;serif"/>
          <w:b/>
          <w:sz w:val="20"/>
        </w:rPr>
        <w:t>Physical Notes</w:t>
      </w:r>
      <w:r>
        <w:rPr>
          <w:rFonts w:ascii="Times New Roman;Times;serif" w:hAnsi="Times New Roman;Times;serif"/>
          <w:sz w:val="20"/>
        </w:rPr>
        <w:t>” means permanent certificated Notes in registered form issued in denominations of US$1,000 principal amount and multiples thereof.</w:t>
      </w:r>
    </w:p>
    <w:p>
      <w:pPr>
        <w:pStyle w:val="TextBody"/>
        <w:bidi w:val="0"/>
        <w:spacing w:before="0" w:after="240"/>
        <w:ind w:left="0" w:right="0" w:firstLine="720"/>
        <w:jc w:val="left"/>
        <w:rPr/>
      </w:pPr>
      <w:r>
        <w:rPr/>
        <w:t>“</w:t>
      </w:r>
      <w:r>
        <w:rPr>
          <w:rFonts w:ascii="Times New Roman;Times;serif" w:hAnsi="Times New Roman;Times;serif"/>
          <w:b/>
          <w:sz w:val="20"/>
        </w:rPr>
        <w:t>Physical Settlement</w:t>
      </w:r>
      <w:r>
        <w:rPr>
          <w:rFonts w:ascii="Times New Roman;Times;serif" w:hAnsi="Times New Roman;Times;serif"/>
          <w:sz w:val="20"/>
        </w:rPr>
        <w:t>” shall have the meaning specified in Section 14.02(a).</w:t>
      </w:r>
    </w:p>
    <w:p>
      <w:pPr>
        <w:pStyle w:val="TextBody"/>
        <w:bidi w:val="0"/>
        <w:spacing w:before="0" w:after="240"/>
        <w:ind w:left="0" w:right="0" w:firstLine="720"/>
        <w:jc w:val="left"/>
        <w:rPr/>
      </w:pPr>
      <w:r>
        <w:rPr/>
        <w:t>“</w:t>
      </w:r>
      <w:r>
        <w:rPr>
          <w:rFonts w:ascii="Times New Roman;Times;serif" w:hAnsi="Times New Roman;Times;serif"/>
          <w:b/>
          <w:sz w:val="20"/>
        </w:rPr>
        <w:t>PRC</w:t>
      </w:r>
      <w:r>
        <w:rPr>
          <w:rFonts w:ascii="Times New Roman;Times;serif" w:hAnsi="Times New Roman;Times;serif"/>
          <w:sz w:val="20"/>
        </w:rPr>
        <w:t>” means the People’s Republic of China, excluding, for the purpose of this Indenture only, Taiwan, Hong Kong, and Macau.</w:t>
      </w:r>
    </w:p>
    <w:p>
      <w:pPr>
        <w:pStyle w:val="TextBody"/>
        <w:bidi w:val="0"/>
        <w:spacing w:before="0" w:after="240"/>
        <w:ind w:left="0" w:right="0" w:firstLine="720"/>
        <w:jc w:val="left"/>
        <w:rPr/>
      </w:pPr>
      <w:r>
        <w:rPr/>
        <w:t>“</w:t>
      </w:r>
      <w:r>
        <w:rPr>
          <w:rFonts w:ascii="Times New Roman;Times;serif" w:hAnsi="Times New Roman;Times;serif"/>
          <w:b/>
          <w:sz w:val="20"/>
        </w:rPr>
        <w:t>Predecessor Note</w:t>
      </w:r>
      <w:r>
        <w:rPr>
          <w:rFonts w:ascii="Times New Roman;Times;serif" w:hAnsi="Times New Roman;Times;serif"/>
          <w:sz w:val="20"/>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pStyle w:val="TextBody"/>
        <w:bidi w:val="0"/>
        <w:spacing w:before="0" w:after="240"/>
        <w:ind w:left="0" w:right="0" w:firstLine="720"/>
        <w:jc w:val="left"/>
        <w:rPr/>
      </w:pPr>
      <w:r>
        <w:rPr/>
        <w:t>“</w:t>
      </w:r>
      <w:r>
        <w:rPr>
          <w:rFonts w:ascii="Times New Roman;Times;serif" w:hAnsi="Times New Roman;Times;serif"/>
          <w:b/>
          <w:sz w:val="20"/>
        </w:rPr>
        <w:t>Procedures Letter</w:t>
      </w:r>
      <w:r>
        <w:rPr>
          <w:rFonts w:ascii="Times New Roman;Times;serif" w:hAnsi="Times New Roman;Times;serif"/>
          <w:sz w:val="20"/>
        </w:rPr>
        <w:t>” means the letter agreement dated as of September 22, 2023 between the Company and the ADS Depositary or, if amended or supplemented as provided therein, as so amended or supplemented.</w:t>
      </w:r>
    </w:p>
    <w:p>
      <w:pPr>
        <w:pStyle w:val="TextBody"/>
        <w:bidi w:val="0"/>
        <w:spacing w:before="0" w:after="240"/>
        <w:ind w:left="0" w:right="0" w:firstLine="720"/>
        <w:jc w:val="left"/>
        <w:rPr/>
      </w:pPr>
      <w:r>
        <w:rPr/>
        <w:t>“</w:t>
      </w:r>
      <w:r>
        <w:rPr>
          <w:rFonts w:ascii="Times New Roman;Times;serif" w:hAnsi="Times New Roman;Times;serif"/>
          <w:b/>
          <w:sz w:val="20"/>
        </w:rPr>
        <w:t>Purchase Agreement</w:t>
      </w:r>
      <w:r>
        <w:rPr>
          <w:rFonts w:ascii="Times New Roman;Times;serif" w:hAnsi="Times New Roman;Times;serif"/>
          <w:sz w:val="20"/>
        </w:rPr>
        <w:t>” means that certain Purchase Agreement, dated as of September 19, 2023, among the Company and the Initial Purchasers.</w:t>
      </w:r>
    </w:p>
    <w:p>
      <w:pPr>
        <w:pStyle w:val="TextBody"/>
        <w:bidi w:val="0"/>
        <w:spacing w:before="0" w:after="240"/>
        <w:ind w:left="0" w:right="0" w:firstLine="720"/>
        <w:jc w:val="left"/>
        <w:rPr/>
      </w:pPr>
      <w:r>
        <w:rPr/>
        <w:t>“</w:t>
      </w:r>
      <w:r>
        <w:rPr>
          <w:rFonts w:ascii="Times New Roman;Times;serif" w:hAnsi="Times New Roman;Times;serif"/>
          <w:b/>
          <w:sz w:val="20"/>
        </w:rPr>
        <w:t>Record Date</w:t>
      </w:r>
      <w:r>
        <w:rPr>
          <w:rFonts w:ascii="Times New Roman;Times;serif" w:hAnsi="Times New Roman;Times;serif"/>
          <w:sz w:val="20"/>
        </w:rPr>
        <w:t>” means, with respect to any dividend, distribution or other transaction or event in which the holders of the ADSs (or other applicable security) have the right to receive any cash, securities or other property or in which the ADSs (or other applicable security) are exchanged for or converted into any combination of cash, securities or other property, the date fixed for determination of holders of the ADSs (or other applicable security) entitled to receive such cash, securities or other property (whether such date is fixed by the Board of Directors, statute, contract or otherwise).</w:t>
      </w:r>
    </w:p>
    <w:p>
      <w:pPr>
        <w:pStyle w:val="TextBody"/>
        <w:bidi w:val="0"/>
        <w:spacing w:before="0" w:after="240"/>
        <w:ind w:left="0" w:right="0" w:firstLine="720"/>
        <w:jc w:val="left"/>
        <w:rPr/>
      </w:pPr>
      <w:r>
        <w:rPr/>
        <w:t>“</w:t>
      </w:r>
      <w:r>
        <w:rPr>
          <w:rFonts w:ascii="Times New Roman;Times;serif" w:hAnsi="Times New Roman;Times;serif"/>
          <w:b/>
          <w:sz w:val="20"/>
        </w:rPr>
        <w:t>Redemption Date</w:t>
      </w:r>
      <w:r>
        <w:rPr>
          <w:rFonts w:ascii="Times New Roman;Times;serif" w:hAnsi="Times New Roman;Times;serif"/>
          <w:sz w:val="20"/>
        </w:rPr>
        <w:t>” means the Tax Redemption Date, the Optional Redemption Date or the Cleanup Redemption Date, as the case may be.</w:t>
      </w:r>
    </w:p>
    <w:p>
      <w:pPr>
        <w:pStyle w:val="TextBody"/>
        <w:bidi w:val="0"/>
        <w:spacing w:before="0" w:after="240"/>
        <w:ind w:left="0" w:right="0" w:firstLine="720"/>
        <w:jc w:val="left"/>
        <w:rPr/>
      </w:pPr>
      <w:r>
        <w:rPr/>
        <w:t>“</w:t>
      </w:r>
      <w:r>
        <w:rPr>
          <w:rFonts w:ascii="Times New Roman;Times;serif" w:hAnsi="Times New Roman;Times;serif"/>
          <w:b/>
          <w:sz w:val="20"/>
        </w:rPr>
        <w:t>Redemption Notice</w:t>
      </w:r>
      <w:r>
        <w:rPr>
          <w:rFonts w:ascii="Times New Roman;Times;serif" w:hAnsi="Times New Roman;Times;serif"/>
          <w:sz w:val="20"/>
        </w:rPr>
        <w:t>” means a Tax Redemption Notice, an Optional Redemption Notice, or a Cleanup Redemption Notice, as the context requires.</w:t>
      </w:r>
    </w:p>
    <w:p>
      <w:pPr>
        <w:pStyle w:val="TextBody"/>
        <w:bidi w:val="0"/>
        <w:spacing w:before="0" w:after="240"/>
        <w:ind w:left="0" w:right="0" w:firstLine="720"/>
        <w:jc w:val="left"/>
        <w:rPr/>
      </w:pPr>
      <w:r>
        <w:rPr/>
        <w:t>“</w:t>
      </w:r>
      <w:r>
        <w:rPr>
          <w:rFonts w:ascii="Times New Roman;Times;serif" w:hAnsi="Times New Roman;Times;serif"/>
          <w:b/>
          <w:sz w:val="20"/>
        </w:rPr>
        <w:t>Redemption Price</w:t>
      </w:r>
      <w:r>
        <w:rPr>
          <w:rFonts w:ascii="Times New Roman;Times;serif" w:hAnsi="Times New Roman;Times;serif"/>
          <w:sz w:val="20"/>
        </w:rPr>
        <w:t>” means the Tax Redemption Price, the Optional Redemption Price or the Cleanup Redemption Price, as the context requires.</w:t>
      </w:r>
    </w:p>
    <w:p>
      <w:pPr>
        <w:pStyle w:val="TextBody"/>
        <w:bidi w:val="0"/>
        <w:spacing w:before="0" w:after="240"/>
        <w:ind w:left="0" w:right="0" w:firstLine="720"/>
        <w:jc w:val="left"/>
        <w:rPr/>
      </w:pPr>
      <w:r>
        <w:rPr/>
        <w:t>“</w:t>
      </w:r>
      <w:r>
        <w:rPr>
          <w:rFonts w:ascii="Times New Roman;Times;serif" w:hAnsi="Times New Roman;Times;serif"/>
          <w:b/>
          <w:sz w:val="20"/>
        </w:rPr>
        <w:t>Redemption Reference Date</w:t>
      </w:r>
      <w:r>
        <w:rPr>
          <w:rFonts w:ascii="Times New Roman;Times;serif" w:hAnsi="Times New Roman;Times;serif"/>
          <w:sz w:val="20"/>
        </w:rPr>
        <w:t xml:space="preserve">” shall have the meaning specified in Section 14.03(g). </w:t>
      </w:r>
    </w:p>
    <w:p>
      <w:pPr>
        <w:pStyle w:val="TextBody"/>
        <w:bidi w:val="0"/>
        <w:spacing w:before="0" w:after="240"/>
        <w:ind w:left="0" w:right="0" w:firstLine="720"/>
        <w:jc w:val="left"/>
        <w:rPr/>
      </w:pPr>
      <w:r>
        <w:rPr/>
        <w:t>“</w:t>
      </w:r>
      <w:r>
        <w:rPr>
          <w:rFonts w:ascii="Times New Roman;Times;serif" w:hAnsi="Times New Roman;Times;serif"/>
          <w:b/>
          <w:sz w:val="20"/>
        </w:rPr>
        <w:t>Redemption Reference Price</w:t>
      </w:r>
      <w:r>
        <w:rPr>
          <w:rFonts w:ascii="Times New Roman;Times;serif" w:hAnsi="Times New Roman;Times;serif"/>
          <w:sz w:val="20"/>
        </w:rPr>
        <w:t xml:space="preserve">” shall have the meaning specified in Section 14.03(g). </w:t>
      </w:r>
    </w:p>
    <w:p>
      <w:pPr>
        <w:pStyle w:val="TextBody"/>
        <w:bidi w:val="0"/>
        <w:spacing w:before="0" w:after="240"/>
        <w:ind w:left="0" w:right="0" w:firstLine="720"/>
        <w:jc w:val="left"/>
        <w:rPr/>
      </w:pPr>
      <w:r>
        <w:rPr/>
        <w:t>“</w:t>
      </w:r>
      <w:r>
        <w:rPr>
          <w:rFonts w:ascii="Times New Roman;Times;serif" w:hAnsi="Times New Roman;Times;serif"/>
          <w:b/>
          <w:sz w:val="20"/>
        </w:rPr>
        <w:t>Reference Date</w:t>
      </w:r>
      <w:r>
        <w:rPr>
          <w:rFonts w:ascii="Times New Roman;Times;serif" w:hAnsi="Times New Roman;Times;serif"/>
          <w:sz w:val="20"/>
        </w:rPr>
        <w:t>” shall have the meaning specified in Section 10.03.</w:t>
      </w:r>
    </w:p>
    <w:p>
      <w:pPr>
        <w:pStyle w:val="TextBody"/>
        <w:bidi w:val="0"/>
        <w:spacing w:before="0" w:after="240"/>
        <w:ind w:left="0" w:right="0" w:firstLine="720"/>
        <w:jc w:val="left"/>
        <w:rPr/>
      </w:pPr>
      <w:r>
        <w:rPr/>
        <w:t>“</w:t>
      </w:r>
      <w:r>
        <w:rPr>
          <w:rFonts w:ascii="Times New Roman;Times;serif" w:hAnsi="Times New Roman;Times;serif"/>
          <w:b/>
          <w:sz w:val="20"/>
        </w:rPr>
        <w:t>Reference Property</w:t>
      </w:r>
      <w:r>
        <w:rPr>
          <w:rFonts w:ascii="Times New Roman;Times;serif" w:hAnsi="Times New Roman;Times;serif"/>
          <w:sz w:val="20"/>
        </w:rPr>
        <w:t>” shall have the meaning specified in Section 14.07(a).</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r>
        <w:rPr>
          <w:rFonts w:ascii="Times New Roman;Times;serif" w:hAnsi="Times New Roman;Times;serif"/>
          <w:b/>
          <w:sz w:val="20"/>
        </w:rPr>
        <w:t>Regular Record Date</w:t>
      </w:r>
      <w:r>
        <w:rPr>
          <w:rFonts w:ascii="Times New Roman;Times;serif" w:hAnsi="Times New Roman;Times;serif"/>
          <w:sz w:val="20"/>
        </w:rPr>
        <w:t>” with respect to any Interest Payment Date, shall mean the April 1 or October 1 (whether or not such day is a Business Day) immediately preceding the applicable April 15 or October 15 Interest Payment Date, respectively.</w:t>
      </w:r>
    </w:p>
    <w:p>
      <w:pPr>
        <w:pStyle w:val="TextBody"/>
        <w:bidi w:val="0"/>
        <w:spacing w:before="0" w:after="240"/>
        <w:ind w:left="0" w:right="0" w:firstLine="720"/>
        <w:jc w:val="left"/>
        <w:rPr/>
      </w:pPr>
      <w:r>
        <w:rPr/>
        <w:t>“</w:t>
      </w:r>
      <w:r>
        <w:rPr>
          <w:rFonts w:ascii="Times New Roman;Times;serif" w:hAnsi="Times New Roman;Times;serif"/>
          <w:b/>
          <w:sz w:val="20"/>
        </w:rPr>
        <w:t>Relevant Exchange</w:t>
      </w:r>
      <w:r>
        <w:rPr>
          <w:rFonts w:ascii="Times New Roman;Times;serif" w:hAnsi="Times New Roman;Times;serif"/>
          <w:sz w:val="20"/>
        </w:rPr>
        <w:t xml:space="preserve">” shall have the meaning specified in Section 10.03. </w:t>
      </w:r>
    </w:p>
    <w:p>
      <w:pPr>
        <w:pStyle w:val="TextBody"/>
        <w:bidi w:val="0"/>
        <w:spacing w:before="0" w:after="240"/>
        <w:ind w:left="0" w:right="0" w:firstLine="720"/>
        <w:jc w:val="left"/>
        <w:rPr/>
      </w:pPr>
      <w:r>
        <w:rPr/>
        <w:t>“</w:t>
      </w:r>
      <w:r>
        <w:rPr>
          <w:rFonts w:ascii="Times New Roman;Times;serif" w:hAnsi="Times New Roman;Times;serif"/>
          <w:b/>
          <w:sz w:val="20"/>
        </w:rPr>
        <w:t>Relevant Jurisdiction</w:t>
      </w:r>
      <w:r>
        <w:rPr>
          <w:rFonts w:ascii="Times New Roman;Times;serif" w:hAnsi="Times New Roman;Times;serif"/>
          <w:sz w:val="20"/>
        </w:rPr>
        <w:t>” shall have the meaning specified in Section 4.07(a).</w:t>
      </w:r>
    </w:p>
    <w:p>
      <w:pPr>
        <w:pStyle w:val="TextBody"/>
        <w:bidi w:val="0"/>
        <w:spacing w:before="0" w:after="240"/>
        <w:ind w:left="0" w:right="0" w:firstLine="720"/>
        <w:jc w:val="left"/>
        <w:rPr/>
      </w:pPr>
      <w:r>
        <w:rPr/>
        <w:t>“</w:t>
      </w:r>
      <w:r>
        <w:rPr>
          <w:rFonts w:ascii="Times New Roman;Times;serif" w:hAnsi="Times New Roman;Times;serif"/>
          <w:b/>
          <w:sz w:val="20"/>
        </w:rPr>
        <w:t>Relevant Taxing Jurisdiction</w:t>
      </w:r>
      <w:r>
        <w:rPr>
          <w:rFonts w:ascii="Times New Roman;Times;serif" w:hAnsi="Times New Roman;Times;serif"/>
          <w:sz w:val="20"/>
        </w:rPr>
        <w:t xml:space="preserve">” shall have the meaning specified in Section 4.07(a). </w:t>
      </w:r>
    </w:p>
    <w:p>
      <w:pPr>
        <w:pStyle w:val="TextBody"/>
        <w:bidi w:val="0"/>
        <w:spacing w:before="0" w:after="240"/>
        <w:ind w:left="0" w:right="0" w:firstLine="720"/>
        <w:jc w:val="left"/>
        <w:rPr/>
      </w:pPr>
      <w:r>
        <w:rPr/>
        <w:t>“</w:t>
      </w:r>
      <w:r>
        <w:rPr>
          <w:rFonts w:ascii="Times New Roman;Times;serif" w:hAnsi="Times New Roman;Times;serif"/>
          <w:b/>
          <w:sz w:val="20"/>
        </w:rPr>
        <w:t>Repurchase Date</w:t>
      </w:r>
      <w:r>
        <w:rPr>
          <w:rFonts w:ascii="Times New Roman;Times;serif" w:hAnsi="Times New Roman;Times;serif"/>
          <w:sz w:val="20"/>
        </w:rPr>
        <w:t xml:space="preserve">” shall have the meaning specified in Section 15.01(a). </w:t>
      </w:r>
    </w:p>
    <w:p>
      <w:pPr>
        <w:pStyle w:val="TextBody"/>
        <w:bidi w:val="0"/>
        <w:spacing w:before="0" w:after="240"/>
        <w:ind w:left="0" w:right="0" w:firstLine="720"/>
        <w:jc w:val="left"/>
        <w:rPr/>
      </w:pPr>
      <w:r>
        <w:rPr/>
        <w:t>“</w:t>
      </w:r>
      <w:r>
        <w:rPr>
          <w:rFonts w:ascii="Times New Roman;Times;serif" w:hAnsi="Times New Roman;Times;serif"/>
          <w:b/>
          <w:sz w:val="20"/>
        </w:rPr>
        <w:t>Repurchase Expiration Time</w:t>
      </w:r>
      <w:r>
        <w:rPr>
          <w:rFonts w:ascii="Times New Roman;Times;serif" w:hAnsi="Times New Roman;Times;serif"/>
          <w:sz w:val="20"/>
        </w:rPr>
        <w:t xml:space="preserve">” shall have the meaning specified in Section 15.01(a). </w:t>
      </w:r>
    </w:p>
    <w:p>
      <w:pPr>
        <w:pStyle w:val="TextBody"/>
        <w:bidi w:val="0"/>
        <w:spacing w:before="0" w:after="240"/>
        <w:ind w:left="0" w:right="0" w:firstLine="720"/>
        <w:jc w:val="left"/>
        <w:rPr/>
      </w:pPr>
      <w:r>
        <w:rPr/>
        <w:t>“</w:t>
      </w:r>
      <w:r>
        <w:rPr>
          <w:rFonts w:ascii="Times New Roman;Times;serif" w:hAnsi="Times New Roman;Times;serif"/>
          <w:b/>
          <w:sz w:val="20"/>
        </w:rPr>
        <w:t>Repurchase Notice</w:t>
      </w:r>
      <w:r>
        <w:rPr>
          <w:rFonts w:ascii="Times New Roman;Times;serif" w:hAnsi="Times New Roman;Times;serif"/>
          <w:sz w:val="20"/>
        </w:rPr>
        <w:t xml:space="preserve">” shall have the meaning specified in Section 15.01(a). </w:t>
      </w:r>
    </w:p>
    <w:p>
      <w:pPr>
        <w:pStyle w:val="TextBody"/>
        <w:bidi w:val="0"/>
        <w:spacing w:before="0" w:after="240"/>
        <w:ind w:left="0" w:right="0" w:firstLine="720"/>
        <w:jc w:val="left"/>
        <w:rPr/>
      </w:pPr>
      <w:r>
        <w:rPr/>
        <w:t>“</w:t>
      </w:r>
      <w:r>
        <w:rPr>
          <w:rFonts w:ascii="Times New Roman;Times;serif" w:hAnsi="Times New Roman;Times;serif"/>
          <w:b/>
          <w:sz w:val="20"/>
        </w:rPr>
        <w:t>Repurchase Price</w:t>
      </w:r>
      <w:r>
        <w:rPr>
          <w:rFonts w:ascii="Times New Roman;Times;serif" w:hAnsi="Times New Roman;Times;serif"/>
          <w:sz w:val="20"/>
        </w:rPr>
        <w:t>” shall have the meaning specified in Section 15.01(a).</w:t>
      </w:r>
    </w:p>
    <w:p>
      <w:pPr>
        <w:pStyle w:val="TextBody"/>
        <w:bidi w:val="0"/>
        <w:spacing w:before="0" w:after="240"/>
        <w:ind w:left="0" w:right="0" w:firstLine="720"/>
        <w:jc w:val="left"/>
        <w:rPr/>
      </w:pPr>
      <w:r>
        <w:rPr/>
        <w:t>“</w:t>
      </w:r>
      <w:r>
        <w:rPr>
          <w:rFonts w:ascii="Times New Roman;Times;serif" w:hAnsi="Times New Roman;Times;serif"/>
          <w:b/>
          <w:sz w:val="20"/>
        </w:rPr>
        <w:t>Resale Restriction Termination Date</w:t>
      </w:r>
      <w:r>
        <w:rPr>
          <w:rFonts w:ascii="Times New Roman;Times;serif" w:hAnsi="Times New Roman;Times;serif"/>
          <w:sz w:val="20"/>
        </w:rPr>
        <w:t>” shall have the meaning specified in Section 2.05(c).</w:t>
      </w:r>
    </w:p>
    <w:p>
      <w:pPr>
        <w:pStyle w:val="TextBody"/>
        <w:bidi w:val="0"/>
        <w:spacing w:before="0" w:after="240"/>
        <w:ind w:left="0" w:right="0" w:firstLine="720"/>
        <w:jc w:val="left"/>
        <w:rPr/>
      </w:pPr>
      <w:r>
        <w:rPr/>
        <w:t>“</w:t>
      </w:r>
      <w:r>
        <w:rPr>
          <w:rFonts w:ascii="Times New Roman;Times;serif" w:hAnsi="Times New Roman;Times;serif"/>
          <w:b/>
          <w:sz w:val="20"/>
        </w:rPr>
        <w:t>Responsible Officer</w:t>
      </w:r>
      <w:r>
        <w:rPr>
          <w:rFonts w:ascii="Times New Roman;Times;serif" w:hAnsi="Times New Roman;Times;serif"/>
          <w:sz w:val="20"/>
        </w:rPr>
        <w:t>” means, when used with respect to the Trustee, any officer within the Corporate Trust Office of the Trustee or any other officer of the Trustee to whom any corporate trust matter relating to this Indenture is referred because of such Person’s knowledge of and familiarity with the particular subject and, in each case, who shall have direct responsibility for the administration of this Indenture.</w:t>
      </w:r>
    </w:p>
    <w:p>
      <w:pPr>
        <w:pStyle w:val="TextBody"/>
        <w:bidi w:val="0"/>
        <w:spacing w:before="0" w:after="240"/>
        <w:ind w:left="0" w:right="0" w:firstLine="720"/>
        <w:jc w:val="left"/>
        <w:rPr/>
      </w:pPr>
      <w:r>
        <w:rPr/>
        <w:t>“</w:t>
      </w:r>
      <w:r>
        <w:rPr>
          <w:rFonts w:ascii="Times New Roman;Times;serif" w:hAnsi="Times New Roman;Times;serif"/>
          <w:b/>
          <w:sz w:val="20"/>
        </w:rPr>
        <w:t>Restricted Deposit Agreement</w:t>
      </w:r>
      <w:r>
        <w:rPr>
          <w:rFonts w:ascii="Times New Roman;Times;serif" w:hAnsi="Times New Roman;Times;serif"/>
          <w:sz w:val="20"/>
        </w:rPr>
        <w:t>” means the deposit agreement for restricted securities dated February 4, 2019 by and among the Company, the ADS Depositary and the holders and beneficial owners of the restricted ADSs delivered thereunder or, if amended or supplemented as provided therein, as so amended or supplemented.</w:t>
      </w:r>
    </w:p>
    <w:p>
      <w:pPr>
        <w:pStyle w:val="TextBody"/>
        <w:bidi w:val="0"/>
        <w:spacing w:before="0" w:after="240"/>
        <w:ind w:left="0" w:right="0" w:firstLine="720"/>
        <w:jc w:val="left"/>
        <w:rPr/>
      </w:pPr>
      <w:r>
        <w:rPr/>
        <w:t>“</w:t>
      </w:r>
      <w:r>
        <w:rPr>
          <w:rFonts w:ascii="Times New Roman;Times;serif" w:hAnsi="Times New Roman;Times;serif"/>
          <w:b/>
          <w:sz w:val="20"/>
        </w:rPr>
        <w:t>Restricted Securities</w:t>
      </w:r>
      <w:r>
        <w:rPr>
          <w:rFonts w:ascii="Times New Roman;Times;serif" w:hAnsi="Times New Roman;Times;serif"/>
          <w:sz w:val="20"/>
        </w:rPr>
        <w:t xml:space="preserve">” shall have the meaning specified in Section 2.05(c). </w:t>
      </w:r>
    </w:p>
    <w:p>
      <w:pPr>
        <w:pStyle w:val="TextBody"/>
        <w:bidi w:val="0"/>
        <w:spacing w:before="0" w:after="240"/>
        <w:ind w:left="0" w:right="0" w:firstLine="720"/>
        <w:jc w:val="left"/>
        <w:rPr/>
      </w:pPr>
      <w:r>
        <w:rPr/>
        <w:t>“</w:t>
      </w:r>
      <w:r>
        <w:rPr>
          <w:rFonts w:ascii="Times New Roman;Times;serif" w:hAnsi="Times New Roman;Times;serif"/>
          <w:b/>
          <w:sz w:val="20"/>
        </w:rPr>
        <w:t>Rule 144</w:t>
      </w:r>
      <w:r>
        <w:rPr>
          <w:rFonts w:ascii="Times New Roman;Times;serif" w:hAnsi="Times New Roman;Times;serif"/>
          <w:sz w:val="20"/>
        </w:rPr>
        <w:t>” means Rule 144 as promulgated under the Securities Act.</w:t>
      </w:r>
    </w:p>
    <w:p>
      <w:pPr>
        <w:pStyle w:val="TextBody"/>
        <w:bidi w:val="0"/>
        <w:spacing w:before="0" w:after="240"/>
        <w:ind w:left="0" w:right="0" w:firstLine="720"/>
        <w:jc w:val="left"/>
        <w:rPr/>
      </w:pPr>
      <w:r>
        <w:rPr/>
        <w:t>“</w:t>
      </w:r>
      <w:r>
        <w:rPr>
          <w:rFonts w:ascii="Times New Roman;Times;serif" w:hAnsi="Times New Roman;Times;serif"/>
          <w:b/>
          <w:sz w:val="20"/>
        </w:rPr>
        <w:t>Rule 144A</w:t>
      </w:r>
      <w:r>
        <w:rPr>
          <w:rFonts w:ascii="Times New Roman;Times;serif" w:hAnsi="Times New Roman;Times;serif"/>
          <w:sz w:val="20"/>
        </w:rPr>
        <w:t>” means Rule 144A as promulgated under the Securities Act.</w:t>
      </w:r>
    </w:p>
    <w:p>
      <w:pPr>
        <w:pStyle w:val="TextBody"/>
        <w:bidi w:val="0"/>
        <w:spacing w:before="0" w:after="240"/>
        <w:ind w:left="0" w:right="0" w:firstLine="720"/>
        <w:jc w:val="left"/>
        <w:rPr/>
      </w:pPr>
      <w:r>
        <w:rPr/>
        <w:t>“</w:t>
      </w:r>
      <w:r>
        <w:rPr>
          <w:rFonts w:ascii="Times New Roman;Times;serif" w:hAnsi="Times New Roman;Times;serif"/>
          <w:b/>
          <w:sz w:val="20"/>
        </w:rPr>
        <w:t>Scheduled Trading Day</w:t>
      </w:r>
      <w:r>
        <w:rPr>
          <w:rFonts w:ascii="Times New Roman;Times;serif" w:hAnsi="Times New Roman;Times;serif"/>
          <w:sz w:val="20"/>
        </w:rPr>
        <w:t>” means a day that is scheduled to be a Trading Day on the principal U.S. national or regional securities exchange or market on which the ADSs are listed or admitted for trading. If the ADSs are not so listed or admitted for trading,</w:t>
      </w:r>
    </w:p>
    <w:p>
      <w:pPr>
        <w:pStyle w:val="TextBody"/>
        <w:bidi w:val="0"/>
        <w:spacing w:before="0" w:after="240"/>
        <w:ind w:left="0" w:right="0" w:firstLine="720"/>
        <w:jc w:val="left"/>
        <w:rPr/>
      </w:pPr>
      <w:r>
        <w:rPr/>
        <w:t>“</w:t>
      </w:r>
      <w:r>
        <w:rPr>
          <w:rFonts w:ascii="Times New Roman;Times;serif" w:hAnsi="Times New Roman;Times;serif"/>
          <w:b/>
          <w:sz w:val="20"/>
        </w:rPr>
        <w:t>Scheduled Trading Day</w:t>
      </w:r>
      <w:r>
        <w:rPr>
          <w:rFonts w:ascii="Times New Roman;Times;serif" w:hAnsi="Times New Roman;Times;serif"/>
          <w:sz w:val="20"/>
        </w:rPr>
        <w:t>” means a Business Day.</w:t>
      </w:r>
    </w:p>
    <w:p>
      <w:pPr>
        <w:pStyle w:val="TextBody"/>
        <w:bidi w:val="0"/>
        <w:spacing w:before="0" w:after="240"/>
        <w:ind w:left="0" w:right="0" w:firstLine="720"/>
        <w:jc w:val="left"/>
        <w:rPr/>
      </w:pPr>
      <w:r>
        <w:rPr/>
        <w:t>“</w:t>
      </w:r>
      <w:r>
        <w:rPr>
          <w:rFonts w:ascii="Times New Roman;Times;serif" w:hAnsi="Times New Roman;Times;serif"/>
          <w:b/>
          <w:sz w:val="20"/>
        </w:rPr>
        <w:t>Securities Act</w:t>
      </w:r>
      <w:r>
        <w:rPr>
          <w:rFonts w:ascii="Times New Roman;Times;serif" w:hAnsi="Times New Roman;Times;serif"/>
          <w:sz w:val="20"/>
        </w:rPr>
        <w:t>” means the Securities Act of 1933, as amended, and the rules and regulations promulgated thereunder.</w:t>
      </w:r>
    </w:p>
    <w:p>
      <w:pPr>
        <w:pStyle w:val="TextBody"/>
        <w:bidi w:val="0"/>
        <w:spacing w:before="0" w:after="240"/>
        <w:ind w:left="0" w:right="0" w:firstLine="720"/>
        <w:jc w:val="left"/>
        <w:rPr/>
      </w:pPr>
      <w:r>
        <w:rPr/>
        <w:t>“</w:t>
      </w:r>
      <w:r>
        <w:rPr>
          <w:rFonts w:ascii="Times New Roman;Times;serif" w:hAnsi="Times New Roman;Times;serif"/>
          <w:b/>
          <w:sz w:val="20"/>
        </w:rPr>
        <w:t>Significant Subsidiary</w:t>
      </w:r>
      <w:r>
        <w:rPr>
          <w:rFonts w:ascii="Times New Roman;Times;serif" w:hAnsi="Times New Roman;Times;serif"/>
          <w:sz w:val="20"/>
        </w:rPr>
        <w:t>” means a Subsidiary of the Company that meets the definition of “significant subsidiary” in Article 1, Rule 1-02 of Regulation S-X under the Exchange Act.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Each of the Company’s Consolidated Affiliated Entities will be deemed to be a “subsidiary” for purposes of the definition of “significant subsidiary” in Article 1, Rule 1-02 of Regulation S-X.</w:t>
      </w:r>
    </w:p>
    <w:p>
      <w:pPr>
        <w:pStyle w:val="TextBody"/>
        <w:bidi w:val="0"/>
        <w:spacing w:before="0" w:after="240"/>
        <w:ind w:left="0" w:right="0" w:firstLine="720"/>
        <w:jc w:val="left"/>
        <w:rPr/>
      </w:pPr>
      <w:r>
        <w:rPr/>
        <w:t>“</w:t>
      </w:r>
      <w:r>
        <w:rPr>
          <w:rFonts w:ascii="Times New Roman;Times;serif" w:hAnsi="Times New Roman;Times;serif"/>
          <w:b/>
          <w:sz w:val="20"/>
        </w:rPr>
        <w:t>Settlement Amount</w:t>
      </w:r>
      <w:r>
        <w:rPr>
          <w:rFonts w:ascii="Times New Roman;Times;serif" w:hAnsi="Times New Roman;Times;serif"/>
          <w:sz w:val="20"/>
        </w:rPr>
        <w:t>” has the meaning specified in Section 14.02(a)(v).</w:t>
      </w:r>
    </w:p>
    <w:p>
      <w:pPr>
        <w:pStyle w:val="TextBody"/>
        <w:bidi w:val="0"/>
        <w:spacing w:before="0" w:after="240"/>
        <w:ind w:left="0" w:right="0" w:firstLine="720"/>
        <w:jc w:val="left"/>
        <w:rPr/>
      </w:pPr>
      <w:r>
        <w:rPr/>
        <w:t>“</w:t>
      </w:r>
      <w:r>
        <w:rPr>
          <w:rFonts w:ascii="Times New Roman;Times;serif" w:hAnsi="Times New Roman;Times;serif"/>
          <w:b/>
          <w:sz w:val="20"/>
        </w:rPr>
        <w:t>Settlement Method</w:t>
      </w:r>
      <w:r>
        <w:rPr>
          <w:rFonts w:ascii="Times New Roman;Times;serif" w:hAnsi="Times New Roman;Times;serif"/>
          <w:sz w:val="20"/>
        </w:rPr>
        <w:t>” means, with respect to any conversion of Notes, Physical Settlement, Cash Settlement or Combination Settlement, as elected (or deemed to have been elected) by the Company.</w:t>
      </w:r>
    </w:p>
    <w:p>
      <w:pPr>
        <w:pStyle w:val="TextBody"/>
        <w:bidi w:val="0"/>
        <w:spacing w:before="0" w:after="240"/>
        <w:ind w:left="0" w:right="0" w:firstLine="720"/>
        <w:jc w:val="left"/>
        <w:rPr/>
      </w:pPr>
      <w:r>
        <w:rPr/>
        <w:t>“</w:t>
      </w:r>
      <w:r>
        <w:rPr>
          <w:rFonts w:ascii="Times New Roman;Times;serif" w:hAnsi="Times New Roman;Times;serif"/>
          <w:b/>
          <w:sz w:val="20"/>
        </w:rPr>
        <w:t>Settlement Method Election Deadline</w:t>
      </w:r>
      <w:r>
        <w:rPr>
          <w:rFonts w:ascii="Times New Roman;Times;serif" w:hAnsi="Times New Roman;Times;serif"/>
          <w:sz w:val="20"/>
        </w:rPr>
        <w:t>” shall have the meaning specified in Section 14.02(a)(iii).</w:t>
      </w:r>
    </w:p>
    <w:p>
      <w:pPr>
        <w:pStyle w:val="TextBody"/>
        <w:bidi w:val="0"/>
        <w:spacing w:before="0" w:after="240"/>
        <w:ind w:left="0" w:right="0" w:firstLine="720"/>
        <w:jc w:val="left"/>
        <w:rPr/>
      </w:pPr>
      <w:r>
        <w:rPr/>
        <w:t>“</w:t>
      </w:r>
      <w:r>
        <w:rPr>
          <w:rFonts w:ascii="Times New Roman;Times;serif" w:hAnsi="Times New Roman;Times;serif"/>
          <w:b/>
          <w:sz w:val="20"/>
        </w:rPr>
        <w:t>Settlement Notice</w:t>
      </w:r>
      <w:r>
        <w:rPr>
          <w:rFonts w:ascii="Times New Roman;Times;serif" w:hAnsi="Times New Roman;Times;serif"/>
          <w:sz w:val="20"/>
        </w:rPr>
        <w:t>” has the meaning specified in Section 14.02(a)(iii).</w:t>
      </w:r>
    </w:p>
    <w:p>
      <w:pPr>
        <w:pStyle w:val="TextBody"/>
        <w:bidi w:val="0"/>
        <w:spacing w:before="0" w:after="240"/>
        <w:ind w:left="0" w:right="0" w:firstLine="720"/>
        <w:jc w:val="left"/>
        <w:rPr/>
      </w:pPr>
      <w:r>
        <w:rPr/>
        <w:t>“</w:t>
      </w:r>
      <w:r>
        <w:rPr>
          <w:rFonts w:ascii="Times New Roman;Times;serif" w:hAnsi="Times New Roman;Times;serif"/>
          <w:b/>
          <w:sz w:val="20"/>
        </w:rPr>
        <w:t>Singapore Exchange</w:t>
      </w:r>
      <w:r>
        <w:rPr>
          <w:rFonts w:ascii="Times New Roman;Times;serif" w:hAnsi="Times New Roman;Times;serif"/>
          <w:sz w:val="20"/>
        </w:rPr>
        <w:t>” means the Singapore Exchange Securities Trading Limited.</w:t>
      </w:r>
    </w:p>
    <w:p>
      <w:pPr>
        <w:pStyle w:val="TextBody"/>
        <w:bidi w:val="0"/>
        <w:spacing w:before="0" w:after="240"/>
        <w:ind w:left="0" w:right="0" w:firstLine="720"/>
        <w:jc w:val="left"/>
        <w:rPr/>
      </w:pPr>
      <w:r>
        <w:rPr/>
        <w:t>“</w:t>
      </w:r>
      <w:r>
        <w:rPr>
          <w:rFonts w:ascii="Times New Roman;Times;serif" w:hAnsi="Times New Roman;Times;serif"/>
          <w:b/>
          <w:sz w:val="20"/>
        </w:rPr>
        <w:t>Specified Dollar Amount</w:t>
      </w:r>
      <w:r>
        <w:rPr>
          <w:rFonts w:ascii="Times New Roman;Times;serif" w:hAnsi="Times New Roman;Times;serif"/>
          <w:sz w:val="20"/>
        </w:rPr>
        <w:t>” means the maximum cash amount per US$1,000 principal amount of Notes to be received upon conversion as specified in the Settlement Notice related to any converted Notes (or deemed specified pursuant to Section 14.02(a)(iii)).</w:t>
      </w:r>
    </w:p>
    <w:p>
      <w:pPr>
        <w:pStyle w:val="TextBody"/>
        <w:bidi w:val="0"/>
        <w:spacing w:before="0" w:after="240"/>
        <w:ind w:left="0" w:right="0" w:firstLine="720"/>
        <w:jc w:val="left"/>
        <w:rPr/>
      </w:pPr>
      <w:r>
        <w:rPr/>
        <w:t>“</w:t>
      </w:r>
      <w:r>
        <w:rPr>
          <w:rFonts w:ascii="Times New Roman;Times;serif" w:hAnsi="Times New Roman;Times;serif"/>
          <w:b/>
          <w:sz w:val="20"/>
        </w:rPr>
        <w:t>Spin-Off</w:t>
      </w:r>
      <w:r>
        <w:rPr>
          <w:rFonts w:ascii="Times New Roman;Times;serif" w:hAnsi="Times New Roman;Times;serif"/>
          <w:sz w:val="20"/>
        </w:rPr>
        <w:t>” shall have the meaning specified in Section 14.04(c).</w:t>
      </w:r>
    </w:p>
    <w:p>
      <w:pPr>
        <w:pStyle w:val="TextBody"/>
        <w:bidi w:val="0"/>
        <w:spacing w:before="0" w:after="240"/>
        <w:ind w:left="0" w:right="0" w:firstLine="720"/>
        <w:jc w:val="left"/>
        <w:rPr/>
      </w:pPr>
      <w:r>
        <w:rPr/>
        <w:t>“</w:t>
      </w:r>
      <w:r>
        <w:rPr>
          <w:rFonts w:ascii="Times New Roman;Times;serif" w:hAnsi="Times New Roman;Times;serif"/>
          <w:b/>
          <w:sz w:val="20"/>
        </w:rPr>
        <w:t>Subsidiary</w:t>
      </w:r>
      <w:r>
        <w:rPr>
          <w:rFonts w:ascii="Times New Roman;Times;serif" w:hAnsi="Times New Roman;Times;serif"/>
          <w:sz w:val="20"/>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before="0" w:after="240"/>
        <w:ind w:left="0" w:right="0" w:firstLine="720"/>
        <w:jc w:val="left"/>
        <w:rPr/>
      </w:pPr>
      <w:r>
        <w:rPr/>
        <w:t>“</w:t>
      </w:r>
      <w:r>
        <w:rPr>
          <w:rFonts w:ascii="Times New Roman;Times;serif" w:hAnsi="Times New Roman;Times;serif"/>
          <w:b/>
          <w:sz w:val="20"/>
        </w:rPr>
        <w:t>Successor Company</w:t>
      </w:r>
      <w:r>
        <w:rPr>
          <w:rFonts w:ascii="Times New Roman;Times;serif" w:hAnsi="Times New Roman;Times;serif"/>
          <w:sz w:val="20"/>
        </w:rPr>
        <w:t xml:space="preserve">” shall have the meaning specified in Section 11.01(a). </w:t>
      </w:r>
    </w:p>
    <w:p>
      <w:pPr>
        <w:pStyle w:val="TextBody"/>
        <w:bidi w:val="0"/>
        <w:spacing w:before="0" w:after="240"/>
        <w:ind w:left="0" w:right="0" w:firstLine="720"/>
        <w:jc w:val="left"/>
        <w:rPr/>
      </w:pPr>
      <w:r>
        <w:rPr/>
        <w:t>“</w:t>
      </w:r>
      <w:r>
        <w:rPr>
          <w:rFonts w:ascii="Times New Roman;Times;serif" w:hAnsi="Times New Roman;Times;serif"/>
          <w:b/>
          <w:sz w:val="20"/>
        </w:rPr>
        <w:t>Tax Redemption</w:t>
      </w:r>
      <w:r>
        <w:rPr>
          <w:rFonts w:ascii="Times New Roman;Times;serif" w:hAnsi="Times New Roman;Times;serif"/>
          <w:sz w:val="20"/>
        </w:rPr>
        <w:t>” shall have the meaning specified in Section 16.01.</w:t>
      </w:r>
    </w:p>
    <w:p>
      <w:pPr>
        <w:pStyle w:val="TextBody"/>
        <w:bidi w:val="0"/>
        <w:spacing w:before="0" w:after="240"/>
        <w:ind w:left="0" w:right="0" w:firstLine="720"/>
        <w:jc w:val="left"/>
        <w:rPr/>
      </w:pPr>
      <w:r>
        <w:rPr/>
        <w:t>“</w:t>
      </w:r>
      <w:r>
        <w:rPr>
          <w:rFonts w:ascii="Times New Roman;Times;serif" w:hAnsi="Times New Roman;Times;serif"/>
          <w:b/>
          <w:sz w:val="20"/>
        </w:rPr>
        <w:t>Tax Redemption Date</w:t>
      </w:r>
      <w:r>
        <w:rPr>
          <w:rFonts w:ascii="Times New Roman;Times;serif" w:hAnsi="Times New Roman;Times;serif"/>
          <w:sz w:val="20"/>
        </w:rPr>
        <w:t xml:space="preserve">” shall have the meaning specified in Section 16.01(b). </w:t>
      </w:r>
    </w:p>
    <w:p>
      <w:pPr>
        <w:pStyle w:val="TextBody"/>
        <w:bidi w:val="0"/>
        <w:spacing w:before="0" w:after="240"/>
        <w:ind w:left="0" w:right="0" w:firstLine="720"/>
        <w:jc w:val="left"/>
        <w:rPr/>
      </w:pPr>
      <w:r>
        <w:rPr/>
        <w:t>“</w:t>
      </w:r>
      <w:r>
        <w:rPr>
          <w:rFonts w:ascii="Times New Roman;Times;serif" w:hAnsi="Times New Roman;Times;serif"/>
          <w:b/>
          <w:sz w:val="20"/>
        </w:rPr>
        <w:t>Tax Redemption Notice</w:t>
      </w:r>
      <w:r>
        <w:rPr>
          <w:rFonts w:ascii="Times New Roman;Times;serif" w:hAnsi="Times New Roman;Times;serif"/>
          <w:sz w:val="20"/>
        </w:rPr>
        <w:t xml:space="preserve">” shall have the meaning specified in Section 16.01(b). </w:t>
      </w:r>
    </w:p>
    <w:p>
      <w:pPr>
        <w:pStyle w:val="TextBody"/>
        <w:bidi w:val="0"/>
        <w:spacing w:before="0" w:after="240"/>
        <w:ind w:left="0" w:right="0" w:firstLine="720"/>
        <w:jc w:val="left"/>
        <w:rPr/>
      </w:pPr>
      <w:r>
        <w:rPr/>
        <w:t>“</w:t>
      </w:r>
      <w:r>
        <w:rPr>
          <w:rFonts w:ascii="Times New Roman;Times;serif" w:hAnsi="Times New Roman;Times;serif"/>
          <w:b/>
          <w:sz w:val="20"/>
        </w:rPr>
        <w:t>Tax Redemption Price</w:t>
      </w:r>
      <w:r>
        <w:rPr>
          <w:rFonts w:ascii="Times New Roman;Times;serif" w:hAnsi="Times New Roman;Times;serif"/>
          <w:sz w:val="20"/>
        </w:rPr>
        <w:t>” shall have the meaning specified in Section 16.01(b).</w:t>
      </w:r>
    </w:p>
    <w:p>
      <w:pPr>
        <w:pStyle w:val="TextBody"/>
        <w:bidi w:val="0"/>
        <w:spacing w:before="0" w:after="240"/>
        <w:ind w:left="0" w:right="0" w:firstLine="720"/>
        <w:jc w:val="left"/>
        <w:rPr/>
      </w:pPr>
      <w:r>
        <w:rPr/>
        <w:t>“</w:t>
      </w:r>
      <w:r>
        <w:rPr>
          <w:rFonts w:ascii="Times New Roman;Times;serif" w:hAnsi="Times New Roman;Times;serif"/>
          <w:b/>
          <w:sz w:val="20"/>
        </w:rPr>
        <w:t xml:space="preserve">Tender/Exchange Offer Consideration” </w:t>
      </w:r>
      <w:r>
        <w:rPr>
          <w:rFonts w:ascii="Times New Roman;Times;serif" w:hAnsi="Times New Roman;Times;serif"/>
          <w:sz w:val="20"/>
        </w:rPr>
        <w:t>shall have the meaning specified in Section 14.04(e).</w:t>
      </w:r>
    </w:p>
    <w:p>
      <w:pPr>
        <w:pStyle w:val="TextBody"/>
        <w:bidi w:val="0"/>
        <w:spacing w:before="0" w:after="240"/>
        <w:ind w:left="0" w:right="0" w:firstLine="720"/>
        <w:jc w:val="left"/>
        <w:rPr/>
      </w:pPr>
      <w:r>
        <w:rPr/>
        <w:t>“</w:t>
      </w:r>
      <w:r>
        <w:rPr>
          <w:rFonts w:ascii="Times New Roman;Times;serif" w:hAnsi="Times New Roman;Times;serif"/>
          <w:b/>
          <w:sz w:val="20"/>
        </w:rPr>
        <w:t>Trading Day</w:t>
      </w:r>
      <w:r>
        <w:rPr>
          <w:rFonts w:ascii="Times New Roman;Times;serif" w:hAnsi="Times New Roman;Times;serif"/>
          <w:sz w:val="20"/>
        </w:rPr>
        <w:t>” means a day on which (i) trading in the ADSs (or other security for which a closing sale price must be determined) generally occurs on the New York Stock Exchange or, if the ADSs (or such other security) are not then listed on the New York Stock Exchange, on the principal other U.S. national or regional securities exchange on which the ADSs (or such other security) are then listed or, if the ADSs (or such other security) are not then</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listed on a U.S. national or regional securities exchange, on the principal other market on which the ADSs (or such other security) are then traded and (ii) a Last Reported Sale Price for the ADSs (or closing sale price for such other security) is available on such securities exchange or market; </w:t>
      </w:r>
      <w:r>
        <w:rPr>
          <w:rFonts w:ascii="Times New Roman;Times;serif" w:hAnsi="Times New Roman;Times;serif"/>
          <w:i/>
          <w:sz w:val="20"/>
        </w:rPr>
        <w:t xml:space="preserve">provided </w:t>
      </w:r>
      <w:r>
        <w:rPr>
          <w:rFonts w:ascii="Times New Roman;Times;serif" w:hAnsi="Times New Roman;Times;serif"/>
          <w:sz w:val="20"/>
        </w:rPr>
        <w:t xml:space="preserve">that, if the ADSs (or such other security) are not so listed or traded, “Trading Day” means a Business Day; and </w:t>
      </w:r>
      <w:r>
        <w:rPr>
          <w:rFonts w:ascii="Times New Roman;Times;serif" w:hAnsi="Times New Roman;Times;serif"/>
          <w:i/>
          <w:sz w:val="20"/>
        </w:rPr>
        <w:t>provided further</w:t>
      </w:r>
      <w:r>
        <w:rPr>
          <w:rFonts w:ascii="Times New Roman;Times;serif" w:hAnsi="Times New Roman;Times;serif"/>
          <w:sz w:val="20"/>
        </w:rPr>
        <w:t>, that for the purposes of determining the settlement amounts due upon conversion only, “</w:t>
      </w:r>
      <w:r>
        <w:rPr>
          <w:rFonts w:ascii="Times New Roman;Times;serif" w:hAnsi="Times New Roman;Times;serif"/>
          <w:b/>
          <w:sz w:val="20"/>
        </w:rPr>
        <w:t>Trading Day</w:t>
      </w:r>
      <w:r>
        <w:rPr>
          <w:rFonts w:ascii="Times New Roman;Times;serif" w:hAnsi="Times New Roman;Times;serif"/>
          <w:sz w:val="20"/>
        </w:rPr>
        <w:t>” means a day on which (i) there is no Market Disruption Event and (ii) trading in the ADSs generally occurs on the New York Stock Exchange or, if the ADSs are not then listed on the New York Stock Exchange, on the principal other U.S. national or regional securities exchange on which the ADSs are then listed or, if the ADSs are not then listed on a U.S. national or regional securities exchange, on the principal other market on which the ADSs are then listed or admitted for trading, except if the ADSs are not so listed or admitted for trading, “</w:t>
      </w:r>
      <w:r>
        <w:rPr>
          <w:rFonts w:ascii="Times New Roman;Times;serif" w:hAnsi="Times New Roman;Times;serif"/>
          <w:b/>
          <w:sz w:val="20"/>
        </w:rPr>
        <w:t>Trading Day</w:t>
      </w:r>
      <w:r>
        <w:rPr>
          <w:rFonts w:ascii="Times New Roman;Times;serif" w:hAnsi="Times New Roman;Times;serif"/>
          <w:sz w:val="20"/>
        </w:rPr>
        <w:t>” means a “Business Day.”</w:t>
      </w:r>
    </w:p>
    <w:p>
      <w:pPr>
        <w:pStyle w:val="TextBody"/>
        <w:bidi w:val="0"/>
        <w:spacing w:before="0" w:after="240"/>
        <w:ind w:left="0" w:right="0" w:firstLine="720"/>
        <w:jc w:val="left"/>
        <w:rPr/>
      </w:pPr>
      <w:r>
        <w:rPr/>
        <w:t>“</w:t>
      </w:r>
      <w:r>
        <w:rPr>
          <w:rFonts w:ascii="Times New Roman;Times;serif" w:hAnsi="Times New Roman;Times;serif"/>
          <w:b/>
          <w:sz w:val="20"/>
        </w:rPr>
        <w:t>transfer</w:t>
      </w:r>
      <w:r>
        <w:rPr>
          <w:rFonts w:ascii="Times New Roman;Times;serif" w:hAnsi="Times New Roman;Times;serif"/>
          <w:sz w:val="20"/>
        </w:rPr>
        <w:t>” shall have the meaning specified in Section 2.05(c) and Section 2.05(e), as applicable.</w:t>
      </w:r>
    </w:p>
    <w:p>
      <w:pPr>
        <w:pStyle w:val="TextBody"/>
        <w:bidi w:val="0"/>
        <w:spacing w:before="0" w:after="240"/>
        <w:ind w:left="0" w:right="0" w:firstLine="720"/>
        <w:jc w:val="left"/>
        <w:rPr/>
      </w:pPr>
      <w:r>
        <w:rPr/>
        <w:t>“</w:t>
      </w:r>
      <w:r>
        <w:rPr>
          <w:rFonts w:ascii="Times New Roman;Times;serif" w:hAnsi="Times New Roman;Times;serif"/>
          <w:b/>
          <w:sz w:val="20"/>
        </w:rPr>
        <w:t>Transfer Agent</w:t>
      </w:r>
      <w:r>
        <w:rPr>
          <w:rFonts w:ascii="Times New Roman;Times;serif" w:hAnsi="Times New Roman;Times;serif"/>
          <w:sz w:val="20"/>
        </w:rPr>
        <w:t xml:space="preserve">” shall have the meaning specified in Section 2.05(a). </w:t>
      </w:r>
    </w:p>
    <w:p>
      <w:pPr>
        <w:pStyle w:val="TextBody"/>
        <w:bidi w:val="0"/>
        <w:spacing w:before="0" w:after="240"/>
        <w:ind w:left="0" w:right="0" w:firstLine="720"/>
        <w:jc w:val="left"/>
        <w:rPr/>
      </w:pPr>
      <w:r>
        <w:rPr/>
        <w:t>“</w:t>
      </w:r>
      <w:r>
        <w:rPr>
          <w:rFonts w:ascii="Times New Roman;Times;serif" w:hAnsi="Times New Roman;Times;serif"/>
          <w:b/>
          <w:sz w:val="20"/>
        </w:rPr>
        <w:t>Trigger Event</w:t>
      </w:r>
      <w:r>
        <w:rPr>
          <w:rFonts w:ascii="Times New Roman;Times;serif" w:hAnsi="Times New Roman;Times;serif"/>
          <w:sz w:val="20"/>
        </w:rPr>
        <w:t>” shall have the meaning specified in Section 14.04(c).</w:t>
      </w:r>
    </w:p>
    <w:p>
      <w:pPr>
        <w:pStyle w:val="TextBody"/>
        <w:bidi w:val="0"/>
        <w:spacing w:before="0" w:after="240"/>
        <w:ind w:left="0" w:right="0" w:firstLine="720"/>
        <w:jc w:val="left"/>
        <w:rPr/>
      </w:pPr>
      <w:r>
        <w:rPr/>
        <w:t>“</w:t>
      </w:r>
      <w:r>
        <w:rPr>
          <w:rFonts w:ascii="Times New Roman;Times;serif" w:hAnsi="Times New Roman;Times;serif"/>
          <w:b/>
          <w:sz w:val="20"/>
        </w:rPr>
        <w:t>Trust Indenture Act</w:t>
      </w:r>
      <w:r>
        <w:rPr>
          <w:rFonts w:ascii="Times New Roman;Times;serif" w:hAnsi="Times New Roman;Times;serif"/>
          <w:sz w:val="20"/>
        </w:rPr>
        <w:t xml:space="preserve">” means the Trust Indenture Act of 1939, as amended, as it was in force at the date of execution of this Indenture;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in the event the Trust Indenture Act of 1939 is amended after the date hereof, the term “Trust Indenture Act” shall mean, to the extent required by such amendment, the Trust Indenture Act of 1939, as so amended.</w:t>
      </w:r>
    </w:p>
    <w:p>
      <w:pPr>
        <w:pStyle w:val="TextBody"/>
        <w:bidi w:val="0"/>
        <w:spacing w:before="0" w:after="240"/>
        <w:ind w:left="0" w:right="0" w:firstLine="720"/>
        <w:jc w:val="left"/>
        <w:rPr/>
      </w:pPr>
      <w:r>
        <w:rPr/>
        <w:t>“</w:t>
      </w:r>
      <w:r>
        <w:rPr>
          <w:rFonts w:ascii="Times New Roman;Times;serif" w:hAnsi="Times New Roman;Times;serif"/>
          <w:b/>
          <w:sz w:val="20"/>
        </w:rPr>
        <w:t>Trustee</w:t>
      </w:r>
      <w:r>
        <w:rPr>
          <w:rFonts w:ascii="Times New Roman;Times;serif" w:hAnsi="Times New Roman;Times;serif"/>
          <w:sz w:val="20"/>
        </w:rPr>
        <w:t>” means the Person named as the “Trustee” in the first paragraph of this Indenture until a successor trustee shall have become such pursuant to the applicable provisions of this Indenture, and thereafter “Trustee” shall mean or include each Person who is then a Trustee hereunder.</w:t>
      </w:r>
    </w:p>
    <w:p>
      <w:pPr>
        <w:pStyle w:val="TextBody"/>
        <w:bidi w:val="0"/>
        <w:spacing w:before="0" w:after="240"/>
        <w:ind w:left="0" w:right="0" w:firstLine="720"/>
        <w:jc w:val="left"/>
        <w:rPr/>
      </w:pPr>
      <w:r>
        <w:rPr/>
        <w:t>“</w:t>
      </w:r>
      <w:r>
        <w:rPr>
          <w:rFonts w:ascii="Times New Roman;Times;serif" w:hAnsi="Times New Roman;Times;serif"/>
          <w:b/>
          <w:sz w:val="20"/>
        </w:rPr>
        <w:t>unit of Reference Property</w:t>
      </w:r>
      <w:r>
        <w:rPr>
          <w:rFonts w:ascii="Times New Roman;Times;serif" w:hAnsi="Times New Roman;Times;serif"/>
          <w:sz w:val="20"/>
        </w:rPr>
        <w:t xml:space="preserve">” shall have the meaning specified in Section 14.07(a). </w:t>
      </w:r>
    </w:p>
    <w:p>
      <w:pPr>
        <w:pStyle w:val="TextBody"/>
        <w:bidi w:val="0"/>
        <w:spacing w:before="0" w:after="240"/>
        <w:ind w:left="0" w:right="0" w:firstLine="720"/>
        <w:jc w:val="left"/>
        <w:rPr/>
      </w:pPr>
      <w:r>
        <w:rPr/>
        <w:t>“</w:t>
      </w:r>
      <w:r>
        <w:rPr>
          <w:rFonts w:ascii="Times New Roman;Times;serif" w:hAnsi="Times New Roman;Times;serif"/>
          <w:b/>
          <w:sz w:val="20"/>
        </w:rPr>
        <w:t>Unrestricted Deposit Agreement</w:t>
      </w:r>
      <w:r>
        <w:rPr>
          <w:rFonts w:ascii="Times New Roman;Times;serif" w:hAnsi="Times New Roman;Times;serif"/>
          <w:sz w:val="20"/>
        </w:rPr>
        <w:t>” means the deposit agreement dated as of September 11, 2018 by and among the Company, the ADS Depositary and the holders and beneficial owners of the ADSs delivered thereunder or, if amended or supplemented as provided therein, as so amended or supplemented.</w:t>
      </w:r>
    </w:p>
    <w:p>
      <w:pPr>
        <w:pStyle w:val="TextBody"/>
        <w:bidi w:val="0"/>
        <w:spacing w:before="0" w:after="240"/>
        <w:ind w:left="0" w:right="0" w:firstLine="720"/>
        <w:jc w:val="left"/>
        <w:rPr/>
      </w:pPr>
      <w:r>
        <w:rPr/>
        <w:t>“</w:t>
      </w:r>
      <w:r>
        <w:rPr>
          <w:rFonts w:ascii="Times New Roman;Times;serif" w:hAnsi="Times New Roman;Times;serif"/>
          <w:b/>
          <w:sz w:val="20"/>
        </w:rPr>
        <w:t>Valuation Period</w:t>
      </w:r>
      <w:r>
        <w:rPr>
          <w:rFonts w:ascii="Times New Roman;Times;serif" w:hAnsi="Times New Roman;Times;serif"/>
          <w:sz w:val="20"/>
        </w:rPr>
        <w:t>” shall have the meaning specified in Section 14.04(c).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1.02</w:t>
      </w:r>
      <w:r>
        <w:rPr>
          <w:rFonts w:ascii="Times New Roman;Times;serif" w:hAnsi="Times New Roman;Times;serif"/>
          <w:i/>
          <w:sz w:val="20"/>
        </w:rPr>
        <w:t>References to Interest</w:t>
      </w:r>
      <w:r>
        <w:rPr>
          <w:rFonts w:ascii="Times New Roman;Times;serif" w:hAnsi="Times New Roman;Times;serif"/>
          <w:sz w:val="20"/>
        </w:rPr>
        <w:t>. Unless the context otherwise requires, any reference to interest on, or in respect of, any Note in this Indenture shall be deemed to include Additional Interest if, in such context, Additional Interest is, was or would be payable pursuant to any of Section 4.06(d), Section 4.06(e) and Section 6.03. Unless the context otherwise requires, any express mention of Additional Interest in any provision hereof shall not be construed as excluding Additional Interest in those provisions hereof where such express mention is not made.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ARTICLE 2</w:t>
        <w:br/>
        <w:t>ISSUE, DESCRIPTION, EXECUTION, REGISTRATION AND EXCHANGE OF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2.01</w:t>
      </w:r>
      <w:r>
        <w:rPr>
          <w:rFonts w:ascii="Times New Roman;Times;serif" w:hAnsi="Times New Roman;Times;serif"/>
          <w:i/>
          <w:sz w:val="20"/>
        </w:rPr>
        <w:t>Designation and Amount</w:t>
      </w:r>
      <w:r>
        <w:rPr>
          <w:rFonts w:ascii="Times New Roman;Times;serif" w:hAnsi="Times New Roman;Times;serif"/>
          <w:sz w:val="20"/>
        </w:rPr>
        <w:t>. The Notes shall be designated as the “4.625% Convertible Senior Notes due 2030.” The aggregate principal amount of Notes that may be authenticated and delivered under this Indenture is initially limited to US$500,000,000 (as increased by an amount equal to the aggregate principal amount of any additional Notes purchased by the Initial Purchasers pursuant to the exercise of their option to purchase additional Notes as set forth in the Purchase Agreement), subject to Section 2.10 and except for Notes authenticated and delivered upon registration or transfer of, or in exchange for, or in lieu of other Notes pursuant to Section 2.05, Section 2.06, Section 2.07, Section 10.04, Section 14.02 and Section 15.04.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2.02</w:t>
      </w:r>
      <w:r>
        <w:rPr>
          <w:rFonts w:ascii="Times New Roman;Times;serif" w:hAnsi="Times New Roman;Times;serif"/>
          <w:i/>
          <w:sz w:val="20"/>
        </w:rPr>
        <w:t>Form of Notes</w:t>
      </w:r>
      <w:r>
        <w:rPr>
          <w:rFonts w:ascii="Times New Roman;Times;serif" w:hAnsi="Times New Roman;Times;serif"/>
          <w:sz w:val="20"/>
        </w:rPr>
        <w:t>.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Global Note may be endorsed with or have incorporated in the text thereof such legends or recitals or changes not inconsistent with the provisions of this Indenture as may be required by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of the Notes may have such letters, numbers or other marks of identification and such notations, legends or endorsements as the Officers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or exchanges permitted hereby. Any endorsement of a Global Note to reflect the amount of any increase or decrease in the amount of outstanding Notes represented thereby shall be made by the Trustee or the Note Registrar in such manner and upon instructions given by the Holder of such Notes in accordance with this Indenture. Payment of principal (including the Redemption Price, the Repurchase Price and the Fundamental Change Repurchase Price, if applicable) of, and accrued and unpaid interest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 Global Note shall be made to the Holder of such Note on the date of payment, unless a record date or other means of determining Holders eligible to receive payment is provided for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2.03</w:t>
      </w:r>
      <w:r>
        <w:rPr>
          <w:rFonts w:ascii="Times New Roman;Times;serif" w:hAnsi="Times New Roman;Times;serif"/>
          <w:i/>
          <w:sz w:val="20"/>
        </w:rPr>
        <w:t>Date and Denomination of Notes; Payments of Interest and Defaulted Amounts</w:t>
      </w:r>
      <w:r>
        <w:rPr>
          <w:rFonts w:ascii="Times New Roman;Times;serif" w:hAnsi="Times New Roman;Times;serif"/>
          <w:sz w:val="20"/>
        </w:rPr>
        <w:t>. (a) The Notes shall be issuable in registered form without coupons in minimum denominations of US$1,000 principal amount and integral multiples thereof. Each Note shall be dated the date of its authentication and shall bear interest, if any, from, and including, the date specified on the face of such Note. Accrued interest, if any, on the Notes shall be computed on the basis of a 360-day year composed of twelve 30-day months and, for partial months, on the basis of the number of days actually elapsed in a 30-day month.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Person in whose name any Note (or its Predecessor Note) is registered on the Note Register at the close of business on any Regular Record Date with respect to any Interest Payment Date shall be entitled to receive the interest payable on such Interest Payment Date. Interest shall be payable at the office or agency of the Company maintained by the Company for such purposes in the Borough of Manhattan, The City of New York, which shall initially be the Corporate Trust Office. The Company shall pay or cause the Paying Agent to pay interest (i) on any Physical Notes (A) to Holders holding Physical Notes having an aggregate principal amount of US$5,000,000 or less, by check mailed (at the Company’s expense) to the Holders of these Notes at their address as it appears in the Note Register and (B) to Holders holding Physical Notes having an aggregate principal amount of more than US$5,000,000, either by check mailed (at the Company’s expense) to such Holders or, upon application by such Holder to the Note Registrar not later than the relevant Regular Record Date, by wire transfer in immediately available funds to that Holder’s account within the United States, which application shall remain in effect until the Holder notifies, in writing, the Note Registrar to the contrary or (ii) on any Global Note by wire transfer of immediately available funds to the account of the Depositary or its nominee.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Any Defaulted Amounts shall forthwith cease to be payable to the Holder on the relevant payment date but shall accrue interest per annum at the rate per annum borne by the Notes </w:t>
      </w:r>
      <w:r>
        <w:rPr>
          <w:rFonts w:ascii="Times New Roman;Times;serif" w:hAnsi="Times New Roman;Times;serif"/>
          <w:i/>
          <w:sz w:val="20"/>
        </w:rPr>
        <w:t xml:space="preserve">plus </w:t>
      </w:r>
      <w:r>
        <w:rPr>
          <w:rFonts w:ascii="Times New Roman;Times;serif" w:hAnsi="Times New Roman;Times;serif"/>
          <w:sz w:val="20"/>
        </w:rPr>
        <w:t>one percent, subject to the enforceability thereof under applicable law, from, and including, such relevant payment date, and such Defaulted Amounts together with such interest thereon shall be paid by the Company, at its election in each case, as provided in clause (i) or (ii) below:</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in its sole discretion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The Company shall promptly notify the Trustee in writing of such special record date and the Trustee, in the name and at the expense of the Company, shall cause notice of the proposed payment of such Defaulted Amounts and the special record date therefor to be mailed, first-class postage prepaid (at the Company’s expense), to each Holder at its address as it appears in the Note Register, not less than 10 days prior to such special record date. Notice of the proposed payment of such Defaulted Amounts and the special record date therefor having been so mailed, such Defaulted Amounts shall be paid to the Persons in whose names the Notes (or their respective Predecessor Notes) are registered at the close of business on such special record date and shall no longer be payable pursuant to the following clause (ii) of this Section 2.03(c).</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written notice given by the Company to the Trustee of the proposed payment pursuant to this clause, such manner of payment shall be deemed practicable by the Trustee.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2.04</w:t>
      </w:r>
      <w:r>
        <w:rPr>
          <w:rFonts w:ascii="Times New Roman;Times;serif" w:hAnsi="Times New Roman;Times;serif"/>
          <w:i/>
          <w:sz w:val="20"/>
        </w:rPr>
        <w:t>Execution, Authentication and Delivery of Notes</w:t>
      </w:r>
      <w:r>
        <w:rPr>
          <w:rFonts w:ascii="Times New Roman;Times;serif" w:hAnsi="Times New Roman;Times;serif"/>
          <w:sz w:val="20"/>
        </w:rPr>
        <w:t>. The Notes shall be signed in the name and on behalf of the Company by the manual, electronic or facsimile signature of its Chief Executive Officer, President, Chief Financial Officer, Treasurer, Secretary or any of its Executive or Senior Vice Presidents. With the delivery of this Indenture, the Company is furnishing, and from time to time thereafter may furnish, a certificate substantially in the form of Exhibit B (an “</w:t>
      </w:r>
      <w:r>
        <w:rPr>
          <w:rFonts w:ascii="Times New Roman;Times;serif" w:hAnsi="Times New Roman;Times;serif"/>
          <w:b/>
          <w:sz w:val="20"/>
        </w:rPr>
        <w:t>Authorization Certificate</w:t>
      </w:r>
      <w:r>
        <w:rPr>
          <w:rFonts w:ascii="Times New Roman;Times;serif" w:hAnsi="Times New Roman;Times;serif"/>
          <w:sz w:val="20"/>
        </w:rPr>
        <w:t>”) identifying and certifying the incumbency and specimen (and/or facsimile) signatures of its active authorized Officers. Until the Trustee receives a subsequent Authorization Certificate, the Trustee shall be entitled to conclusively rely on the last Authorization Certificate delivered to it for purposes of determining the relevant authorized Officers. Typographical and other minor errors or defects in any signature shall not affect the validity or enforceability of any Note which has been duly authenticated and delivered by the Trustee.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any time and from time to time after the execution and delivery of this Indenture, the Company may deliver Notes executed by the Company to the Trustee for authentication, together with a Company Order for the authentication and delivery of such Notes, and the Trustee in accordance with such Company Order shall authenticate and deliver such Notes, without any further action by the Company hereunder.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Order shall specify the amount of Notes to be authenticated (including the initial amount of the Notes), and the applicable rate at which interest will accrue on such Notes. The Trustee shall thereupon authenticate and deliver said Notes to or upon the written order of the Company (as set forth in such Company Order).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Trustee shall have the right to decline to authenticate and deliver any Notes under this Section (a) unless and until it receives from the Company a Company Order instructing it to so authenticate and deliver such Notes and, if requested by the Trustee, an Officers’ Certificate and an Opinion of Counsel in accordance with Section 17.06 hereof; (b) if the Trustee determines that such action may not lawfully be taken; or (c) if the Trustee determines that such action would expose the Trustee to personal liability, unless indemnity and/or security and/or pre-funding satisfactory to the Trustee against such liability is provided to the Trustee and the Note Registrar.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Only such Notes as shall bear thereon a certificate of authentication substantially in the form set forth on the Form of Note, executed manually or electronically by an authorized officer of the Trustee, shall be entitled to the benefits of this Indenture or be valid or obligatory for any purpose. Such certificate by the Trustee upon any Note executed by the Company shall be conclusive evidence that the Note so authenticated has been duly authenticated and delivered hereunder and that the Holder is entitled to the benefits of this Indenture.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2.05</w:t>
      </w:r>
      <w:r>
        <w:rPr>
          <w:rFonts w:ascii="Times New Roman;Times;serif" w:hAnsi="Times New Roman;Times;serif"/>
          <w:i/>
          <w:sz w:val="20"/>
        </w:rPr>
        <w:t>Exchange and Registration of Transfer of Notes; Restrictions on Transfer; Depositary</w:t>
      </w:r>
      <w:r>
        <w:rPr>
          <w:rFonts w:ascii="Times New Roman;Times;serif" w:hAnsi="Times New Roman;Times;serif"/>
          <w:sz w:val="20"/>
        </w:rPr>
        <w:t>. (a) The Company shall cause to be kept at the Corporate Trust Office a register (the register maintained in such office or in any other office or agency of the Company designated pursuant to Section 4.02, the “</w:t>
      </w:r>
      <w:r>
        <w:rPr>
          <w:rFonts w:ascii="Times New Roman;Times;serif" w:hAnsi="Times New Roman;Times;serif"/>
          <w:b/>
          <w:sz w:val="20"/>
        </w:rPr>
        <w:t>Note Register</w:t>
      </w:r>
      <w:r>
        <w:rPr>
          <w:rFonts w:ascii="Times New Roman;Times;serif" w:hAnsi="Times New Roman;Times;serif"/>
          <w:sz w:val="20"/>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Deutsche Bank Trust Company Americas is hereby initially appointed the “</w:t>
      </w:r>
      <w:r>
        <w:rPr>
          <w:rFonts w:ascii="Times New Roman;Times;serif" w:hAnsi="Times New Roman;Times;serif"/>
          <w:b/>
          <w:sz w:val="20"/>
        </w:rPr>
        <w:t>Note Registrar</w:t>
      </w:r>
      <w:r>
        <w:rPr>
          <w:rFonts w:ascii="Times New Roman;Times;serif" w:hAnsi="Times New Roman;Times;serif"/>
          <w:sz w:val="20"/>
        </w:rPr>
        <w:t>” and “</w:t>
      </w:r>
      <w:r>
        <w:rPr>
          <w:rFonts w:ascii="Times New Roman;Times;serif" w:hAnsi="Times New Roman;Times;serif"/>
          <w:b/>
          <w:sz w:val="20"/>
        </w:rPr>
        <w:t>Transfer Agent</w:t>
      </w:r>
      <w:r>
        <w:rPr>
          <w:rFonts w:ascii="Times New Roman;Times;serif" w:hAnsi="Times New Roman;Times;serif"/>
          <w:sz w:val="20"/>
        </w:rPr>
        <w:t>” for the purpose of registering Notes and transfers of Notes as herein provided. The Company may appoint one or more co-Note Registrars in accordance with Section 4.02.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Prior to the Notes Fungibility Date, upon surrender for registration of transfer of any Note to the Note Registrar or any co-Note Registrar, and satisfaction of the requirements for such transfer set forth in this Section 2.05, the Company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 Following the Notes Fungibility Date, upon surrender for registration of transfer of any Note to the Note Registrar or any co-Note Registrar, and satisfaction of the requirements for such transfer set forth in this Section 2.05, the Company shall execute, and the Trustee shall authenticate and deliver, in the name of the designated transferee or transferees, one or more new Notes of any authorized denominations and of a like aggregate principal amount and not bearing the restrictive legends required by Section 2.05(c).</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Prior to the Notes Fungibility Date, the 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 Following the Notes Fungibility Date, Notes may be exchanged for other Notes of any authorized denominations and of a like aggregate principal amount but not bearing the restrictive legend required by Section 2.05(c),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Notes presented or surrendered for registration of transfer or for exchange, repurchase or conversion shall (if so required by the Company, the Trustee, the Note Registrar or any co- Note Registrar) be duly endorsed, or be accompanied by a written instrument or instruments of transfer in form satisfactory to the Note Registrar and the Company and duly executed, by the Holder thereof or its attorney-in-fact duly authorized in writing.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service charge shall be imposed by the Company, the Trustee, the Transfer Agent, the Note Registrar, any co-Note Registrar or the Paying Agent for any exchange or registration of transfer of Notes, but the Company may require a Holder to pay a sum sufficient to cover any documentary, stamp, issue, transfer or similar tax required in connection therewith as a result of the name of the Holder of new Notes issued upon such exchange or registration of transfer being different from the name of the Holder of the old Notes surrendered for exchange or registration of transfer. The Company shall pay the ADS Depositary’s fees for issuance of all ADSs deliverable upon conversion.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 of the Company, the Trustee, the Note Registrar or any co-Note Registrar shall be required to exchange or register a transfer of (i) any Notes surrendered for conversion or, if a portion of any Note is surrendered for conversion, such portion thereof surrendered for conversion, (ii) any Notes, or a portion of any Note, surrendered for repurchase (and not withdrawn) in accordance with Article 15 or (iii) any Notes selected for redemption in accordance with Article 16.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Trustee shall have no responsibility or obligation to any direct or indirect participant or any other Person with respect to the accuracy of the books or records, or the acts or omissions, of the Depositary or its nominee or of any participant or member thereof, with respect to any ownership interest in the Notes or with respect to the delivery to any direct or indirect participant or other Person (other than the Depositary and any other registered Holder of Notes) of any notice (including any Redemption Notice pursuant to Article 16) or the payment of any amount,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or with respect to such Notes. All notices and communications to be given to the Holders and all payments to be made to Holders under the Notes shall be given or made only to or upon the order of the registered Holders (which shall be the Depositary or its nominee in the case of a Global Note). The rights of beneficial owners in any Global Note shall be exercised only through the Depositary subject to the customary procedures of the Depositary. The Trustee may rely and shall be fully protected in relying upon information furnished by the Depositary with respect to its direct or indirect participants.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Neither the Note Registrar nor the Trustee shall have any obligation or duty to monitor, determine or inquire as to compliance with any restrictions on transfer imposed under this Indenture or under applicable law with respect to any transfer of any interest in any Note (including any transfers between or among direct or indirect participants in any Global Note) other than to require delivery of such certificates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So long as the Notes are eligible for book-entry settlement with the Depositary, unless otherwise required by law, subject to the fourth paragraph from the end of Section 2.05(c) all Notes shall be represented by one or more Notes in global form (each, a “</w:t>
      </w:r>
      <w:r>
        <w:rPr>
          <w:rFonts w:ascii="Times New Roman;Times;serif" w:hAnsi="Times New Roman;Times;serif"/>
          <w:b/>
          <w:sz w:val="20"/>
        </w:rPr>
        <w:t>Global Note</w:t>
      </w:r>
      <w:r>
        <w:rPr>
          <w:rFonts w:ascii="Times New Roman;Times;serif" w:hAnsi="Times New Roman;Times;serif"/>
          <w:sz w:val="20"/>
        </w:rPr>
        <w:t>”) registered in the name of the Depositary or the nominee of the Depositary. The transfer and exchange of beneficial interests in a Global Note that does not involve the issuance of a Physical Note shall be effected through the Depositary in accordance with this Indenture (including the restrictions on transfer set forth herein) and the procedures of the Depositary therefor.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Every Note that bears or is required under this Section 2.05(c) to bear the legend set forth in this Section 2.05(c) (together with any ADSs (including the Ordinary Shares represented thereby) delivered upon conversion of the Notes that are required to bear the legend set forth in Section 2.05(d), collectively, the “</w:t>
      </w:r>
      <w:r>
        <w:rPr>
          <w:rFonts w:ascii="Times New Roman;Times;serif" w:hAnsi="Times New Roman;Times;serif"/>
          <w:b/>
          <w:sz w:val="20"/>
        </w:rPr>
        <w:t>Restricted Securities</w:t>
      </w:r>
      <w:r>
        <w:rPr>
          <w:rFonts w:ascii="Times New Roman;Times;serif" w:hAnsi="Times New Roman;Times;serif"/>
          <w:sz w:val="20"/>
        </w:rPr>
        <w:t>”) shall be subject to the restrictions on transfer set forth in this Section 2.05(c) (including the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Times New Roman;Times;serif" w:hAnsi="Times New Roman;Times;serif"/>
          <w:b/>
          <w:sz w:val="20"/>
        </w:rPr>
        <w:t>transfer</w:t>
      </w:r>
      <w:r>
        <w:rPr>
          <w:rFonts w:ascii="Times New Roman;Times;serif" w:hAnsi="Times New Roman;Times;serif"/>
          <w:sz w:val="20"/>
        </w:rPr>
        <w:t>” encompasses any sale, pledge, transfer or other disposition whatsoever of any Restricted Security.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Until the date (the “</w:t>
      </w:r>
      <w:r>
        <w:rPr>
          <w:rFonts w:ascii="Times New Roman;Times;serif" w:hAnsi="Times New Roman;Times;serif"/>
          <w:b/>
          <w:sz w:val="20"/>
        </w:rPr>
        <w:t>Resale Restriction Termination Date</w:t>
      </w:r>
      <w:r>
        <w:rPr>
          <w:rFonts w:ascii="Times New Roman;Times;serif" w:hAnsi="Times New Roman;Times;serif"/>
          <w:sz w:val="20"/>
        </w:rPr>
        <w:t>”) that is the later of (1) the date that is one year after the last date of original issuance of the Notes, or such shorter period of time as permitted by Rule 144 under the Securities Act or any successor provision thereto, and (2) such later date, if any, as may be required by applicable law, any certificate evidencing such Note (and all securities issued in exchange therefor or substitution thereof, other than ADSs (including the Ordinary Shares represented thereby) issued upon conversion thereof, which shall bear the legend set forth in Section 2.05(d), if applicable) shall bear a legend in substantially the following form (unless such Notes have been transferred pursuant to a registration statement that has become or been declared effective under the Securities Act and that continues to be effective at the time of such transfer, or pursuant to the exemption from registration provided by Rule 144 under the Securities Act or any similar provision then in force under the Securities Act, or unless otherwise agreed by the Company in writing, with notice thereof to the Trustee):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SECURITY, THE AMERICAN DEPOSITARY SHARES DELIVERABLE UPON CONVERSION OF THIS SECURITY, IF ANY, AND THE CLASS A ORDINARY SHARES REPRESENTED THEREBY HAVE NOT BEEN REGISTERED UNDER THE SECURITIES ACT OF 1933, AS AMENDED (THE “SECURITIES ACT”), ARE “RESTRICTED SECURITIES” WITHIN THE MEANING OF RULE 144 UNDER THE SECURITIES ACT, AND MAY NOT BE OFFERED, SOLD, PLEDGED OR OTHERWISE TRANSFERRED EXCEPT IN ACCORDANCE WITH THE FOLLOWING SENTENCE. BY ITS ACQUISITION HEREOF OR OF A BENEFICIAL INTEREST HEREIN, THE ACQUIRER:</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(1)REPRESENTS THAT IT AND ANY ACCOUNT FOR WHICH IT IS ACTING IS A “QUALIFIED INSTITUTIONAL BUYER” (WITHIN THE MEANING OF RULE 144A UNDER THE SECURITIES ACT) AND THAT IT EXERCISES SOLE INVESTMENT DISCRETION WITH RESPECT TO EACH SUCH ACCOUNT AND THAT IT AND ANY SUCH ACCOUNT IS NOT, AND HAS NOT BEEN FOR THE IMMEDIATELY PRECEDING THREE MONTHS, AN AFFILIATE OF NIO INC. (THE “COMPANY”), AND</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(2)AGREES FOR THE BENEFIT OF THE COMPANY THAT IT WILL NOT OFFER, SELL, PLEDGE OR OTHERWISE TRANSFER THIS SECURITY, THE AMERICAN DEPOSITARY SHARES DELIVERABLE UPON CONVERSION OF THIS SECURITY (IF ANY) AND THE CLASS A ORDINARY SHARES REPRESENTED THEREBY, OR ANY BENEFICIAL INTEREST HEREIN OR THEREIN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(A)TO THE COMPANY OR ANY SUBSIDIARY THEREOF, OR</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(B)PURSUANT TO A REGISTRATION STATEMENT WHICH HAS BECOME OR BEEN DECLARED EFFECTIVE UNDER THE SECURITIES ACT AND THAT CONTINUES TO BE EFFECTIVE AT THE TIME OF SUCH TRANSFER, OR</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(C)TO A QUALIFIED INSTITUTIONAL BUYER IN COMPLIANCE WITH RULE 144A UNDER THE SECURITIES ACT, OR</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(D)PURSUANT TO AN EXEMPTION FROM REGISTRATION PROVIDED BY RULE 144 UNDER THE SECURITIES ACT (IF AVAILABLE); OR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(E)PURSUANT TO ANY OTHER EXEMPTION FROM, OR IN A TRANSACTION NOT SUBJECT TO, THE REGISTRATION REQUIREMENTS OF THE SECURITIES 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PRIOR TO THE REGISTRATION OF ANY TRANSFER IN ACCORDANCE WITH (2)(E) ABOVE, THE COMPANY, THE DEPOSITARY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AFFILIATE (AS DEFINED IN RULE 144 UNDER THE SECURITIES ACT) OF THE COMPANY OR PERSON THAT HAS BEEN AN AFFILIATE (AS DEFINED IN RULE 144 UNDER THE SECURITIES ACT) OF THE COMPANY DURING THE THREE IMMEDIATELY PRECEDING MONTHS MAY PURCHASE, OTHERWISE ACQUIRE OR OWN THIS NOTE, THE AMERICAN DEPOSITARY SHARES DELIVERABLE UPON CONVERSION HEREOF (IF ANY) AND THE CLASS A ORDINARY SHARES REPRESENTED THEREBY, OR A BENEFICIAL INTEREST HEREIN OR THEREIN.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transfer of any Note prior to the Resale Restriction Termination Date will be registered by the Note Registrar unless the applicable box on the Form of Assignment and Transfer has been checked.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Note (or security issued in exchange or substitution therefor) as to which such restrictions on transfer shall have expired in accordance with their terms may, upon surrender of such Note for exchange to the Note Registrar in accordance with the provisions of this Section 2.05, be exchanged for a new Note or Notes, of like tenor and aggregate principal amount, which shall not bear the restrictive legend required by this Section 2.05(c) and shall not be assigned a restricted CUSIP number. The Company shall be entitled to instruct the Trustee in writing to so surrender any Global Note as to which such restrictions on transfer shall have expired in accordance with their terms for exchange, and, upon such instruction, the Trustee shall so surrender such Global Note for exchange; and any new Global Note so exchanged therefor shall not bear the restrictive legend specified in this Section 2.05(c) and shall not be assigned a restricted CUSIP number. The Company shall promptly notify the Trustee in writing upon the occurrence of the Resale Restriction Termination Date and after a registration statement, if any, with respect to the Notes or the ADSs (including the Ordinary Shares represented thereby) issued upon conversion of the Notes has been declared effective under the Securities 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transfers of portions of a Global Note in certificated form made upon request of a member of, or a participant in, the Depositary (for itself or on behalf of a beneficial owner) by written notice given to the Trustee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or on behalf of the Depositary in accordance with customary procedures of the Depositary and in compliance with this Section 2.05(c).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in writing. Upon execution and authentication, the Trustee shall deliver such Physical Notes to the Persons in whose names such Physical Notes are so registered.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such time as all interests in a Global Note have been converted, canceled, repurchased, redeemed or transferred, such Global Note shall be, upon receipt thereof, canceled by the Trustee in accordance with standing procedures and existing instructions of the Depositary. At any time prior to such cancellation, if any interest in a Global Note is exchanged for Physical Notes, converted, canceled, repurchased, redeemed or transferred to a transferee who receives Physical Notes therefor or any Physical Note is exchanged or transferred for part of such Global Note, the principal amount of such Global Note shall, in accordance with the standing procedures and existing instructions of the Depositary, be appropriately reduced or increased, as the case may be, and an endorsement shall be made on such Global Note, by the Trustee, to reflect such reduction or increase.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 of the Company, the Trustee, the Paying Agent, any agent of the Company or any agent of the Trustee shall have any responsibility or liability for the payment of amounts to beneficial holders, any aspect of the records relating to or payments made on account of beneficial ownership interests of a Global Note or maintaining, supervising or reviewing any records relating to such beneficial ownership interests.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Until the Resale Restriction Termination Date, any certificate representing ADSs (including the Ordinary Shares represented thereby) issued upon conversion of such Note shall bear a legend in substantially the following form (unless the Note or such ADSs (including the Ordinary Shares represented thereby)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ADS or the Ordinary Shares represented thereby have been issued upon conversion of Notes that have been transferred pursuant to a registration statement that has become or been declared effective under the Securities Act and that continues to be effective at the time of such transfer, or pursuant to the exemption from registration provided by Rule 144 under the Securities Act or any similar provision then in force under the Securities Act, or unless otherwise agreed by the Company and the ADS Depositary with written notice thereof to the Note Registrar and any transfer agent for the ADSs):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AMERICAN DEPOSITARY SHARES EVIDENCED HEREBY AND THE CLASS A ORDINARY SHARES REPRESENTED THEREBY HAVE NOT BEEN REGISTERED UNDER THE SECURITIES ACT OF 1933, AS AMENDED (THE “SECURITIES ACT”), ARE “RESTRICTED SECURITIES” WITHIN THE MEANING OF RULE 144 UNDER THE SECURITIES ACT, AND MAY NOT BE OFFERED, SOLD, PLEDGED OR OTHERWISE TRANSFERRED EXCEPT IN ACCORDANCE WITH THE FOLLOWING SENTENCE. BY ITS ACQUISITION HEREOF OR OF A BENEFICIAL INTEREST HEREIN, THE ACQUIRER:</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(1)REPRESENTS THAT IT AND ANY ACCOUNT FOR WHICH IT IS ACTING IS A “QUALIFIED INSTITUTIONAL BUYER” (WITHIN THE MEANING OF RULE 144A UNDER THE SECURITIES ACT) AND THAT IT EXERCISES SOLE INVESTMENT DISCRETION WITH RESPECT TO EACH SUCH ACCOUNT AND THAT IT AND ANY SUCH ACCOUNT IS NOT, AND HAS NOT BEEN FOR THE IMMEDIATELY PRECEDING THREE MONTHS, AN AFFILIATE OF NIO INC. (THE “COMPANY”), AND</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(2)AGREES FOR THE BENEFIT OF THE COMPANY THAT IT WILL NOT OFFER, SELL, PLEDGE OR OTHERWISE TRANSFER THIS SECURITY AND THE CLASS A ORDINARY SHARES REPRESENTED THEREBY, OR ANY BENEFICIAL INTEREST HEREIN OR THEREIN PRIOR TO THE DATE THAT IS THE LATER OF (X) ONE YEAR AFTER THE LAST ORIGINAL ISSUE DATE OF THE SERIES OF NOTES UPON THE CONVERSION OF WHICH THIS SECURITY WAS ISSUED OR SUCH SHORTER PERIOD OF TIME AS PERMITTED BY RULE 144 UNDER THE SECURITIES ACT OR ANY SUCCESSOR PROVISION THERETO AND (Y) SUCH LATER DATE, IF ANY, AS MAY BE REQUIRED BY APPLICABLE LAW, EXCEPT:</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(A)TO THE COMPANY OR ANY SUBSIDIARY THEREOF, OR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(B)PURSUANT TO A REGISTRATION STATEMENT WHICH HAS BECOME OR BEEN DECLARED EFFECTIVE UNDER THE SECURITIES ACT AND THAT CONTINUES TO BE EFFECTIVE AT THE TIME OF SUCH TRANSFER, OR</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(C)TO A QUALIFIED INSTITUTIONAL BUYER IN COMPLIANCE WITH RULE 144A UNDER THE SECURITIES ACT, OR</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(D)PURSUANT TO AN EXEMPTION FROM REGISTRATION PROVIDED BY RULE 144 UNDER THE SECURITIES ACT (IF AVAILABLE), OR</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(E)PURSUANT TO ANY OTHER EXEMPTION FROM, OR IN A TRANSACTION NOT SUBJECT TO, THE REGISTRATION REQUIREMENTS OF THE SECURITIES 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PRIOR TO THE REGISTRATION OF ANY TRANSFER IN ACCORDANCE WITH (2)(E) ABOVE, THE COMPANY, THE DEPOSITARY AND THE TRANSFER AGENT FOR THE COMPANY’S AMERICAN DEPOSITARY SHARES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AFFILIATE (AS DEFINED IN RULE 144 UNDER THE SECURITIES ACT) OF THE COMPANY OR PERSON THAT HAS BEEN AN AFFILIATE (AS DEFINED IN RULE 144 UNDER THE SECURITIES ACT) OF THE COMPANY DURING THE THREE IMMEDIATELY PRECEDING MONTHS MAY PURCHASE, OTHERWISE ACQUIRE OR OWN THE AMERICAN DEPOSITARY SHARES EVIDENCED HEREBY OR A BENEFICIAL INTEREST HEREIN OR THEREIN.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terms of the Unrestricted Deposit Agreement, the Restricted Deposit Agreement and the Procedures Letter, as applicable, the ADS Depositary will not accept the surrender of any ADSs subject to such restrictions on transfer for the purpose of withdrawal of the Ordinary Shares represented thereby until the restrictive legends have been removed from such restricted ADSs. Any such ADSs as to which such restrictions on transfer shall have expired in accordance with their terms may, upon surrender of the certificates representing such ADSs for exchange in accordance with the procedures of the ADS Depositary and the Restricted Deposit Agreement, as applicable, be exchanged for a new certificate or certificates for a like aggregate number of ADSs, which shall not bear the restrictive legend required by this Section 2.05(d).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Any Note or ADS (and the Ordinary Shares represented thereby) delivered upon the conversion or exchange of any Note that is repurchased or owned by any Affiliate of the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Company may not be resold by such Affiliate (or a Holder that was the Company’s Affiliate at any time during three months preceding the resale) unless registered under the Securities Act or resold pursuant to Rule 144 under the Securities Act or a successor exemption from the registration requirements of the Securities Act in a transaction that results in such Note or ADS, as the case may be, no longer being a “restricted security” (as defined under Rule 144 under the Securities Act). Subject to Section 14.13, the Company shall cause any Note that is repurchased or owned by it to be surrendered to the Trustee for cancellation in accordance with Section 2.08.</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2.06</w:t>
      </w:r>
      <w:r>
        <w:rPr>
          <w:rFonts w:ascii="Times New Roman;Times;serif" w:hAnsi="Times New Roman;Times;serif"/>
          <w:i/>
          <w:sz w:val="20"/>
        </w:rPr>
        <w:t>Mutilated, Destroyed, Lost or Stolen Notes</w:t>
      </w:r>
      <w:r>
        <w:rPr>
          <w:rFonts w:ascii="Times New Roman;Times;serif" w:hAnsi="Times New Roman;Times;serif"/>
          <w:sz w:val="20"/>
        </w:rPr>
        <w:t>. In case any Note shall become mutilated or be destroyed, lost or stolen, the Company in its discretion may execute, and upon receipt of a Company Order,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and to the Trustee such security, pre-funding and/or indemnity as may be required by them to save each of them harmless from any loss, liability, cost or expense caused by or connected with such substitution, and, in every case of destruction, loss or theft, the applicant shall also furnish to the Company and to the Trustee evidence to their satisfaction of the destruction, loss or theft of such Note and of the ownership thereof.</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Trustee may authenticate any such substituted Note and deliver the same upon the receipt of such security, pre-funding and/or indemnity as the Trustee and the Company may require. No service charge shall be imposed by the Company, the Transfer Agent, the ADS Depositary, the Note Registrar, any co-Note Registrar or the Paying Agent upon the issuance of any substitute Note, but the Company and the Trustee may require a Holder to pay a sum sufficient to cover any documentary, stamp, issue, transfer or similar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repurchase (and not withdrawn) in accordance with Article 15 or has been selected for redemption in accordance with Article 16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and to the Trustee such security, pre-funding and/or indemnity as may be required by them to save each of them harmless for any loss, liability, cost or expense caused by or connected with such substitution, and, in every case of destruction, loss or theft, evidence satisfactory to the Company, and the Trustee evidence of their satisfaction of the destruction, loss or theft of such Note and of the ownership thereof.</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2.07</w:t>
      </w:r>
      <w:r>
        <w:rPr>
          <w:rFonts w:ascii="Times New Roman;Times;serif" w:hAnsi="Times New Roman;Times;serif"/>
          <w:i/>
          <w:sz w:val="20"/>
        </w:rPr>
        <w:t>Temporary Notes</w:t>
      </w:r>
      <w:r>
        <w:rPr>
          <w:rFonts w:ascii="Times New Roman;Times;serif" w:hAnsi="Times New Roman;Times;serif"/>
          <w:sz w:val="20"/>
        </w:rPr>
        <w:t>. Pending the preparation of Physical Notes, the Company may execute and the Trustee shall, upon receipt of a Company Order,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upon the same conditions and in substantially the same manner, and with the same effect, as the Physical Notes. Without unreasonable delay, the Company shall execute and deliver to the Trustee Physical Notes (other than any Global Note) and thereupon any or all temporary Notes (other than any Global Note) may be surrendered in exchange therefor, at each office or agency maintained by the Company pursuant to Section 4.02 and the Trustee shall upon receipt of a Company Order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2.08</w:t>
      </w:r>
      <w:r>
        <w:rPr>
          <w:rFonts w:ascii="Times New Roman;Times;serif" w:hAnsi="Times New Roman;Times;serif"/>
          <w:i/>
          <w:sz w:val="20"/>
        </w:rPr>
        <w:t xml:space="preserve">Cancellation of Notes Paid, Converted, Etc. </w:t>
      </w:r>
      <w:r>
        <w:rPr>
          <w:rFonts w:ascii="Times New Roman;Times;serif" w:hAnsi="Times New Roman;Times;serif"/>
          <w:sz w:val="20"/>
        </w:rPr>
        <w:t>The Company shall cause all Notes surrendered for the purpose of payment, repurchase, redemption, registration of transfer or exchange or conversion, if surrendered to any Person other than the Trustee (including any of the Company’s agents, Subsidiaries or Affiliates), to be delivered and surrendered to the Trustee for cancellation. Upon the delivery of a Company Order requesting cancellation, all Notes delivered to the Trustee shall be canceled promptly by it, and except for Notes surrendered for transfer or exchange, no Notes shall be authenticated in exchange thereof except as expressly permitted by any of the provisions of this Indenture. The Trustee shall dispose of canceled Notes in accordance with its customary procedures and, after such disposition, shall deliver a certificate of such cancellation and disposition to the Company, at the Company’s written request in a Company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2.09</w:t>
      </w:r>
      <w:r>
        <w:rPr>
          <w:rFonts w:ascii="Times New Roman;Times;serif" w:hAnsi="Times New Roman;Times;serif"/>
          <w:i/>
          <w:sz w:val="20"/>
        </w:rPr>
        <w:t>CUSIP Numbers</w:t>
      </w:r>
      <w:r>
        <w:rPr>
          <w:rFonts w:ascii="Times New Roman;Times;serif" w:hAnsi="Times New Roman;Times;serif"/>
          <w:sz w:val="20"/>
        </w:rPr>
        <w:t xml:space="preserve">. The Company in issuing the Notes may use “CUSIP” numbers (if then generally in use), and, if so, the Trustee shall use “CUSIP” numbers in all notices issued to Holders as a convenience to such Holders; </w:t>
      </w:r>
      <w:r>
        <w:rPr>
          <w:rFonts w:ascii="Times New Roman;Times;serif" w:hAnsi="Times New Roman;Times;serif"/>
          <w:i/>
          <w:sz w:val="20"/>
        </w:rPr>
        <w:t xml:space="preserve">provided </w:t>
      </w:r>
      <w:r>
        <w:rPr>
          <w:rFonts w:ascii="Times New Roman;Times;serif" w:hAnsi="Times New Roman;Times;serif"/>
          <w:sz w:val="20"/>
        </w:rPr>
        <w:t>that the Trustee shall have no liability for any defect in the “CUSIP” numbers as they appear on any Note, notice or elsewhere, and provided further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or “ISIN” numbers,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2.10</w:t>
      </w:r>
      <w:r>
        <w:rPr>
          <w:rFonts w:ascii="Times New Roman;Times;serif" w:hAnsi="Times New Roman;Times;serif"/>
          <w:i/>
          <w:sz w:val="20"/>
        </w:rPr>
        <w:t>Additional Notes; Repurchases</w:t>
      </w:r>
      <w:r>
        <w:rPr>
          <w:rFonts w:ascii="Times New Roman;Times;serif" w:hAnsi="Times New Roman;Times;serif"/>
          <w:sz w:val="20"/>
        </w:rPr>
        <w:t>. The Company may, without the consent of, or notice to, the Holders and notwithstanding Section 2.01, reopen this Indenture and issue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additional Notes hereunder with the same terms as the Notes initially issued hereunder (except for any differences in the issue price, the issue date and interest accrued, if any, and, if applicable, restrictions on transfer in respect of such additional Notes) in an unlimited aggregate principal amount; </w:t>
      </w:r>
      <w:r>
        <w:rPr>
          <w:rFonts w:ascii="Times New Roman;Times;serif" w:hAnsi="Times New Roman;Times;serif"/>
          <w:i/>
          <w:sz w:val="20"/>
        </w:rPr>
        <w:t xml:space="preserve">provided </w:t>
      </w:r>
      <w:r>
        <w:rPr>
          <w:rFonts w:ascii="Times New Roman;Times;serif" w:hAnsi="Times New Roman;Times;serif"/>
          <w:sz w:val="20"/>
        </w:rPr>
        <w:t>that if any such additional Notes are not fungible with the Notes initially issued hereunder for U.S. federal income tax or securities law purposes, such additional Notes shall have a separate CUSIP, ISIN or other identifying number from the Notes. Prior to the issuance of any such additional Notes, the Company shall deliver to the Trustee a Company Order, an Officers’ Certificate and an Opinion of Counsel, such Officers’ Certificate and Opinion of Counsel to cover such matters, in addition to those required by Section 17.06, as the Trustee shall reasonably request. In addition, the Company may, to the extent permitted by law, and directly or indirectly (regardless of whether such Notes are surrendered to the Company), repurchase Notes in the open market or otherwise, whether by the Company or through its Subsidiaries, Consolidated Affiliated Entities or through a private or public tender or exchange offer or through counterparties to private agreements. The Company shall cause any Notes so repurchased to be surrendered to the Trustee for cancellation in accordance with Section 2.08 and upon receipt of a Company Order, the Note Registrar shall cancel all Notes so surrendered and such Notes shall no longer be considered outstanding under this Indenture upon their repurchase. The Company may also enter into cash-settled swaps or other derivatives with respect to the Notes. For the avoidance of doubt, any Notes underlying such cash-settled swaps or other derivatives shall not be required to be surrendered to the Trustee for cancellation in accordance with Section 2.08 and will continue to be considered outstanding for purposes of this Indenture, subject to the provisions of Section 8.04.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2.11</w:t>
      </w:r>
      <w:r>
        <w:rPr>
          <w:rFonts w:ascii="Times New Roman;Times;serif" w:hAnsi="Times New Roman;Times;serif"/>
          <w:i/>
          <w:sz w:val="20"/>
        </w:rPr>
        <w:t>Appointment of Authenticating Agent</w:t>
      </w:r>
      <w:r>
        <w:rPr>
          <w:rFonts w:ascii="Times New Roman;Times;serif" w:hAnsi="Times New Roman;Times;serif"/>
          <w:sz w:val="20"/>
        </w:rPr>
        <w:t>. As long as any Notes remain outstanding, the Trustee may, by an instrument in writing, appoint with the approval of the Company an authenticating agent (an “</w:t>
      </w:r>
      <w:r>
        <w:rPr>
          <w:rFonts w:ascii="Times New Roman;Times;serif" w:hAnsi="Times New Roman;Times;serif"/>
          <w:b/>
          <w:sz w:val="20"/>
        </w:rPr>
        <w:t>Authenticating Agent</w:t>
      </w:r>
      <w:r>
        <w:rPr>
          <w:rFonts w:ascii="Times New Roman;Times;serif" w:hAnsi="Times New Roman;Times;serif"/>
          <w:sz w:val="20"/>
        </w:rPr>
        <w:t>”), which shall be authorized to act on behalf of the Trustee to authenticate Notes pursuant to this Indenture. Notes authenticated by such Authenticating Agent shall be entitled to the benefits of this Indenture and shall be valid and obligatory for all purposes as if authenticated by the Trustee. Whenever reference is made in this Indenture to the authentication and delivery of Notes by the Trustee or to the Trustee’s certificate of authentication, such reference shall be deemed to include authentication and delivery on behalf of the Trustee by an Authenticating Agent and a certificate of authentication executed on behalf of the Trustee by an Authenticating Agent. Such Authenticating Agent shall at all times be a Person that is eligible pursuant to the Trust Indenture Act to act as such and that has a combined capital and surplus of at least US$50,000,000.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ARTICLE 3</w:t>
        <w:br/>
        <w:t>SATISFACTION AND DISCHARGE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3.01</w:t>
      </w:r>
      <w:r>
        <w:rPr>
          <w:rFonts w:ascii="Times New Roman;Times;serif" w:hAnsi="Times New Roman;Times;serif"/>
          <w:i/>
          <w:sz w:val="20"/>
        </w:rPr>
        <w:t>Satisfaction and Discharge</w:t>
      </w:r>
      <w:r>
        <w:rPr>
          <w:rFonts w:ascii="Times New Roman;Times;serif" w:hAnsi="Times New Roman;Times;serif"/>
          <w:sz w:val="20"/>
        </w:rPr>
        <w:t>. This Indenture shall upon request of the Company contained in an Officers’ Certificate be discharged and shall cease to be of further effect, and the Trustee, at the expense of the Company, shall execute proper instruments acknowledging satisfaction and discharge of this Indenture, when (a) (i) all Notes theretofore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authenticated and delivered (other than (x) Notes which have been destroyed, lost or stolen and which have been replaced, paid or converted as provided in Section 2.06 and (y) Notes for whose payment money has theretofore been deposited in trust or segregated and held in trust by the Company and thereafter repaid to the Company or discharged from such trust, as provided in Section 4.04(d)) have been delivered to the Trustee for cancellation; or (ii) the Company has deposited with the Trustee cash and/or delivered to Holders (solely to satisfy the Company’s Conversion Obligation, if applicable) ADSs, sufficient to pay all of (or satisfy such Conversion Obligation in respect of) the outstanding Notes, as the case may be, after the Notes have become due and payable, whether on the Maturity Date, any Redemption Date, the Repurchase Date, any Fundamental Change Repurchase Date, upon conversion or otherwise; (b) if the Company has deposited cash with the Trustee, the Trustee has received irrevocable instruction from the Company to make a payment on (or to satisfy such Conversion Obligation in respect of) the outstanding Notes, as the case may be, after the Notes have become due and payable, whether on the Maturity Date, any Redemption Date, the Repurchase Date, any Fundamental Change Repurchase Date, upon conversion or otherwise; and (c)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the obligations of the Company to the Trustee under Section 7.06 shall survive.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ARTICLE 4</w:t>
        <w:br/>
        <w:t>PARTICULAR COVENANTS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4.01</w:t>
      </w:r>
      <w:r>
        <w:rPr>
          <w:rFonts w:ascii="Times New Roman;Times;serif" w:hAnsi="Times New Roman;Times;serif"/>
          <w:i/>
          <w:sz w:val="20"/>
        </w:rPr>
        <w:t>Payment of Principal and Interest</w:t>
      </w:r>
      <w:r>
        <w:rPr>
          <w:rFonts w:ascii="Times New Roman;Times;serif" w:hAnsi="Times New Roman;Times;serif"/>
          <w:sz w:val="20"/>
        </w:rPr>
        <w:t>. The Company covenants and agrees that it will cause to be paid the principal (including the Redemption Price, the Repurchase Price and the Fundamental Change Repurchase Price, if applicable) of, and accrued and unpaid interest, if any, on, each of the Notes at the places, at the respective times and in the manner provided herein and in the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4.02</w:t>
      </w:r>
      <w:r>
        <w:rPr>
          <w:rFonts w:ascii="Times New Roman;Times;serif" w:hAnsi="Times New Roman;Times;serif"/>
          <w:i/>
          <w:sz w:val="20"/>
        </w:rPr>
        <w:t>Maintenance of Office or Agency</w:t>
      </w:r>
      <w:r>
        <w:rPr>
          <w:rFonts w:ascii="Times New Roman;Times;serif" w:hAnsi="Times New Roman;Times;serif"/>
          <w:sz w:val="20"/>
        </w:rPr>
        <w:t>. The Company will maintain in the Borough of Manhattan, The City of New York, an office or agency (which will be the Corporate Trust Office initially) where the Notes may be surrendered for registration of transfer or exchange or for presentation for payment or repurchase (“</w:t>
      </w:r>
      <w:r>
        <w:rPr>
          <w:rFonts w:ascii="Times New Roman;Times;serif" w:hAnsi="Times New Roman;Times;serif"/>
          <w:b/>
          <w:sz w:val="20"/>
        </w:rPr>
        <w:t>Paying Agent</w:t>
      </w:r>
      <w:r>
        <w:rPr>
          <w:rFonts w:ascii="Times New Roman;Times;serif" w:hAnsi="Times New Roman;Times;serif"/>
          <w:sz w:val="20"/>
        </w:rPr>
        <w:t>”) or for conversion (“</w:t>
      </w:r>
      <w:r>
        <w:rPr>
          <w:rFonts w:ascii="Times New Roman;Times;serif" w:hAnsi="Times New Roman;Times;serif"/>
          <w:b/>
          <w:sz w:val="20"/>
        </w:rPr>
        <w:t>Conversion Agent</w:t>
      </w:r>
      <w:r>
        <w:rPr>
          <w:rFonts w:ascii="Times New Roman;Times;serif" w:hAnsi="Times New Roman;Times;serif"/>
          <w:sz w:val="20"/>
        </w:rPr>
        <w:t xml:space="preserve">”)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the legal service of process against the Company shall in no circumstance be made at an office or agency of the Trustee.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Times;serif" w:hAnsi="Times New Roman;Times;serif"/>
          <w:i/>
          <w:sz w:val="20"/>
        </w:rPr>
        <w:t xml:space="preserve">provided </w:t>
      </w:r>
      <w:r>
        <w:rPr>
          <w:rFonts w:ascii="Times New Roman;Times;serif" w:hAnsi="Times New Roman;Times;serif"/>
          <w:sz w:val="20"/>
        </w:rPr>
        <w:t>that no such designation or rescission shall in any manner relieve the Company of its obligation to maintain an office or agency in the Borough of Manhattan, The City of New York, for such purposes. The Company will give prompt written notice to the Trustee of any such designation or rescission and of any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change in the location of any such other office or agency. The terms “</w:t>
      </w:r>
      <w:r>
        <w:rPr>
          <w:rFonts w:ascii="Times New Roman;Times;serif" w:hAnsi="Times New Roman;Times;serif"/>
          <w:b/>
          <w:sz w:val="20"/>
        </w:rPr>
        <w:t>Paying Agent</w:t>
      </w:r>
      <w:r>
        <w:rPr>
          <w:rFonts w:ascii="Times New Roman;Times;serif" w:hAnsi="Times New Roman;Times;serif"/>
          <w:sz w:val="20"/>
        </w:rPr>
        <w:t>” and “</w:t>
      </w:r>
      <w:r>
        <w:rPr>
          <w:rFonts w:ascii="Times New Roman;Times;serif" w:hAnsi="Times New Roman;Times;serif"/>
          <w:b/>
          <w:sz w:val="20"/>
        </w:rPr>
        <w:t>Conversion Agent</w:t>
      </w:r>
      <w:r>
        <w:rPr>
          <w:rFonts w:ascii="Times New Roman;Times;serif" w:hAnsi="Times New Roman;Times;serif"/>
          <w:sz w:val="20"/>
        </w:rPr>
        <w:t>” include any such additional or other offices or agencies, as applicable.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hereby initially designates Deutsche Bank Trust Company Americas as the Paying Agent, Note Registrar, Transfer Agent and Conversion Agent and the Corporate Trust Office and the office or agency of Deutsche Bank Trust Company Americas in the Borough of Manhattan, The City of New York, each shall be considered as one such office or agency of the Company for each of the aforesaid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4.03</w:t>
      </w:r>
      <w:r>
        <w:rPr>
          <w:rFonts w:ascii="Times New Roman;Times;serif" w:hAnsi="Times New Roman;Times;serif"/>
          <w:i/>
          <w:sz w:val="20"/>
        </w:rPr>
        <w:t>Appointments to Fill Vacancies in Trustee’s Office</w:t>
      </w:r>
      <w:r>
        <w:rPr>
          <w:rFonts w:ascii="Times New Roman;Times;serif" w:hAnsi="Times New Roman;Times;serif"/>
          <w:sz w:val="20"/>
        </w:rPr>
        <w:t>. The Company, whenever necessary to avoid or fill a vacancy in the office of Trustee, will appoint, in the manner provided in Section 7.09, a trustee, so that there shall at all times be a trustee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4.04</w:t>
      </w:r>
      <w:r>
        <w:rPr>
          <w:rFonts w:ascii="Times New Roman;Times;serif" w:hAnsi="Times New Roman;Times;serif"/>
          <w:i/>
          <w:sz w:val="20"/>
        </w:rPr>
        <w:t>Provisions as to Paying Agent</w:t>
      </w:r>
      <w:r>
        <w:rPr>
          <w:rFonts w:ascii="Times New Roman;Times;serif" w:hAnsi="Times New Roman;Times;serif"/>
          <w:sz w:val="20"/>
        </w:rPr>
        <w:t>. (a) If the Company shall appoint a Paying Agent other than the Trustee, the Company will cause such Paying Agent to execute and deliver to the Trustee an instrument in which such agent shall agree with the Trustee, subject to the provisions of this Section 4.04:</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that it will hold all sums held by it as such agent for the payment of the principal (including the Redemption Price, the Repurchase Price and the Fundamental Change Repurchase Price, if applicable) of, and accrued and unpaid interest, if any, on, the Notes for the benefit of the Holders of the Notes;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that it will give the Trustee prompt written notice of any failure by the Company to make any payment of the principal (including the Redemption Price, the Repurchase Price and the Fundamental Change Repurchase Price, if applicable) of, and accrued and unpaid interest, if any, on, the Notes when the same shall be due and payable;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that at any time during the continuance of an Event of Default, upon request of the Trustee, it will forthwith pay to the Trustee all sums so held.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shall, on or before each due date of the principal (including the Redemption Price, the Repurchase Price and the Fundamental Change Repurchase Price, if applicable) of, or accrued and unpaid interest, if any, on, the Notes, deposit with the Paying Agent a sum in immediately available funds sufficient to pay such principal (including the Redemption Price, the Repurchase Price and the Fundamental Change Repurchase Price, if applicable) or accrued and unpaid interest, if any, and (unless such Paying Agent is the Trustee) the Company will promptly notify the Trustee in writing of any failure to take such action; </w:t>
      </w:r>
      <w:r>
        <w:rPr>
          <w:rFonts w:ascii="Times New Roman;Times;serif" w:hAnsi="Times New Roman;Times;serif"/>
          <w:i/>
          <w:sz w:val="20"/>
        </w:rPr>
        <w:t xml:space="preserve">provided </w:t>
      </w:r>
      <w:r>
        <w:rPr>
          <w:rFonts w:ascii="Times New Roman;Times;serif" w:hAnsi="Times New Roman;Times;serif"/>
          <w:sz w:val="20"/>
        </w:rPr>
        <w:t>that such deposit must be received by the Paying Agent by 10:00 a.m., New York City time, one Business Day prior to the relevant due date. The Paying Agent shall not be bound to make any payment until it has received, in immediately available and cleared funds, an amount which shall be sufficient to pay, as applicable, the aggregate amount of principal (including the Redemption Price, the Repurchase Price and the Fundamental Change Repurchase Price, if applicable) of, or accrued and unpaid interest, if any, on, the Notes when such principal or interest, if any, shall become due and payable. The Paying Agent shall not be responsible or liable for any delay in making the payment if it does not receive funds before 10:00 a.m. one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Business Day prior to the payment date. The Company shall use reasonable efforts to procure that, before 10:00 a.m., New York City time, on the second Business Day before each payment date, the bank effecting payment for it has confirmed by facsimile to the Paying Agent the payment instructions relating to such payment.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the Company shall act as its own Paying Agent, it will, on or before each due date of the principal (including the Redemption Price, the Repurchase Price and the Fundamental Change Repurchase Price, if applicable) of, and accrued and unpaid interest, if any, on, the Notes, set aside, segregate and hold in trust for the benefit of the Holders of the Notes a sum sufficient to pay such principal (including the Redemption Price, the Repurchase Price and the Fundamental Change Repurchase Price, if applicable) and accrued and unpaid interest, if any, so becoming due and will promptly notify the Trustee in writing of any failure to take such action and of any failure by the Company to make any payment of the principal (including the Redemption Price, the Repurchase Price and the Fundamental Change Repurchase Price, if applicable) of, or accrued and unpaid interest, if any, on, the Notes when the same shall become due and payable. Upon an Event of Default under Section 6.01(i) or Section 6.01(j) hereof, the Trustee shall automatically become the Paying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Anything in this Section 4.04 to the contrary notwithstanding, the Company may, at any time, for the purpose of obtaining a satisfaction and discharge of this Indenture, or for any other reason, pay, cause to be paid or deliver to the Trustee all sums or amounts held by the Company in trust or by any Paying Agent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Any money and ADSs deposited with the Trustee or any Paying Agent, or then held by the Company, in trust for the payment of principal (including the Redemption Price, the Repurchase Price and the Fundamental Change Repurchase Price, if applicable) of, and accrued and unpaid interest, if any, on, or in satisfaction of its Conversion Obligation with respect to, any Note and remaining unclaimed for two years after such principal (including the Redemption Price, the Repurchase Price and the Fundamental Change Repurchase Price, if applicable) or interest, if any, has become due and payable or such Conversion Obligation has become due shall be paid or delivered, as the case may be,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money or property, and all liability of the Company as trustee thereof, shall thereupon cease;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the Trustee or such Paying Agent, before being required to make any such repayment or delivery, may at the expense of the Company cause to be published once, in a newspaper published in the English language, customarily published on each Business Day and of general circulation in The Borough of Manhattan, The City of New York, notice that such money and ADSs remains unclaimed and that, after a date specified therein, which shall not be less than 30 days from the date of such publication, any unclaimed balance of such money and ADSs then remaining will be repaid or delivered to the Company.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4.05</w:t>
      </w:r>
      <w:r>
        <w:rPr>
          <w:rFonts w:ascii="Times New Roman;Times;serif" w:hAnsi="Times New Roman;Times;serif"/>
          <w:i/>
          <w:sz w:val="20"/>
        </w:rPr>
        <w:t>Existence</w:t>
      </w:r>
      <w:r>
        <w:rPr>
          <w:rFonts w:ascii="Times New Roman;Times;serif" w:hAnsi="Times New Roman;Times;serif"/>
          <w:sz w:val="20"/>
        </w:rPr>
        <w:t>. Subject to Article 11, the Company shall do or cause to be done all things necessary to preserve and keep in full force and effect its corporate existence. The Company shall promptly provide the Trustee with written notice of any change to its name, jurisdiction of incorporation or change to its corporate organization.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4.06</w:t>
      </w:r>
      <w:r>
        <w:rPr>
          <w:rFonts w:ascii="Times New Roman;Times;serif" w:hAnsi="Times New Roman;Times;serif"/>
          <w:i/>
          <w:sz w:val="20"/>
        </w:rPr>
        <w:t>Rule 144A Information Requirement and Annual Reports</w:t>
      </w:r>
      <w:r>
        <w:rPr>
          <w:rFonts w:ascii="Times New Roman;Times;serif" w:hAnsi="Times New Roman;Times;serif"/>
          <w:sz w:val="20"/>
        </w:rPr>
        <w:t>. (a) At any time the Company is not subject to Section 13 or 15(d) of the Exchange Act, the Company shall, so long as any of the Notes, any ADSs deliverable upon conversion thereof, if any, or any Ordinary Shares represented by such ADSs, at such time, constitute “restricted securities” within the meaning of Rule 144(a)(3) under the Securities Act, promptly provide to the Trustee and shall, upon written request, provide to any Holder, beneficial owner or prospective purchaser of such Notes or the ADSs deliverable upon conversion of such Notes or Ordinary Shares represented thereby the information required to be delivered pursuant to Rule 144A(d)(4) under the Securities Act to facilitate the resale of such Notes or ADSs or Ordinary Shares represented thereby pursuant to Rule 144A. The Company shall take such further action as any Holder or beneficial owner of such Notes or such ADSs or Ordinary Shares represented thereby may reasonably request to the extent from time to time required to enable such Holder or beneficial owner to sell such Notes or ADSs or Ordinary Shares represented thereby in accordance with Rule 144A, as such rule may be amended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Company shall provide to the Trustee within 15 days after the same are required to be filed with the Commission, copies of any documents or reports that the Company is required to file with the Commission pursuant to Section 13 or 15(d) of the Exchange Act (giving effect to any applicable grace period provided by Rule 12b-25 under the Exchange Act). Any such document or report that the Company files with the Commission via the Commission’s EDGAR system (or any successor thereto) shall be deemed to be provided to the Trustee for purposes of this Section 4.06(b) at the time such documents are filed via the EDGAR system (or any successor thereto). The Trustee shall have no obligation to determine if and when the Company’s statements or reports are publicly available and/or accessible electronically.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Delivery of the reports and documents described in subsection (b) above to the Trustee is for informational purposes only, and the Trustee’s receipt of such shall not constitute actual or constructive notice or knowledge of any information contained therein or determinable from information contained therein, including the Company’s compliance with any of its covenants hereunder (as to which the Trustee is entitled to conclusively rely on an Officers’ Certificate).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If, at any time during the six-month period beginning on, and including, the date that is six months after the last date of original issuance of the Notes, the Company fails to timely file any document or report that it is required to file with the Commission pursuant to Section 13 or 15(d) of the Exchange Act, as applicable (after (i) giving effect to all applicable grace periods thereunder and (ii) other than reports on Form 6-K to the extent such reports are not required to satisfy the “current public information” requirements of Rule 144), or the Notes are not otherwise freely tradable pursuant to Rule 144 by Holders other than the Company’s Affiliates or Holders that were the Company’s Affiliates at any time during the three months immediately preceding (as a result of restrictions pursuant to U.S. securities laws or the terms of this Indenture or the Notes), the Company shall pay or cause the Paying Agent (on behalf of the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Company and subject to receipt of funds from the Company pursuant to the last paragraph in Section 4.04(a)) to pay Additional Interest on the Notes. Such Additional Interest shall accrue on the Notes at the rate of 0.50% per annum of the principal amount of the Notes outstanding for each day during such period for which the Company’s failure to file has occurred and is continuing or the period during which the Notes are not freely tradable, as described in this Section 4.06(d), by Holders other than Affiliates of the Company (or Holders that were Affiliates of the Company at any time during the three months immediately preceding). As used in this Section 4.06(d), documents or reports that the Company is required to “file” with the Commission pursuant to Section 13 or 15(d) of the Exchange Act does not include documents or reports that the Company furnishes to the Commission pursuant to Section 13 or 15(d) of the Exchange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If, and for so long as, the restrictive legend on the Notes specified in Section 2.05(c) has not been removed, the Notes are assigned a restricted CUSIP or the Notes are not otherwise freely tradable by Holders other than the Company’s Affiliates or Holders that were the Company’s Affiliates at any time during the three months immediately preceding (without restrictions pursuant to U.S. securities laws or the terms of this Indenture or the Notes) as of the 370th day after the last date of original issuance of the Notes, the Company shall pay or cause the Paying Agent to pay Additional Interest on the Notes at a rate equal to 0.50% per annum of the principal amount of Notes outstanding until the restrictive legend on the Notes has been removed in accordance with Section 2.05(c), the Notes have been assigned an unrestricted CUSIP and the Notes are freely tradable by Holders other than the Company’s Affiliates or Holders that were the Company’s Affiliates at any time during the three months immediately preceding (without restrictions pursuant to U.S. securities laws or the terms of this Indenture or the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Additional Interest will be payable in arrears on each Interest Payment Date following accrual in the same manner as regular interest on the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The Additional Interest that is payable in accordance with Section 4.06(d) or Section 4.06(e) shall be in addition to, and not in lieu of, any Additional Interest that may be payable as a result of the Company’s election pursuant to Section 6.03. In no event shall Additional Interest accrue on any day under the terms of this Indenture (taking any Additional Interest payable pursuant to Section 4.06(d) and Section 4.06(e) together with any Additional Interest payable pursuant to Section 6.03) at an annual rate in excess of 0.50%, in the aggregate, for any violation or Default caused by the Company’s failure to be current in respect of its Exchange Act reporting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If Additional Interest is payable by the Company pursuant to Section 4.06(d) or Section 4.06(e), the Company shall deliver to the Trustee an Officers’ Certificate to that effect stating (i) the amount of such Additional Interest that is payable and (ii) the date on which such Additional Interest is payable. Unless and until a Responsible Officer of the Trustee receives at the Corporate Trust Office such a certificate, the Trustee may assume without inquiry that no such Additional Interest is payable. If the Company has paid such Additional Interest directly to the Persons entitled to it, the Company shall deliver to the Trustee an Officers’ Certificate setting forth the particulars of such payment.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4.07</w:t>
      </w:r>
      <w:r>
        <w:rPr>
          <w:rFonts w:ascii="Times New Roman;Times;serif" w:hAnsi="Times New Roman;Times;serif"/>
          <w:i/>
          <w:sz w:val="20"/>
        </w:rPr>
        <w:t>Additional Amounts</w:t>
      </w:r>
      <w:r>
        <w:rPr>
          <w:rFonts w:ascii="Times New Roman;Times;serif" w:hAnsi="Times New Roman;Times;serif"/>
          <w:sz w:val="20"/>
        </w:rPr>
        <w:t>. (a) All payments and deliveries made by, or on behalf of, the Company or any successor to the Company under or with respect to this Indenture and the Notes, including, but not limited to, payments of principal (including, if applicable, the Redemption Price, the Repurchase Price and the Fundamental Change Repurchase Price), premium, if any, payments of interest (if applicable), including any Additional Interest, and payments of cash and/or deliveries of ADSs or any other consideration due on conversion of a Note (together with payments of cash for any Fractional ADS or other consideration), shall be made without withholding, deduction or reduction for any other collection at source for, or on account of, any present or future taxes, duties, assessments or governmental charges of whatever nature imposed or levied (including any penalties and interest related thereto) (“</w:t>
      </w:r>
      <w:r>
        <w:rPr>
          <w:rFonts w:ascii="Times New Roman;Times;serif" w:hAnsi="Times New Roman;Times;serif"/>
          <w:b/>
          <w:sz w:val="20"/>
        </w:rPr>
        <w:t>applicable taxes</w:t>
      </w:r>
      <w:r>
        <w:rPr>
          <w:rFonts w:ascii="Times New Roman;Times;serif" w:hAnsi="Times New Roman;Times;serif"/>
          <w:sz w:val="20"/>
        </w:rPr>
        <w:t>”) by or within any jurisdiction in which the Company or any successor to the Company is, for tax purposes, incorporated, organized or resident or doing business (each, as applicable, a “</w:t>
      </w:r>
      <w:r>
        <w:rPr>
          <w:rFonts w:ascii="Times New Roman;Times;serif" w:hAnsi="Times New Roman;Times;serif"/>
          <w:b/>
          <w:sz w:val="20"/>
        </w:rPr>
        <w:t>Relevant Taxing Jurisdiction</w:t>
      </w:r>
      <w:r>
        <w:rPr>
          <w:rFonts w:ascii="Times New Roman;Times;serif" w:hAnsi="Times New Roman;Times;serif"/>
          <w:sz w:val="20"/>
        </w:rPr>
        <w:t>”) or through which payment is made or deemed made (together with each Relevant Taxing Jurisdiction, a “</w:t>
      </w:r>
      <w:r>
        <w:rPr>
          <w:rFonts w:ascii="Times New Roman;Times;serif" w:hAnsi="Times New Roman;Times;serif"/>
          <w:b/>
          <w:sz w:val="20"/>
        </w:rPr>
        <w:t>Relevant Jurisdiction</w:t>
      </w:r>
      <w:r>
        <w:rPr>
          <w:rFonts w:ascii="Times New Roman;Times;serif" w:hAnsi="Times New Roman;Times;serif"/>
          <w:sz w:val="20"/>
        </w:rPr>
        <w:t>,” and in each case, any political subdivision or taxing authority thereof or therein) unless such withholding, deduction or reduction is required by law or by regulation or governmental policy having the force of law. In the event that any such withholding, deduction or reduction is so required, the Company or any successor to the Company shall pay or deliver to each Holder such additional amounts of cash, ADSs or other consideration, as applicable (“</w:t>
      </w:r>
      <w:r>
        <w:rPr>
          <w:rFonts w:ascii="Times New Roman;Times;serif" w:hAnsi="Times New Roman;Times;serif"/>
          <w:b/>
          <w:sz w:val="20"/>
        </w:rPr>
        <w:t>Additional Amounts</w:t>
      </w:r>
      <w:r>
        <w:rPr>
          <w:rFonts w:ascii="Times New Roman;Times;serif" w:hAnsi="Times New Roman;Times;serif"/>
          <w:sz w:val="20"/>
        </w:rPr>
        <w:t xml:space="preserve">”) as may be necessary to ensure that the net amount received by the beneficial owner of the Notes after such withholding, deduction or reduction (and after deducting any taxes on the Additional Amounts) shall equal the amounts that would have been received by such beneficial owner had no such withholding, deduction or reduction been required; </w:t>
      </w:r>
      <w:r>
        <w:rPr>
          <w:rFonts w:ascii="Times New Roman;Times;serif" w:hAnsi="Times New Roman;Times;serif"/>
          <w:i/>
          <w:sz w:val="20"/>
        </w:rPr>
        <w:t xml:space="preserve">provided </w:t>
      </w:r>
      <w:r>
        <w:rPr>
          <w:rFonts w:ascii="Times New Roman;Times;serif" w:hAnsi="Times New Roman;Times;serif"/>
          <w:sz w:val="20"/>
        </w:rPr>
        <w:t>that no Additional Amounts shall be payable: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for or on account of:</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(A)any applicable taxes that would not have been imposed but for:</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(1)the existence of any present or former connection between the relevant Holder or beneficial owner of such Note and the Relevant Jurisdiction, other than merely acquiring or holding such Note, receiving cash and/or ADSs (together with the payment of cash for any Fractional ADS) or other consideration upon conversion of such Note or the receipt of payments or the exercise or enforcement of rights thereunder, including, without limitation, such Holder or beneficial owner being or having been a national, domiciliary or resident of such Relevant Jurisdiction or treated as a resident thereof or being or having been physically present or engaged in a trade or business therein or having had a permanent establishment therein;</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(2)the presentation of such Note (in cases in which presentation is required) more than 30 days after the later of the date on which the payment of the principal of (including the Redemption Price, the Repurchase Price and Fundamental Change Repurchase Price, if applicable) and interest on, such Note or the payment of cash and/or the delivery of ADSs (together with payment of cash for any Fractional ADS)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2160" w:right="0" w:hanging="0"/>
        <w:jc w:val="left"/>
        <w:rPr>
          <w:rFonts w:ascii="Times New Roman;Times;serif" w:hAnsi="Times New Roman;Times;serif"/>
          <w:sz w:val="20"/>
        </w:rPr>
      </w:pPr>
      <w:r>
        <w:rPr>
          <w:rFonts w:ascii="Times New Roman;Times;serif" w:hAnsi="Times New Roman;Times;serif"/>
          <w:sz w:val="20"/>
        </w:rPr>
        <w:t>or other consideration upon conversion of such Note became due and payable pursuant to the terms thereof or was made or duly provided for;</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(3)the failure of the Holder or beneficial owner to comply with a timely written request from the Company or any successor of the Company, addressed to the Holder, to the extent such Holder or beneficial owner is legally entitled, to provide certification, information, documents or other evidence concerning such Holder’s or beneficial owner’s nationality, residence, identity or connection with the Relevant Taxing Jurisdiction, or to make any declaration or satisfy any other reporting requirement relating to such matters, if and to the extent that due and timely compliance with such request is required by statute, regulation or administrative practice of the Relevant Jurisdiction in order to reduce or eliminate any withholding or deduction as to which Additional Amounts would have otherwise been payable to such Holder or beneficial owner; or</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(4)the presentation of such Note (in cases in which presentation is required) for payment in the Relevant Jurisdiction, unless such Note could not have been presented for payment elsewhere;</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(B)any estate, inheritance, gift, sale, transfer, personal property or similar applicable tax or any excise or similar taxes imposed with respect to a transfer;</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(C)any applicable tax that is payable otherwise than by withholding, deduction for any other collection at source from payments or deliveries under or with respect to the Notes;</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(D)any applicable tax required to be withheld or deducted under Sections 1471 to 1474 of the Code (or any amended or successor versions of such Sections) (“</w:t>
      </w:r>
      <w:r>
        <w:rPr>
          <w:rFonts w:ascii="Times New Roman;Times;serif" w:hAnsi="Times New Roman;Times;serif"/>
          <w:b/>
          <w:sz w:val="20"/>
        </w:rPr>
        <w:t>FATCA</w:t>
      </w:r>
      <w:r>
        <w:rPr>
          <w:rFonts w:ascii="Times New Roman;Times;serif" w:hAnsi="Times New Roman;Times;serif"/>
          <w:sz w:val="20"/>
        </w:rPr>
        <w:t>”), any regulations or other official guidance thereunder, any intergovernmental agreement or agreement pursuant to Section 1471(b)(1) of the Code entered into in connection with FATCA, or any law, regulation or other official guidance enacted in any jurisdiction implementing FATCA or an intergovernmental agreement; or</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(E)any combination of applicable taxes referred to in the preceding clauses (A), (B), (C) or (D);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with respect to any payment of the principal of (including the Redemption Price, the Repurchase Price and the Fundamental Change Repurchase Price, if applicable), and interest on, such Note or the payment of cash and/or delivery of ADSs (together with payment of cash for any Fractional ADS) or other consideration upon conversion of such Note to a Holder, if the Holder is a fiduciary, partnership or person other than the sole beneficial owner of that payment to the extent that such payment would be required to be included in the income under the laws of the Relevant Jurisdiction, for tax purposes, of a beneficiary or settlor with respect to the fiduciary, a</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partner or member of that partnership or a beneficial owner who would not have been entitled to such Additional Amounts had that beneficiary, settlor, partner, member or beneficial owner been the Holder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the Company or its successor becomes obligated to pay Additional Amounts with respect to any payment or delivery under or with respect to the Notes, the Company or its successor shall deliver to the Trustee and the Paying Agent, if other than the Trustee, on a date that is at least 30 days prior to the date of that payment or delivery (unless the obligation to pay Additional Amounts arises after the 30th day prior to that payment or delivery date, in which case the Company or its successor shall notify the Trustee and the Paying Agent promptly thereafter) an Officers’ Certificate stating the fact that Additional Amounts will be payable and the amount estimated to be so payable. The Officers’ Certificate must also set forth any other information reasonably necessary to enable the Paying Agent or the Conversion Agent, as the case may be, (on behalf of the Company and subject to receipt of funds from the Company pursuant to the last paragraph in Section 4.04(a)) to pay Additional Amounts to Holders on the relevant payment or delivery date. The Trustee and the Paying Agent shall be entitled to rely solely on such Officers’ Certificate as conclusive proof that such payments are necessary. The Company or its successor shall provide the Trustee and the Paying Agent with documentation reasonably satisfactory to the Trustee evidencing the payment of Additional Amounts.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Company or its successor shall make all withholdings and deductions required by law and shall remit the full amount deducted or withheld to the relevant tax authority in accordance with applicable law. Upon request, the Company or its successor shall provide to the Trustee and the Paying Agent, if other than the Trustee, an official receipt or, if official receipts are not obtainable, an Officers’ Certificate evidencing the payment of any applicable taxes so deducted or withheld. Copies of those receipts or other documentation, as the case may be, shall be made available by the Trustee to the Holders of the Notes upon written request.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Any reference in this Indenture or the Notes in any context to the payment of cash and/or the delivery of ADSs (together with payment of cash for any Fractional ADS) or other consideration upon conversion of any Note or the payment of principal of (including the Redemption Price, the Repurchase Price and Fundamental Change Repurchase Price, if applicable) and any premium or interest, (including any Additional Interest) on any Note or any other amount payable with respect to such Note, shall be deemed to include payment of Additional Amounts to the extent that, in such context, Additional Amounts are, were or would be payable with respect to that amount pursuant to this Section 4.07.</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Notwithstanding any other provisions, the Company or its successor, the Trustee and the Paying Agent shall be entitled to make any withholding or deduction pursuant to FATCA.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If the Company or its successor is required to make any deduction or withholding from any payments or deliveries with respect to the Notes, it will deliver to the Trustee and the Paying Agent, if other than the Trustee, official tax receipts evidencing the remittance to the relevant tax authorities of the amounts so withheld or deducted.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The foregoing obligations shall survive termination or discharge of this Indenture.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4.08</w:t>
      </w:r>
      <w:r>
        <w:rPr>
          <w:rFonts w:ascii="Times New Roman;Times;serif" w:hAnsi="Times New Roman;Times;serif"/>
          <w:i/>
          <w:sz w:val="20"/>
        </w:rPr>
        <w:t>Stay, Extension and Usury Laws</w:t>
      </w:r>
      <w:r>
        <w:rPr>
          <w:rFonts w:ascii="Times New Roman;Times;serif" w:hAnsi="Times New Roman;Times;serif"/>
          <w:sz w:val="20"/>
        </w:rPr>
        <w:t>.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if any,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4.09</w:t>
      </w:r>
      <w:r>
        <w:rPr>
          <w:rFonts w:ascii="Times New Roman;Times;serif" w:hAnsi="Times New Roman;Times;serif"/>
          <w:i/>
          <w:sz w:val="20"/>
        </w:rPr>
        <w:t>Compliance Certificate; Statements as to Defaults</w:t>
      </w:r>
      <w:r>
        <w:rPr>
          <w:rFonts w:ascii="Times New Roman;Times;serif" w:hAnsi="Times New Roman;Times;serif"/>
          <w:sz w:val="20"/>
        </w:rPr>
        <w:t>. The Company shall deliver to the Trustee within 120 days after the end of each fiscal year of the Company (beginning with the fiscal year ending on December 31, 2021) an Officers’ Certificate stating that a review has been conducted of the Company’s activities under this Indenture and the Company has fulfilled its obligations hereunder, and whether the authorized Officers thereof have knowledge of any Default by the Company that occurred during the previous year that is then continuing and, if so, specifying each such Default and the nature thereof.</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the Company shall deliver to the Trustee, as soon as reasonably practicable, and in any event within 30 days after the Company becomes aware of the occurrence of any Default if such Default is then continuing, an Officers’ Certificate setting forth the details of such Default, its status and the action that the Company is taking or proposing to take in respect thereof. The Trustee shall have no responsibility to take any steps to ascertain whether any Event of Default or Default has occurred, and until (i) a Responsible Officer of the Trustee has received an Officers’ Certificate regarding such an occurrence, or (ii) the Trustee has received written notice at the Corporate Trust Office from the Holders of at least 25% in aggregate principal amount of the Notes then outstanding regarding such an occurrence, the Trustee is entitled to assume, without liability, that no Event of Default or Default has occurred.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4.10</w:t>
      </w:r>
      <w:r>
        <w:rPr>
          <w:rFonts w:ascii="Times New Roman;Times;serif" w:hAnsi="Times New Roman;Times;serif"/>
          <w:i/>
          <w:sz w:val="20"/>
        </w:rPr>
        <w:t>Further Instruments and Acts</w:t>
      </w:r>
      <w:r>
        <w:rPr>
          <w:rFonts w:ascii="Times New Roman;Times;serif" w:hAnsi="Times New Roman;Times;serif"/>
          <w:sz w:val="20"/>
        </w:rPr>
        <w:t>. Upon request of the Trustee, the Company will execute and deliver such further instruments and do such further acts as may be reasonably necessary or proper to carry out more effectively the purposes of this Indenture.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ARTICLE 5</w:t>
        <w:br/>
        <w:t>LISTS OF HOLDERS AND REPORTS BY THE COMPANY AND THE TRUSTEE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5.01</w:t>
      </w:r>
      <w:r>
        <w:rPr>
          <w:rFonts w:ascii="Times New Roman;Times;serif" w:hAnsi="Times New Roman;Times;serif"/>
          <w:i/>
          <w:sz w:val="20"/>
        </w:rPr>
        <w:t>Lists of Holders</w:t>
      </w:r>
      <w:r>
        <w:rPr>
          <w:rFonts w:ascii="Times New Roman;Times;serif" w:hAnsi="Times New Roman;Times;serif"/>
          <w:sz w:val="20"/>
        </w:rPr>
        <w:t>. The Company covenants and agrees that it will furnish or cause to be furnished to the Trustee, semi-annually, not more than 15 days after each April 1 and October 1 in each year beginning with April 1, 2024,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5.02</w:t>
      </w:r>
      <w:r>
        <w:rPr>
          <w:rFonts w:ascii="Times New Roman;Times;serif" w:hAnsi="Times New Roman;Times;serif"/>
          <w:i/>
          <w:sz w:val="20"/>
        </w:rPr>
        <w:t>Preservation and Disclosure of Lists</w:t>
      </w:r>
      <w:r>
        <w:rPr>
          <w:rFonts w:ascii="Times New Roman;Times;serif" w:hAnsi="Times New Roman;Times;serif"/>
          <w:sz w:val="20"/>
        </w:rPr>
        <w:t>.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destroy any list furnished to it as provided in Section 5.01 upon receipt of a new list so furnished.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ARTICLE 6</w:t>
        <w:br/>
        <w:t>DEFAULTS AND REMEDIES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6.01</w:t>
      </w:r>
      <w:r>
        <w:rPr>
          <w:rFonts w:ascii="Times New Roman;Times;serif" w:hAnsi="Times New Roman;Times;serif"/>
          <w:i/>
          <w:sz w:val="20"/>
        </w:rPr>
        <w:t>Events of Default</w:t>
      </w:r>
      <w:r>
        <w:rPr>
          <w:rFonts w:ascii="Times New Roman;Times;serif" w:hAnsi="Times New Roman;Times;serif"/>
          <w:sz w:val="20"/>
        </w:rPr>
        <w:t>. The following events shall be “</w:t>
      </w:r>
      <w:r>
        <w:rPr>
          <w:rFonts w:ascii="Times New Roman;Times;serif" w:hAnsi="Times New Roman;Times;serif"/>
          <w:b/>
          <w:sz w:val="20"/>
        </w:rPr>
        <w:t>Events of Default</w:t>
      </w:r>
      <w:r>
        <w:rPr>
          <w:rFonts w:ascii="Times New Roman;Times;serif" w:hAnsi="Times New Roman;Times;serif"/>
          <w:sz w:val="20"/>
        </w:rPr>
        <w:t>” with respect to the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default in any payment of interest or Additional Amounts, if any, on any Note when due and payable and the default continues for a period of 30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default in the payment of principal of any Note when due and payable on the Maturity Date, upon redemption in accordance with Section 16.01, Section 16.02 or Section 16.03, upon any required repurchase, upon declaration of acceleration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failure by the Company to comply with its obligations to convert the Notes in accordance with this Indenture upon exercise of a Holder’s conversion right and such failure continues for a period of five Business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failure by the Company to issue a Fundamental Change Company Notice in accordance with Section 15.02(c) or notice of a Make-Whole Fundamental Change in accordance with Section 14.03(a) or notice in accordance with Section 14.03(g) in each case, when due and such failure continues for a period of five Business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failure by the Company to comply with its obligations under Article 11;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failure by the Company for 60 days after written notice from the Trustee to the Company, or from the Holders of at least 25% in aggregate principal amount of the Notes then outstanding to the Company and the Trustee, has been received by the Company to comply with any of its other agreements contained in the Notes or this Indenture;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default by the Company or any Significant Subsidiary of the Company with respect to any mortgage, agreement or other instrument under which there may be outstanding, or by which there may be secured or evidenced, any indebtedness for money borrowed in excess of US$60 million (or the foreign currency equivalent thereof) in the aggregate of the Company and/or any such Significant Subsidiary, whether such indebtedness now exists or shall hereafter be created (i) resulting in such indebtedness becoming or being declared due and payable or (ii) constituting a failure to pay the principal or interest, if any, of any such debt when due and payable at its stated maturity, upon required repurchase, upon declaration of acceleration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a final judgment for the payment of US$60 million (or the foreign currency equivalent thereof) or more (excluding any amounts covered by insurance) rendered against the Company or any Significant Subsidiary of the Company, which judgment is not paid, bonded or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otherwise discharged or stayed within 60 days after (i) the date on which the right to appeal thereof has expired if no such appeal has commenced, or (ii) the date on which all rights to appeal have been extinguished;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Company or any Significant Subsidiary shall commence a voluntary case or other proceeding seeking liquidation, reorganization or other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an involuntary case or other proceeding shall be commenced against the Company or any Significant Subsidiary seeking liquidation, 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30 consecutive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6.02</w:t>
      </w:r>
      <w:r>
        <w:rPr>
          <w:rFonts w:ascii="Times New Roman;Times;serif" w:hAnsi="Times New Roman;Times;serif"/>
          <w:i/>
          <w:sz w:val="20"/>
        </w:rPr>
        <w:t>Acceleration; Rescission and Annulment</w:t>
      </w:r>
      <w:r>
        <w:rPr>
          <w:rFonts w:ascii="Times New Roman;Times;serif" w:hAnsi="Times New Roman;Times;serif"/>
          <w:sz w:val="20"/>
        </w:rPr>
        <w:t>.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6.01(i) or Section 6.01(j) with respect to the Company or any of its Significant Subsidiaries), unless the principal of all of the Notes shall have already become due and payable, the Trustee may by notice in writing to the Company, or the Holders of at least 25% in aggregate principal amount of the Notes then outstanding determined in accordance with Section 8.04, by notice in writing to the Company and to the Trustee may, and the Trustee at the request of such Holders shall (subject to being indemnified and/or secured and/or pre-funded to its satisfaction), declare 100% of the principal of, and accrued and unpaid interest, if any on, all the Notes to be due and payable immediately, and upon any such declaration the same shall become and shall automatically be immediately due and payable, notwithstanding anything contained in this Indenture or in the Notes to the contrary. If an Event of Default specified in Section 6.01(i) or Section 6.01(j) with respect to the Company or any of its Significant Subsidiaries occurs and is continuing, 100% of the principal of, and accrued and unpaid interest, if any, on, all Notes shall become and shall automatically be immediately due and payable without any action on the part of the Trustee. If an Event of Default occurs and is continuing, the Agents and any other agents of the Company appointed under this Indenture will be required to act on the direction of the Trustee.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hereinafter provided, the Company shall pay or shall deposit with the Trustee a sum sufficient to pay installments of accrued and unpaid interest, if any, upon all Notes and the principal of any and all Notes that shall have become due otherwise than by acceleration (with interest on overdue installments of accrued and unpaid interest, to the extent that payment of such interest is enforceable under applicable law, and on such principal at the rate per annum borne by the Notes </w:t>
      </w:r>
      <w:r>
        <w:rPr>
          <w:rFonts w:ascii="Times New Roman;Times;serif" w:hAnsi="Times New Roman;Times;serif"/>
          <w:i/>
          <w:sz w:val="20"/>
        </w:rPr>
        <w:t xml:space="preserve">plus </w:t>
      </w:r>
      <w:r>
        <w:rPr>
          <w:rFonts w:ascii="Times New Roman;Times;serif" w:hAnsi="Times New Roman;Times;serif"/>
          <w:sz w:val="20"/>
        </w:rPr>
        <w:t>one percent) and amounts due to the Trustee pursuant to Section 7.06, and if (1) rescission would not conflict with any judgment or decree of a court of competent jurisdiction and (2) any and all existing Events of Default under this Indenture, other than the non-payment of the principal of and accrued and unpaid interest, if any, on Notes that shall have become due solely by such acceleration, shall have been cured or waived pursuant to Section 6.09, then and in every such case (except as provided in the immediately succeeding sentence)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of, or accrued and unpaid interest, if any, on any Notes, (ii) a failure to repurchase any Notes when required or (iii) a failure to pay or deliver, as the case may be, the consideration due upon conversion of the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6.03</w:t>
      </w:r>
      <w:r>
        <w:rPr>
          <w:rFonts w:ascii="Times New Roman;Times;serif" w:hAnsi="Times New Roman;Times;serif"/>
          <w:i/>
          <w:sz w:val="20"/>
        </w:rPr>
        <w:t>Additional Interest</w:t>
      </w:r>
      <w:r>
        <w:rPr>
          <w:rFonts w:ascii="Times New Roman;Times;serif" w:hAnsi="Times New Roman;Times;serif"/>
          <w:sz w:val="20"/>
        </w:rPr>
        <w:t>. Notwithstanding anything in this Indenture or in the Notes to the contrary, to the extent the Company elects, the sole remedy for Event of Default relating to the Company’s failure to comply with its obligations as set forth in Section 4.06(b) shall after the occurrence of such an Event of Default consist exclusively of the right to receive Additional Interest on the Notes at a rate equal 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0.25% per annum of the principal amount of the Notes outstanding for each day during the period beginning on, and including, the date on which such an Event of Default first occurs and ending on the earlier of (i) the date on which such Event of Default is cured or validly waived and (ii) the 90th day immediately following, and including, the date on which such Event of Default first occurred;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such Event of Default has not been cured or validly waived prior to the 91st day immediately following, and including, the date on which such Event of Default first occurred, 0.50% per annum of the principal amount of the Notes outstanding for each day during the period beginning on, and including, the 91st day immediately following, and including, the date on which such an Event of Default first occurred and ending on the earlier of (i) the date on which such Event of Default is cured or validly waived and (ii) the 180th day immediately following, and including, the date on which such Event of Default first occurred.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Interest payable pursuant to this Section 6.03 shall be in addition to, not in lieu of, any Additional Interest payable pursuant to Section 4.06(d) or Section 4.06(e). In no event shall Additional Interest accrue on the Notes on any day under this Indenture (taking any Additional Interest payable pursuant to this Section 6.03 together with any Additional Interest payable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Section 4.06(d) and Section 4.06(e)) at an annual rate accruing in excess of 0.50%, in the aggregate, for any violation or Default caused by the Company’s failure to be current in respect of its Exchange Act reporting obligations. If the Company so elects, such Additional Interest shall be payable in the same manner and on the same dates as regular interest on the Notes. On the 181st day after such Event of Default (if the Event of Default with respect to the Company’s obligations under Section 4.06(b) is not cured or waived prior to such 181st day), the Notes will be subject to acceleration as provided in Section 6.02. In the event the Company does not elect to pay Additional Interest following an Event of Default in accordance with this Section 6.03 or the Company elected to make such payment but does not pay the Additional Interest when due, the Notes shall be subject to acceleration as provided in Section 6.02.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order to elect to pay Additional Interest as the sole remedy during the first 180 days after the occurrence of any Event of Default described in the immediately preceding paragraph, the Company must notify in writing all Holders of the Notes, the Trustee and the Paying Agent of such election prior to the beginning of such 180-day period. Upon the failure to timely give such notice, the Notes shall be immediately subject to acceleration as provided in Section 6.02.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6.04</w:t>
      </w:r>
      <w:r>
        <w:rPr>
          <w:rFonts w:ascii="Times New Roman;Times;serif" w:hAnsi="Times New Roman;Times;serif"/>
          <w:i/>
          <w:sz w:val="20"/>
        </w:rPr>
        <w:t>Payments of Notes on Default; Suit Therefor</w:t>
      </w:r>
      <w:r>
        <w:rPr>
          <w:rFonts w:ascii="Times New Roman;Times;serif" w:hAnsi="Times New Roman;Times;serif"/>
          <w:sz w:val="20"/>
        </w:rPr>
        <w:t>. If an Event of Default described in clause (a) or (b) of Section 6.01 shall have occurred, the Company shall, upon demand of the Trustee acting in its own discretion or at the request of Holders of at least 25% in aggregate principal amount of the Notes then outstanding determined in accordance with Section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8.04 and subject to indemnity and/or security and/or pre-funding satisfactory to the Trustee, pay to the Trustee, for the benefit of the Holders of the Notes, the whole amount then due and payable on the Notes for principal and interest, if any, with interest on any overdue principal and interest, if any, at the rate per annum borne by the Notes at such time </w:t>
      </w:r>
      <w:r>
        <w:rPr>
          <w:rFonts w:ascii="Times New Roman;Times;serif" w:hAnsi="Times New Roman;Times;serif"/>
          <w:i/>
          <w:sz w:val="20"/>
        </w:rPr>
        <w:t xml:space="preserve">plus </w:t>
      </w:r>
      <w:r>
        <w:rPr>
          <w:rFonts w:ascii="Times New Roman;Times;serif" w:hAnsi="Times New Roman;Times;serif"/>
          <w:sz w:val="20"/>
        </w:rPr>
        <w:t>one percent,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papers or documents and to take such other actions as it may deem necessary or advisable in order to have the claims of the Trustee (including any claim for the compensation, properly incurred expenses, properly incurred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to it for compensation, properly incurred expenses, advances and properly incurred disbursements, including agents and counsel fees and expenses, and including any other amounts due to the Trustee under Section 7.06, incurred by it up to the date of such distribution. To the extent that such payment of compensation, properly incurred expenses, advances and properly incurred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compensation, properly incurred expenses, properly incurred disbursements and advances of the Trustee, its agents and counsel, be for the ratable benefit of the Holders of the Notes.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6.05</w:t>
      </w:r>
      <w:r>
        <w:rPr>
          <w:rFonts w:ascii="Times New Roman;Times;serif" w:hAnsi="Times New Roman;Times;serif"/>
          <w:i/>
          <w:sz w:val="20"/>
        </w:rPr>
        <w:t>Application of Monies Collected by Trustee</w:t>
      </w:r>
      <w:r>
        <w:rPr>
          <w:rFonts w:ascii="Times New Roman;Times;serif" w:hAnsi="Times New Roman;Times;serif"/>
          <w:sz w:val="20"/>
        </w:rPr>
        <w:t>. Any monies or property collected by the Trustee pursuant to this Article 6 with respect to the Notes shall be applied in the following order, at the date or dates fixed by the Trustee for the distribution of such monies, upon presentation of the several Notes, and stamping thereon the payment, if only partially paid, and upon surrender thereof, if fully paid: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First</w:t>
      </w:r>
      <w:r>
        <w:rPr>
          <w:rFonts w:ascii="Times New Roman;Times;serif" w:hAnsi="Times New Roman;Times;serif"/>
          <w:sz w:val="20"/>
        </w:rPr>
        <w:t>, to the payment of all amounts due to the Trustee, including to its agents and counsel, hereunder and any payments due to the Paying Agent, the Transfer Agent, the Conversion Agent and the Note Registrar hereunder;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Second</w:t>
      </w:r>
      <w:r>
        <w:rPr>
          <w:rFonts w:ascii="Times New Roman;Times;serif" w:hAnsi="Times New Roman;Times;serif"/>
          <w:sz w:val="20"/>
        </w:rPr>
        <w:t>, in case the principal of the outstanding Notes shall not have become due and be unpaid, to the payment of interest, if any, on, the Notes in default in the order of the date due of the payments of such interest, with interest (to the extent that such interest has been collected by the Trustee) upon such overdue payments at the rate per annum borne by the Notes at such time (including, without duplication, any additional interest on such overdue payments pursuant to Section 6.04), such payments to be made ratably to the Persons entitled thereto;</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Third</w:t>
      </w:r>
      <w:r>
        <w:rPr>
          <w:rFonts w:ascii="Times New Roman;Times;serif" w:hAnsi="Times New Roman;Times;serif"/>
          <w:sz w:val="20"/>
        </w:rPr>
        <w:t xml:space="preserve">, in case the principal of the outstanding Notes shall have become due, by declaration or otherwise, and be unpaid to the payment of the whole amount (including, if applicable, the payment of the Redemption Price, Repurchase Price or Fundamental Change Repurchase Price and any cash due upon conversion) then owing and unpaid upon the Notes for principal and interest, if any, with interest on the overdue principal and, to the extent that such interest has been collected by the Trustee, upon overdue installments of interest at the rate per annum borne by the Notes at such time </w:t>
      </w:r>
      <w:r>
        <w:rPr>
          <w:rFonts w:ascii="Times New Roman;Times;serif" w:hAnsi="Times New Roman;Times;serif"/>
          <w:i/>
          <w:sz w:val="20"/>
        </w:rPr>
        <w:t xml:space="preserve">plus </w:t>
      </w:r>
      <w:r>
        <w:rPr>
          <w:rFonts w:ascii="Times New Roman;Times;serif" w:hAnsi="Times New Roman;Times;serif"/>
          <w:sz w:val="20"/>
        </w:rPr>
        <w:t>one percent, and in case such monies shall be insufficient to pay in full the whole amounts so due and unpaid upon the Notes, then to the payment of such principal (including, if applicable, the Redemption Price, Repurchase Price or Fundamental Change Repurchase Price and the cash due upon conversion) and interest without preference or priority of principal over interest, if any, or of interest over principal or of any installment of interest over any other installment of interest, or of any Note over any other Note, ratably to the aggregate of such principal (including, if applicable, the Redemption Price, Repurchase Price or Fundamental Change Repurchase Price) and accrued and unpaid interest; 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Fourth</w:t>
      </w:r>
      <w:r>
        <w:rPr>
          <w:rFonts w:ascii="Times New Roman;Times;serif" w:hAnsi="Times New Roman;Times;serif"/>
          <w:sz w:val="20"/>
        </w:rPr>
        <w:t>, to the payment of the remainder, if any,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6.06</w:t>
      </w:r>
      <w:r>
        <w:rPr>
          <w:rFonts w:ascii="Times New Roman;Times;serif" w:hAnsi="Times New Roman;Times;serif"/>
          <w:i/>
          <w:sz w:val="20"/>
        </w:rPr>
        <w:t>Proceedings by Holders</w:t>
      </w:r>
      <w:r>
        <w:rPr>
          <w:rFonts w:ascii="Times New Roman;Times;serif" w:hAnsi="Times New Roman;Times;serif"/>
          <w:sz w:val="20"/>
        </w:rPr>
        <w:t>. Except to enforce the right to receive payment of principal (including, if applicable, the Redemption Price, the Repurchase Price or Fundamental Change Repurchase Price) or interest, if any, when due, or the right to receive payment or delivery of the consideration due upon conversion, no Holder of any Note shall have any right by virtue of or by availing of any provision of this Indenture to institute any suit, action or proceeding in equity or at law upon or under or with respect to this Indenture, or for the appointment of a receiver, trustee, liquidator, custodian or other similar official, or for any other remedy hereunder, unless: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such Holder previously shall have given to the Trustee written notice of an Event of Default and of the continuance thereof, as herein provided;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Holders of at least 25% in aggregate principal amount of the Notes then outstanding shall have made written request upon the Trustee to institute such action, suit or proceeding in its own name as Trustee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such Holders shall have offered to the Trustee such security and/or indemnity and/or pre-funding satisfactory to it against any loss, liability or expense to be incurred therein or thereby;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Trustee for 60 days after its receipt of such notice, request and offer of security and/or indemnity and/or pre-funding, shall have not complied with such written request of the Holders to institute any such action, suit or proceeding;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no direction that, in the opinion of the Trustee, is inconsistent with such written request shall have been given to the Trustee by the Holders of a majority of the aggregate principal amount of the Notes then outstanding within such 60-day period pursuant to Section 6.09,</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Notwithstanding any other provision of this Indenture and any provision of any Note, the right of any Holder to receive payment or delivery, as the case may be, of (x) the principal (including the Redemption Price, the Repurchase Price and the Fundamental Change Repurchase Price, if applicable) of, (y) 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 on or after such respective dates against the Company shall not be impaired or affected without the consent of such Holder.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6.07</w:t>
      </w:r>
      <w:r>
        <w:rPr>
          <w:rFonts w:ascii="Times New Roman;Times;serif" w:hAnsi="Times New Roman;Times;serif"/>
          <w:i/>
          <w:sz w:val="20"/>
        </w:rPr>
        <w:t>Proceedings by Trustee</w:t>
      </w:r>
      <w:r>
        <w:rPr>
          <w:rFonts w:ascii="Times New Roman;Times;serif" w:hAnsi="Times New Roman;Times;serif"/>
          <w:sz w:val="20"/>
        </w:rPr>
        <w:t>.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6.08</w:t>
      </w:r>
      <w:r>
        <w:rPr>
          <w:rFonts w:ascii="Times New Roman;Times;serif" w:hAnsi="Times New Roman;Times;serif"/>
          <w:i/>
          <w:sz w:val="20"/>
        </w:rPr>
        <w:t>Remedies Cumulative and Continuing</w:t>
      </w:r>
      <w:r>
        <w:rPr>
          <w:rFonts w:ascii="Times New Roman;Times;serif" w:hAnsi="Times New Roman;Times;serif"/>
          <w:sz w:val="20"/>
        </w:rPr>
        <w:t>. Except as provided in the last paragraph of Section 2.06, all powers and remedies given by this Article 6 to the Trustee or to the Holders shall, to the extent permitted by law, be deemed cumulative and not exclusive of any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6.09</w:t>
      </w:r>
      <w:r>
        <w:rPr>
          <w:rFonts w:ascii="Times New Roman;Times;serif" w:hAnsi="Times New Roman;Times;serif"/>
          <w:i/>
          <w:sz w:val="20"/>
        </w:rPr>
        <w:t>Direction of Proceedings and Waiver of Defaults by Majority of Holders</w:t>
      </w:r>
      <w:r>
        <w:rPr>
          <w:rFonts w:ascii="Times New Roman;Times;serif" w:hAnsi="Times New Roman;Times;serif"/>
          <w:sz w:val="20"/>
        </w:rPr>
        <w:t xml:space="preserve">.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Notes;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(a) such direction shall not be in conflict with any rule of law or with this Indenture, and (b) the Trustee may take any other action deemed proper by the Trustee that is not inconsistent with such direction. The Trustee may refuse to follow any direction that conflicts with law or this Indenture, that may involve the Trustee in personal liability, or if it is not provided with security and/or indemnity and/or pre-funding to its satisfaction, or that the Trustee determines is unduly prejudicial to the rights of any other Holder (it being understood that the Trustee does not have an affirmative duty to ascertain whether or not such actions or forbearances are unduly prejudicial to such Holders). In addition, the Trustee will not be required to expend its own funds under any circumstances. The Holders of a majority in aggregate principal amount of the Notes at the time outstanding determined in accordance with Section 8.04 may on behalf of the Holders of all of the Notes waive any past Default or Event of Default hereunder and its consequences except (i) a default in the payment of accrued and unpaid interest, if any, on, or the principal (including, if applicable, the Redemption Price, Repurchase Price or Fundamental Change Repurchase Price) of, the Notes when due that has not been cured pursuant to the provisions of Section 6.02, (ii) a failure by the Company to pay or deliver, or cause to be delivered, as the case may be, the consideration due upon conversion of the Notes or (iii) a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6.10</w:t>
      </w:r>
      <w:r>
        <w:rPr>
          <w:rFonts w:ascii="Times New Roman;Times;serif" w:hAnsi="Times New Roman;Times;serif"/>
          <w:i/>
          <w:sz w:val="20"/>
        </w:rPr>
        <w:t>Notice of Defaults and Events of Default</w:t>
      </w:r>
      <w:r>
        <w:rPr>
          <w:rFonts w:ascii="Times New Roman;Times;serif" w:hAnsi="Times New Roman;Times;serif"/>
          <w:sz w:val="20"/>
        </w:rPr>
        <w:t xml:space="preserve">. If a Default or Event of Default occurs and is continuing and is notified in writing to the Trustee, the Trustee shall, within 90 days after the occurrence and continuance of such Default or Event of Default, deliver to all Holders (at the Company’s expense) as the names and addresses of such Holders appear upon the Note Register, notice of all Defaults so notified in writing, unless such Defaults shall have been cured or waived before the giving of such notice; </w:t>
      </w:r>
      <w:r>
        <w:rPr>
          <w:rFonts w:ascii="Times New Roman;Times;serif" w:hAnsi="Times New Roman;Times;serif"/>
          <w:i/>
          <w:sz w:val="20"/>
        </w:rPr>
        <w:t xml:space="preserve">provided </w:t>
      </w:r>
      <w:r>
        <w:rPr>
          <w:rFonts w:ascii="Times New Roman;Times;serif" w:hAnsi="Times New Roman;Times;serif"/>
          <w:sz w:val="20"/>
        </w:rPr>
        <w:t>that the Trustee shall not be deemed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have knowledge of any occurrence of a Default or Event of Default unless a responsible officer of the Trustee has received written notice specifying such Default or Event of Default. Except in the case of a Default in the payment of the principal of (including the Redemption Price, the Repurchase Price and the Fundamental Change Repurchase Price, if applicable), or accrued and unpaid interest, if any, on, any of the Notes or a Default in the payment or delivery of the consideration due upon conversion, the Trustee shall be protected in withholding such notice if and so long as the Trustee’s board of directors, a Responsible Officer, an executive committee or a committee of Responsible Officers of the Trustee (in its sole discretion) in good faith determines that the withholding of such notice is in the interests of the 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6.11</w:t>
      </w:r>
      <w:r>
        <w:rPr>
          <w:rFonts w:ascii="Times New Roman;Times;serif" w:hAnsi="Times New Roman;Times;serif"/>
          <w:i/>
          <w:sz w:val="20"/>
        </w:rPr>
        <w:t>Undertaking to Pay Costs</w:t>
      </w:r>
      <w:r>
        <w:rPr>
          <w:rFonts w:ascii="Times New Roman;Times;serif" w:hAnsi="Times New Roman;Times;serif"/>
          <w:sz w:val="20"/>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costs, including attorneys’ fees and expenses, against any party litigant in such suit, having due regard to the merits and good faith of the claims or defenses made by such party litigant; </w:t>
      </w:r>
      <w:r>
        <w:rPr>
          <w:rFonts w:ascii="Times New Roman;Times;serif" w:hAnsi="Times New Roman;Times;serif"/>
          <w:i/>
          <w:sz w:val="20"/>
        </w:rPr>
        <w:t xml:space="preserve">provided </w:t>
      </w:r>
      <w:r>
        <w:rPr>
          <w:rFonts w:ascii="Times New Roman;Times;serif" w:hAnsi="Times New Roman;Times;serif"/>
          <w:sz w:val="20"/>
        </w:rPr>
        <w:t>that the provisions of this Section 6.11 (to the extent permitted by law) shall not apply to any suit instituted by or against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Redemption Price, the Repurchase Price and Fundamental Change Repurchase Price with respect to the Notes being repurchased as provided in this Indenture) on or after the due date expressed or provided for in such Note or to any suit for the enforcement of the right to convert any Note in accordance with the provisions of Article 14.</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ARTICLE 7</w:t>
        <w:br/>
        <w:t>CONCERNING THE TRUSTEE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7.01</w:t>
      </w:r>
      <w:r>
        <w:rPr>
          <w:rFonts w:ascii="Times New Roman;Times;serif" w:hAnsi="Times New Roman;Times;serif"/>
          <w:i/>
          <w:sz w:val="20"/>
        </w:rPr>
        <w:t>Duties and Responsibilities of Trustee</w:t>
      </w:r>
      <w:r>
        <w:rPr>
          <w:rFonts w:ascii="Times New Roman;Times;serif" w:hAnsi="Times New Roman;Times;serif"/>
          <w:sz w:val="20"/>
        </w:rPr>
        <w:t xml:space="preserve">. The Trustee, prior to the occurrence of an Event of Default and after the curing or waiver of all Events of Default that may have occurred, undertakes to perform such duties and only such duties as are specifically set forth in this Indenture and no implied covenants or obligations will be read into the Indenture against the Trustee. In case an Event of Default, of which the Trustee has actual written notice, has occurred that has not been cured or waived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Times;serif" w:hAnsi="Times New Roman;Times;serif"/>
          <w:i/>
          <w:sz w:val="20"/>
        </w:rPr>
        <w:t xml:space="preserve">provided </w:t>
      </w:r>
      <w:r>
        <w:rPr>
          <w:rFonts w:ascii="Times New Roman;Times;serif" w:hAnsi="Times New Roman;Times;serif"/>
          <w:sz w:val="20"/>
        </w:rPr>
        <w:t>that the Trustee will be under no obligation to exercise any of the rights or powers under this Indenture at the request or direction of any of the Holders unless such Holders have offered to the Trustee indemnity and/or security and/or pre-funding satisfactory to it against the losses, costs, liabilities or expenses that might be incurred by it in compliance with such request or direction.</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provision of this Indenture shall be construed to relieve the Trustee from liability for its own grossly negligent action, its own grossly negligent failure to act or its own willful misconduct, except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prior to the occurrence of an Event of Default and after the curing or waiving of all Events of Default that may have occurred: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or any of the Agents;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absence of gross negligence and willful misconduct on the part of the Trustee, as determined in a final decision of a court of competent jurisdiction, the Trustee may conclusively and without liability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statements, opinions or conclusions stated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Trustee shall not be liable for any error of judgment made in good faith by a Responsible Officer or Responsible Officers of the Trustee, unless it shall be proved in a final decision in a court of competent jurisdiction that the Trustee was grossly negligent in ascertaining the pertinent facts;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whether or not therein provided, every provision of this Indenture relating to the conduct or affecting the liability of, or affording protection to, the Trustee shall be subject to the provisions of this Section;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if any party fails to deliver a notice relating to an event the fact of which, pursuant to this Indenture, requires notice to be sent to the Trustee, the Trustee may conclusively and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without liability rely on its failure to receive such notice as reason to act as if no such event occurred;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in the event that the Trustee or any of its affiliates is also acting as Note Registrar, Paying Agent, Conversion Agent or Transfer Agent hereunder, the rights immunities, privileges, disclaimers from liability and protections (including the right to compensation and indemnity) afforded to the Trustee pursuant to this Article 7 shall also be afforded to such Note Registrar, Paying Agent, Conversion Agent or Transfer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Trustee shall have no duty to inquire, no duty to determine and no duty to monitor as to the performance of the Company’s covenants in this Indenture or the financial performance of the Company; the Trustee shall be entitled to assume, until it has received written notice in accordance with this Indenture, that the Company is properly performing its duties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the Trustee shall be under no obligation to enforce any of the provisions of this Indenture unless it is instructed by Holders of at least 25% of the aggregate principal amount of outstanding Notes and is provided with security and/or indemnity and/or pre-funding satisfactory to 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the Trustee will be under no obligation to exercise any of its rights or powers under this Indenture at the request or direction of any of the Holders unless such Holders have offered to the Trustee indemnity and/or security and/or pre-funding satisfactory to it against any costs, expenses and liabilities that might be incurred by it in compliance with such requests or direction.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before the Trustee acts or refrains from acting, it may require an Officers’ Certificate or an Opinion of Counsel prepared and delivered at the cost of the Company conforming to Section 17.06 and the Trustee and the Agents may rely conclusively on such certificate or opinion and will not be liable for any action it takes or omits to take in good faith in reliance on such Officers’ Certificate or Opinion of Counsel;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rPr>
        <w:t>in connection with the exercise by it of its trusts, powers, authorities or discretions (including, without limitation, any modification, waiver, authorization or determination), the Trustee shall have regard to the general interests of the Holders as a class but shall not have regard to any interests arising from circumstances particular to individual Holders (whatever their number) and in particular, but without limitation, shall not have regard to the consequences of the exercise of its trusts, powers, authorities or discretions for individual Holders (whatever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their number) resulting from their being for any purpose domiciled or resident in, or otherwise connected with, or subject to the jurisdiction of, any country, state or territory;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rPr>
        <w:t>the Trustee is not obliged to do or omit to do anything which in its reasonable opinion, would or may be illegal or would constitute a breach of any duty of confidentiality, or any law, rule, regulation, or any decree, order or judgment of any court, or practice, request, direction, notice, announcement or similar action (whether or not having the force of law) of any relevant government, government agency, regulatory authority, stock exchange or self-regulatory organization to which the Trustee is subject. The Trustee may without liability to do anything which is, in its reasonable opinion, necessary to comply with any such law, directive or regulations.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 of the provisions contained in this Indenture shall require the Trustee to expend or risk its own funds or otherwise incur any financial liability in the performance of any of its duties or in the exercise of any of its rights or powers.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7.02</w:t>
      </w:r>
      <w:r>
        <w:rPr>
          <w:rFonts w:ascii="Times New Roman;Times;serif" w:hAnsi="Times New Roman;Times;serif"/>
          <w:i/>
          <w:sz w:val="20"/>
        </w:rPr>
        <w:t xml:space="preserve">Reliance on Documents, Opinions, Etc. </w:t>
      </w:r>
      <w:r>
        <w:rPr>
          <w:rFonts w:ascii="Times New Roman;Times;serif" w:hAnsi="Times New Roman;Times;serif"/>
          <w:sz w:val="20"/>
        </w:rPr>
        <w:t>Except as otherwise provided in Section 7.01: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Trustee may conclusively and without liability rely and shall be fully protected in acting or refraining from acting upon any resolution, certificate, statement, instrument, opinion, report, notice, request, consent, order, bond, Note, coupon or other paper or document (whether in its original or facsimile form) believed by it in good faith to be genuine and to have been signed or presented by the proper party or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Trustee may execute any of the trusts or powers hereunder or perform any duties hereunder either directly or by or through agents, delegates, custodians, nominees or attorneys and the Trustee shall not be responsible for any misconduct or negligence on the part of</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agent, delegate, representative, custodian, nominee or attorney appointed by it with due care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the permissive rights of the Trustee enumerated herein shall not be construed as duties;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under no circumstances and notwithstanding any contrary provision included herein, neither the Trustee, the Paying Agent, the Conversion Agent nor the Note Registrar shall be responsible or liable for special, indirect, punitive, or consequential damages or loss of any kind whatsoever (including, but not limited to, loss of profit) irrespective of whether any of them have been advised of the likelihood of such loss or damage and regardless of the form of action; this provision shall remain in full force and effect notwithstanding the discharge of the Notes, the termination of this Indenture or the resignation, replacement or removal of the Trustee, the Paying Agent, the Conversion Agent and the Note Registrar;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the Trustee, the Paying Agent, the Conversion Agent and the Note Registrar may refrain from taking any action in any jurisdiction if the taking of such action in that jurisdiction would, in its opinion based upon legal advice in the relevant jurisdiction, be contrary to any law of that jurisdiction or, to the extent applicable, of New York; furthermore, the Trustee may also refrain from taking such action if it would otherwise render it liable to any person in that jurisdiction or New York or if, in its opinion based on such legal advice, it would not have the power to do the relevant thing in that jurisdiction by virtue of any applicable law in that jurisdiction or in New York or if it is determined by any court or other competent authority in that jurisdiction that it does not have such power;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Trustee shall not be deemed to have knowledge of any Default or Event of Default with respect to the Notes, unless a written notice of such Default or Event of Default shall have been received by the Trustee at the Corporate Trust Office of the Trustee in accordance with Section 17.03;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 xml:space="preserve">the Trustee </w:t>
      </w:r>
      <w:r>
        <w:rPr>
          <w:rFonts w:ascii="Times New Roman;Times;serif" w:hAnsi="Times New Roman;Times;serif"/>
          <w:color w:val="454647"/>
          <w:sz w:val="20"/>
        </w:rPr>
        <w:t xml:space="preserve">shall </w:t>
      </w:r>
      <w:r>
        <w:rPr>
          <w:rFonts w:ascii="Times New Roman;Times;serif" w:hAnsi="Times New Roman;Times;serif"/>
          <w:sz w:val="20"/>
        </w:rPr>
        <w:t xml:space="preserve">not be required to </w:t>
      </w:r>
      <w:r>
        <w:rPr>
          <w:rFonts w:ascii="Times New Roman;Times;serif" w:hAnsi="Times New Roman;Times;serif"/>
          <w:color w:val="454647"/>
          <w:sz w:val="20"/>
        </w:rPr>
        <w:t xml:space="preserve">give </w:t>
      </w:r>
      <w:r>
        <w:rPr>
          <w:rFonts w:ascii="Times New Roman;Times;serif" w:hAnsi="Times New Roman;Times;serif"/>
          <w:sz w:val="20"/>
        </w:rPr>
        <w:t xml:space="preserve">any bond or surety in respect of the performance of its powers </w:t>
      </w:r>
      <w:r>
        <w:rPr>
          <w:rFonts w:ascii="Times New Roman;Times;serif" w:hAnsi="Times New Roman;Times;serif"/>
          <w:color w:val="454647"/>
          <w:sz w:val="20"/>
        </w:rPr>
        <w:t xml:space="preserve">and </w:t>
      </w:r>
      <w:r>
        <w:rPr>
          <w:rFonts w:ascii="Times New Roman;Times;serif" w:hAnsi="Times New Roman;Times;serif"/>
          <w:sz w:val="20"/>
        </w:rPr>
        <w:t>duties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 xml:space="preserve">the Trustee may request that the </w:t>
      </w:r>
      <w:r>
        <w:rPr>
          <w:rFonts w:ascii="Times New Roman;Times;serif" w:hAnsi="Times New Roman;Times;serif"/>
          <w:color w:val="454647"/>
          <w:sz w:val="20"/>
        </w:rPr>
        <w:t xml:space="preserve">Company </w:t>
      </w:r>
      <w:r>
        <w:rPr>
          <w:rFonts w:ascii="Times New Roman;Times;serif" w:hAnsi="Times New Roman;Times;serif"/>
          <w:sz w:val="20"/>
        </w:rPr>
        <w:t xml:space="preserve">deliver Officers’ Certificates </w:t>
      </w:r>
      <w:r>
        <w:rPr>
          <w:rFonts w:ascii="Times New Roman;Times;serif" w:hAnsi="Times New Roman;Times;serif"/>
          <w:color w:val="454647"/>
          <w:sz w:val="20"/>
        </w:rPr>
        <w:t xml:space="preserve">setting </w:t>
      </w:r>
      <w:r>
        <w:rPr>
          <w:rFonts w:ascii="Times New Roman;Times;serif" w:hAnsi="Times New Roman;Times;serif"/>
          <w:sz w:val="20"/>
        </w:rPr>
        <w:t xml:space="preserve">forth the names of individuals and their titles and specimen </w:t>
      </w:r>
      <w:r>
        <w:rPr>
          <w:rFonts w:ascii="Times New Roman;Times;serif" w:hAnsi="Times New Roman;Times;serif"/>
          <w:color w:val="454647"/>
          <w:sz w:val="20"/>
        </w:rPr>
        <w:t xml:space="preserve">signatures </w:t>
      </w:r>
      <w:r>
        <w:rPr>
          <w:rFonts w:ascii="Times New Roman;Times;serif" w:hAnsi="Times New Roman;Times;serif"/>
          <w:sz w:val="20"/>
        </w:rPr>
        <w:t>of officers authorized at such time to take specified actions pursuant to this Indenture</w:t>
      </w:r>
      <w:r>
        <w:rPr>
          <w:rFonts w:ascii="Times New Roman;Times;serif" w:hAnsi="Times New Roman;Times;serif"/>
          <w:color w:val="606161"/>
          <w:sz w:val="20"/>
        </w:rPr>
        <w:t xml:space="preserve">, </w:t>
      </w:r>
      <w:r>
        <w:rPr>
          <w:rFonts w:ascii="Times New Roman;Times;serif" w:hAnsi="Times New Roman;Times;serif"/>
          <w:sz w:val="20"/>
        </w:rPr>
        <w:t>which Officers</w:t>
      </w:r>
      <w:r>
        <w:rPr>
          <w:rFonts w:ascii="Times New Roman;Times;serif" w:hAnsi="Times New Roman;Times;serif"/>
          <w:color w:val="606161"/>
          <w:sz w:val="20"/>
        </w:rPr>
        <w:t xml:space="preserve">' </w:t>
      </w:r>
      <w:r>
        <w:rPr>
          <w:rFonts w:ascii="Times New Roman;Times;serif" w:hAnsi="Times New Roman;Times;serif"/>
          <w:color w:val="454647"/>
          <w:sz w:val="20"/>
        </w:rPr>
        <w:t xml:space="preserve">Certificates </w:t>
      </w:r>
      <w:r>
        <w:rPr>
          <w:rFonts w:ascii="Times New Roman;Times;serif" w:hAnsi="Times New Roman;Times;serif"/>
          <w:sz w:val="20"/>
        </w:rPr>
        <w:t xml:space="preserve">may be signed by any Person authorized to sign an Officers' </w:t>
      </w:r>
      <w:r>
        <w:rPr>
          <w:rFonts w:ascii="Times New Roman;Times;serif" w:hAnsi="Times New Roman;Times;serif"/>
          <w:color w:val="454647"/>
          <w:sz w:val="20"/>
        </w:rPr>
        <w:t>Certificate</w:t>
      </w:r>
      <w:r>
        <w:rPr>
          <w:rFonts w:ascii="Times New Roman;Times;serif" w:hAnsi="Times New Roman;Times;serif"/>
          <w:color w:val="606161"/>
          <w:sz w:val="20"/>
        </w:rPr>
        <w:t xml:space="preserve">, </w:t>
      </w:r>
      <w:r>
        <w:rPr>
          <w:rFonts w:ascii="Times New Roman;Times;serif" w:hAnsi="Times New Roman;Times;serif"/>
          <w:sz w:val="20"/>
        </w:rPr>
        <w:t xml:space="preserve">as the case may be, including any Person specified as so authorized in any such certificate previously delivered </w:t>
      </w:r>
      <w:r>
        <w:rPr>
          <w:rFonts w:ascii="Times New Roman;Times;serif" w:hAnsi="Times New Roman;Times;serif"/>
          <w:color w:val="454647"/>
          <w:sz w:val="20"/>
        </w:rPr>
        <w:t xml:space="preserve">and </w:t>
      </w:r>
      <w:r>
        <w:rPr>
          <w:rFonts w:ascii="Times New Roman;Times;serif" w:hAnsi="Times New Roman;Times;serif"/>
          <w:sz w:val="20"/>
        </w:rPr>
        <w:t xml:space="preserve">not </w:t>
      </w:r>
      <w:r>
        <w:rPr>
          <w:rFonts w:ascii="Times New Roman;Times;serif" w:hAnsi="Times New Roman;Times;serif"/>
          <w:color w:val="454647"/>
          <w:sz w:val="20"/>
        </w:rPr>
        <w:t>superseded;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 xml:space="preserve">the Trustee shall not be responsible or liable for any action it takes or omits to take in good faith which </w:t>
      </w:r>
      <w:r>
        <w:rPr>
          <w:rFonts w:ascii="Times New Roman;Times;serif" w:hAnsi="Times New Roman;Times;serif"/>
          <w:color w:val="454647"/>
          <w:sz w:val="20"/>
        </w:rPr>
        <w:t xml:space="preserve">it </w:t>
      </w:r>
      <w:r>
        <w:rPr>
          <w:rFonts w:ascii="Times New Roman;Times;serif" w:hAnsi="Times New Roman;Times;serif"/>
          <w:sz w:val="20"/>
        </w:rPr>
        <w:t>reasonably believes to be authorized or within its rights or powers;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rPr>
        <w:t xml:space="preserve">the Trustee shall not be responsible or liable for any action taken or omitted by it in good faith at the direction, in accordance with Section 6.09, of the Holders of not less than a majority in aggregate principal amount of the Notes at the time outstanding determined in accordance with Section 8.04 as to the time, method and place of </w:t>
      </w:r>
      <w:r>
        <w:rPr>
          <w:rFonts w:ascii="Times New Roman;Times;serif" w:hAnsi="Times New Roman;Times;serif"/>
          <w:color w:val="454647"/>
          <w:sz w:val="20"/>
        </w:rPr>
        <w:t xml:space="preserve">conducting </w:t>
      </w:r>
      <w:r>
        <w:rPr>
          <w:rFonts w:ascii="Times New Roman;Times;serif" w:hAnsi="Times New Roman;Times;serif"/>
          <w:sz w:val="20"/>
        </w:rPr>
        <w:t>any proceeding for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any remedy available to the Trustee </w:t>
      </w:r>
      <w:r>
        <w:rPr>
          <w:rFonts w:ascii="Times New Roman;Times;serif" w:hAnsi="Times New Roman;Times;serif"/>
          <w:color w:val="454647"/>
          <w:sz w:val="20"/>
        </w:rPr>
        <w:t xml:space="preserve">or </w:t>
      </w:r>
      <w:r>
        <w:rPr>
          <w:rFonts w:ascii="Times New Roman;Times;serif" w:hAnsi="Times New Roman;Times;serif"/>
          <w:sz w:val="20"/>
        </w:rPr>
        <w:t xml:space="preserve">the exercising of any power conferred by this </w:t>
      </w:r>
      <w:r>
        <w:rPr>
          <w:rFonts w:ascii="Times New Roman;Times;serif" w:hAnsi="Times New Roman;Times;serif"/>
          <w:color w:val="454647"/>
          <w:sz w:val="20"/>
        </w:rPr>
        <w:t>Indenture;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rPr>
        <w:t>the Trustee shall not be responsible or any inaccuracy in the information obtained from the Company or for any inaccuracy or omission in the records which may result from such information or any failure by the Trustee to perform its duties as set forth herein as a result of any inaccuracy or incompleteness of such information;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rPr>
        <w:t>neither the Trustee nor any agent thereof shall have any responsibility or liability for any actions taken or not taken by the Depositary.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7.03</w:t>
      </w:r>
      <w:r>
        <w:rPr>
          <w:rFonts w:ascii="Times New Roman;Times;serif" w:hAnsi="Times New Roman;Times;serif"/>
          <w:i/>
          <w:sz w:val="20"/>
        </w:rPr>
        <w:t xml:space="preserve">No Responsibility for Recitals, Etc. </w:t>
      </w:r>
      <w:r>
        <w:rPr>
          <w:rFonts w:ascii="Times New Roman;Times;serif" w:hAnsi="Times New Roman;Times;serif"/>
          <w:sz w:val="20"/>
        </w:rPr>
        <w:t>The recitals, statements, warranties and representations contained herein and in the Notes (except in the Trustee’s certificate of authentication) shall be taken as the statements of the Company, and the Trustee assumes no responsibility for the correctness of the same. The Trustee makes no representations as to the accuracy or correctness of the same or for any failure by the Company or any other party to disclose events that may have occurred and may affect the significance or accuracy of such information, or the execution, legality, effectiveness, adequacy, genuineness, validity, enforceability or admissibility in evidence of this Indenture or of the Notes. The Trustee shall not be accountable for the use or application by the Company of any Notes or the proceeds of any Notes authenticated and delivered by the Trustee in conformity with the provisions of this Indenture. Notwithstanding the generality of the foregoing, each Holder shall be solely responsible for making its own independent appraisal of, and investigation into, the financial condition, creditworthiness, condition, affairs, status and nature of the Company, and the Trustee shall not at any time have any responsibility for the same and each Holder shall not rely on the Trustee in respect thereof. The Trustee shall have no responsibility or liability with respect to any information, statement or recital in the offering memorandum, prospectus, prospectus supplement or other disclosure material prepared or distributed with respect to any of the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7.04</w:t>
      </w:r>
      <w:r>
        <w:rPr>
          <w:rFonts w:ascii="Times New Roman;Times;serif" w:hAnsi="Times New Roman;Times;serif"/>
          <w:i/>
          <w:sz w:val="20"/>
        </w:rPr>
        <w:t>Trustee, Paying Agents, Conversion Agents or Note Registrar May Own Notes</w:t>
      </w:r>
      <w:r>
        <w:rPr>
          <w:rFonts w:ascii="Times New Roman;Times;serif" w:hAnsi="Times New Roman;Times;serif"/>
          <w:sz w:val="20"/>
        </w:rPr>
        <w:t>. The Trustee, any Paying Agent, any Conversion Agent or Note Registrar, in its individual or any other capacity, may engage in business and contractual relationships with the Company or its Affiliates and may become the owner or pledgee of Notes with the same rights it would have if it were not the Trustee, Paying Agent, Conversion Agent or Note Registrar, and nothing herein shall obligate any of them to account for any profits earned from any business or transactional relationship.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7.05</w:t>
      </w:r>
      <w:r>
        <w:rPr>
          <w:rFonts w:ascii="Times New Roman;Times;serif" w:hAnsi="Times New Roman;Times;serif"/>
          <w:i/>
          <w:sz w:val="20"/>
        </w:rPr>
        <w:t>Monies and ADSs to Be Held in Trust</w:t>
      </w:r>
      <w:r>
        <w:rPr>
          <w:rFonts w:ascii="Times New Roman;Times;serif" w:hAnsi="Times New Roman;Times;serif"/>
          <w:sz w:val="20"/>
        </w:rPr>
        <w:t>. All monies and ADSs received by the Trustee shall, until used or applied as herein provided, be held in trust for the purposes for which they were received. Money and ADSs held by the Trustee in trust or by the Paying Agent hereunder need not be segregated from other funds or property except to the extent required by law. Neither the Trustee nor the Paying Agent shall be under any liability for interest on any money or ADSs received by it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7.06</w:t>
      </w:r>
      <w:r>
        <w:rPr>
          <w:rFonts w:ascii="Times New Roman;Times;serif" w:hAnsi="Times New Roman;Times;serif"/>
          <w:i/>
          <w:sz w:val="20"/>
        </w:rPr>
        <w:t>Compensation, Expenses and Indemnification of Trustee and Agents</w:t>
      </w:r>
      <w:r>
        <w:rPr>
          <w:rFonts w:ascii="Times New Roman;Times;serif" w:hAnsi="Times New Roman;Times;serif"/>
          <w:sz w:val="20"/>
        </w:rPr>
        <w:t>. (a) The Company covenants and agrees to pay to the Trustee from time to time, and the Trustee shall be entitled to, compensation for all services rendered by it hereunder in any capacity (which shall</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be limited by any provision of law in regard to the compensation of a trustee of an express trust) as mutually agreed to in writing between the Trustee and the Company (which sum shall be paid free and clear of deduction and withholding on account of taxation, set-off and counterclaim), and the Company will pay or reimburse the Trustee upon its request for all properly incurred expenses, disbursements and advances properly incurred or made by the Trustee in accordance with any of the provisions of this Indenture in any capacity thereunder (including the compensation and the properly incurred expenses, disbursements and advances of its agents and counsel and of all Persons not regularly in its employ) except any such expense, disbursement or advance as shall have been caused by its gross negligence or willful misconduct as proven in a final decision in a court of competent jurisdiction. The Company also covenants to indemnify the Trustee (which for the purposes of this Section 7.06 shall be deemed to include its officers, directors, agents and employees) in any capacity under this Indenture (including without limitation as Note Registrar, Transfer Agent, Conversion Agent and Paying Agent) and any other document or transaction entered into in connection herewith, and to hold it harmless against, any loss, claim, damage, liability or expense, including taxes (other than taxes based upon, measured by or determined by the income of the Trustee) (whether arising from third party claims or claims by or against the Company) incurred without gross negligence or willful misconduct on the part of the Trustee, its officers, directors, agents or employees, as the case may be, as proven in a final decision of a court of competent jurisdiction, and arising out of or in connection with the acceptance or administration of this Indenture or in any other capacity hereunder, including the costs and expenses of defending themselves against any claim of liability in the process of enforcing this indemnity. The obligations of the Company under this Section 7.06 to compensate or indemnify the Trustee and to pay or reimburse the Trustee for expenses, disbursements and advances shall be secured by a senior claim to which the Notes are hereby made subordinate on all money or property held or collected by the Trustee, except, subject to the effect of Section 6.05, funds held in trust herewith for the benefit of the Holders of particular Notes. The Trustee’s right to receive payment of any amounts due under this Section 7.06 shall not be subordinate to any other liability or indebtedness of the Company. The indemnity under this Section 7.06(a) is payable upon demand by the Trustee. The obligation of the Company under this Section 7.06(a) shall survive the satisfaction and discharge of the Notes, the termination or discharge of this Indenture and the resignation, replacement or removal or the Trustee. The indemnification provided in this Section 7.06(a) shall extend to the officers, directors, agents and employees of the Trustee. Subject to Section 7.02(e), any negligence or misconduct of any agent, delegate, attorney or representative, in each case, of the Trustee, shall not affect indemnification of the Trustee.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Without prejudice to any other rights available to the Trustee under applicable law, when the Trustee and its agents incur expenses or render services after an Event of Default specified in Section 6.01(i) or Section 6.01(j) occurs, the expenses and the compensation for the services are intended to constitute expenses of administration under any bankruptcy, insolvency or similar laws. If a Default or Event of Default shall have occurred or if the Trustee finds it expedient or necessary or is requested by the Company and/or the Holders to undertake duties which are of an exceptional nature or otherwise outside the scope of the Trustee’s normal duties under this Indenture, the Company will pay such additional remuneration as the Company and the Trustee may separately agree in writing.</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Paying Agent, the Transfer Agent, the Conversion Agent and the Note Registrar shall be entitled to the compensation to be agreed upon in writing with the Company for all services rendered by it under this Indenture, and the Company agrees promptly to pay such compensation and to reimburse the Paying Agent, the Transfer Agent, the Conversion Agent and the Note Registrar for its out-of-pocket expenses (including fees and expenses of counsel) properly incurred by it in connection with the services rendered by it under this Indenture. The Company hereby agrees to indemnify the Paying Agent, the Transfer Agent, the Conversion Agent and the Note Registrar and their respective officers, directors, agents and employees and any successors thereto for, and to hold it harmless against, any loss, liability or expense (including fees and expenses of counsel) properly incurred without gross negligence or willful misconduct on its part arising out of or in connection with its acting as the Paying Agent, the Transfer Agent, the Conversion Agent and the Note Registrar hereunder. The obligations of the Company under this paragraph (b) shall survive the payment of the Notes, the termination or discharge of the Indenture and the resignation, replacement or removal of the Paying Agent, the Transfer Agent, the Conversion Agent and the Note Registrar.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7.07</w:t>
      </w:r>
      <w:r>
        <w:rPr>
          <w:rFonts w:ascii="Times New Roman;Times;serif" w:hAnsi="Times New Roman;Times;serif"/>
          <w:i/>
          <w:sz w:val="20"/>
        </w:rPr>
        <w:t>Officers’ Certificate as Evidence</w:t>
      </w:r>
      <w:r>
        <w:rPr>
          <w:rFonts w:ascii="Times New Roman;Times;serif" w:hAnsi="Times New Roman;Times;serif"/>
          <w:sz w:val="20"/>
        </w:rPr>
        <w:t>.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be deemed to be conclusively proved and established by an Officers’ Certificate delivered to the Trustee, and such Officers’ Certificate shall be full warrant to the Trustee for any action taken or omitted by it under the provisions of this Indenture upon the faith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7.08</w:t>
      </w:r>
      <w:r>
        <w:rPr>
          <w:rFonts w:ascii="Times New Roman;Times;serif" w:hAnsi="Times New Roman;Times;serif"/>
          <w:i/>
          <w:sz w:val="20"/>
        </w:rPr>
        <w:t>Eligibility of Trustee</w:t>
      </w:r>
      <w:r>
        <w:rPr>
          <w:rFonts w:ascii="Times New Roman;Times;serif" w:hAnsi="Times New Roman;Times;serif"/>
          <w:sz w:val="20"/>
        </w:rPr>
        <w:t>. There shall at all times be a Trustee hereunder which shall be a Person that is eligible pursuant to the Trust Indenture Act to act as such and has a combined capital and surplus of at least US$50,000,000.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7.09</w:t>
      </w:r>
      <w:r>
        <w:rPr>
          <w:rFonts w:ascii="Times New Roman;Times;serif" w:hAnsi="Times New Roman;Times;serif"/>
          <w:i/>
          <w:sz w:val="20"/>
        </w:rPr>
        <w:t>Resignation or Removal of Trustee</w:t>
      </w:r>
      <w:r>
        <w:rPr>
          <w:rFonts w:ascii="Times New Roman;Times;serif" w:hAnsi="Times New Roman;Times;serif"/>
          <w:sz w:val="20"/>
        </w:rPr>
        <w:t>. (a) The Trustee may at any time resign by giving 30 days written notice of such resignation to the Company and by mailing notice thereof to the Holders at their addresses as they shall appear on the Note Register.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60 days after the mailing of such notice of resignation to the Holders, the resigning Trustee may appoint a successor trustee on behalf of and at the expense of the Company or it may at the expense of the Company petition any court of competent jurisdiction for the appointment of a successor trustee, or any Holder who has been a bona fide holder of a Note or Notes for at least six months may, subject to the provisions of Section 6.11, on behalf of himself or herself and all others similarly situated, petition any such court for the appointment of a successor trustee. Such court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may thereupon, after such notice, if any, as it may deem proper and prescribe, appoint a successor trustee.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In case at any time any of the following shall occur: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Trustee shall cease to be eligible in accordance with the provisions of Section 7.08 and shall fail to resign after written request therefor by the Company or by any such Holder,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Any resignation or removal of the Trustee and appointment of a successor trustee pursuant to any of the provisions of this Section 7.09 shall become effective upon acceptance of appointment by the successor trustee as provided in Section 7.10.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7.10</w:t>
      </w:r>
      <w:r>
        <w:rPr>
          <w:rFonts w:ascii="Times New Roman;Times;serif" w:hAnsi="Times New Roman;Times;serif"/>
          <w:i/>
          <w:sz w:val="20"/>
        </w:rPr>
        <w:t>Acceptance by Successor Trustee</w:t>
      </w:r>
      <w:r>
        <w:rPr>
          <w:rFonts w:ascii="Times New Roman;Times;serif" w:hAnsi="Times New Roman;Times;serif"/>
          <w:sz w:val="20"/>
        </w:rPr>
        <w:t>.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to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fully and certainly vesting in and confirming to such successor trustee all such rights and powers. Any trustee ceasing to act shall, nevertheless, retain a senior claim to which the Notes are hereby made subordinate on all money or property held or collected by such trustee as such, except for funds held in trust for the benefit of Holders of particular Notes, to secure any amounts then due to it pursuant to the provisions of Section 7.06.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successor trustee shall accept appointment as provided in this Section 7.10 unless at the time of such acceptance such successor trustee shall be eligible under the provisions of Section 7.08.</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Upon acceptance of appointment by a successor trustee as provided in this Section 7.10, each of the Company and the successor trustee, at the written direction and at the expense of the Company shall mail or cause to be mailed notice of the succession of such trustee hereunder to the Holders at their addresses as they shall appear on the Note Register. If the Company fails to mail such notice within ten days after acceptance of appointment by the successor trustee, the successor trustee shall cause such notice to be mailed at the expense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7.11</w:t>
      </w:r>
      <w:r>
        <w:rPr>
          <w:rFonts w:ascii="Times New Roman;Times;serif" w:hAnsi="Times New Roman;Times;serif"/>
          <w:i/>
          <w:sz w:val="20"/>
        </w:rPr>
        <w:t xml:space="preserve">Succession by Merger, Etc. </w:t>
      </w:r>
      <w:r>
        <w:rPr>
          <w:rFonts w:ascii="Times New Roman;Times;serif" w:hAnsi="Times New Roman;Times;serif"/>
          <w:sz w:val="20"/>
        </w:rPr>
        <w:t xml:space="preserve">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Times New Roman;Times;serif" w:hAnsi="Times New Roman;Times;serif"/>
          <w:i/>
          <w:sz w:val="20"/>
        </w:rPr>
        <w:t xml:space="preserve">provided </w:t>
      </w:r>
      <w:r>
        <w:rPr>
          <w:rFonts w:ascii="Times New Roman;Times;serif" w:hAnsi="Times New Roman;Times;serif"/>
          <w:sz w:val="20"/>
        </w:rPr>
        <w:t>that in the case of any corporation or other entity succeeding to all or substantially all of the corporate trust business of the Trustee such corporation or other entity shall be eligible under the provisions of Section 7.08.</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and deliver such Notes so authenticated; and in case at that time any of the Notes shall not have been authenticated, any successor to the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the right to adopt the certificate of authentication of any predecessor trustee or to authenticate Notes in the name of any predecessor trustee shall apply only to its successor or successors by merger, conversion or consolidation.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7.12</w:t>
      </w:r>
      <w:r>
        <w:rPr>
          <w:rFonts w:ascii="Times New Roman;Times;serif" w:hAnsi="Times New Roman;Times;serif"/>
          <w:i/>
          <w:sz w:val="20"/>
        </w:rPr>
        <w:t>Trustee’s Application for Instructions from the Company</w:t>
      </w:r>
      <w:r>
        <w:rPr>
          <w:rFonts w:ascii="Times New Roman;Times;serif" w:hAnsi="Times New Roman;Times;serif"/>
          <w:sz w:val="20"/>
        </w:rPr>
        <w:t>.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for any action taken by, or omission of, the Trustee in accordance with a proposal included in such application on or after the date specified in such application (which date shall</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ARTICLE 8</w:t>
        <w:br/>
        <w:t>CONCERNING THE 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8.01</w:t>
      </w:r>
      <w:r>
        <w:rPr>
          <w:rFonts w:ascii="Times New Roman;Times;serif" w:hAnsi="Times New Roman;Times;serif"/>
          <w:i/>
          <w:sz w:val="20"/>
        </w:rPr>
        <w:t>Action by Holders</w:t>
      </w:r>
      <w:r>
        <w:rPr>
          <w:rFonts w:ascii="Times New Roman;Times;serif" w:hAnsi="Times New Roman;Times;serif"/>
          <w:sz w:val="20"/>
        </w:rPr>
        <w:t>.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fix, but shall not be required to, in advance of such solicitation, a date as the record date for determining Holders entitled to take such action. The record date if one is selected shall be not more than fifteen days prior to the date of commencement of solicitation of such 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8.02</w:t>
      </w:r>
      <w:r>
        <w:rPr>
          <w:rFonts w:ascii="Times New Roman;Times;serif" w:hAnsi="Times New Roman;Times;serif"/>
          <w:i/>
          <w:sz w:val="20"/>
        </w:rPr>
        <w:t>Proof of Execution by Holders</w:t>
      </w:r>
      <w:r>
        <w:rPr>
          <w:rFonts w:ascii="Times New Roman;Times;serif" w:hAnsi="Times New Roman;Times;serif"/>
          <w:sz w:val="20"/>
        </w:rPr>
        <w:t>. Subject to the provisions of Section 7.01, Section 7.02 and Section 9.05, proof of the execution of any instrument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8.03</w:t>
      </w:r>
      <w:r>
        <w:rPr>
          <w:rFonts w:ascii="Times New Roman;Times;serif" w:hAnsi="Times New Roman;Times;serif"/>
          <w:i/>
          <w:sz w:val="20"/>
        </w:rPr>
        <w:t>Who Are Deemed Absolute Owners</w:t>
      </w:r>
      <w:r>
        <w:rPr>
          <w:rFonts w:ascii="Times New Roman;Times;serif" w:hAnsi="Times New Roman;Times;serif"/>
          <w:sz w:val="20"/>
        </w:rPr>
        <w:t>. The Company, the Trustee, any Paying Agent, any Transfer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of and (subject to Section 2.03) accrued and unpaid interest, if any, on such Note, for the purpose of conversion of such Note and for all other purposes; and neither the Company nor the Trustee nor any Paying Agent nor any Transfer Agent nor any Conversion Agent nor any Note Registrar shall be affected by any notice to the contrary. The sole registered holder of a Global Note shall be the Depositary or its nominee. All such payments or deliveries so made to any Holder for the time being, or upon its order, shall be valid, and, to the extent of the sums or ADSs so paid or delivered, effectual to satisfy and discharge the liability for monies payable or ADSs deliverable upon any such Note. Notwithstanding anything to the contrary in this Indenture or the Notes following an Event of Default, any owner of a beneficial interest in a</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Global Note may directly enforce against the Company, without the consent, solicitation, proxy, authorization or any other action of the Depositary or any other Person, such owner’s right to exchange such beneficial interest for a Note in certificated form in accordance with the provisions of this Indenture.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8.04</w:t>
      </w:r>
      <w:r>
        <w:rPr>
          <w:rFonts w:ascii="Times New Roman;Times;serif" w:hAnsi="Times New Roman;Times;serif"/>
          <w:i/>
          <w:sz w:val="20"/>
        </w:rPr>
        <w:t>Company-Owned Notes Disregarded</w:t>
      </w:r>
      <w:r>
        <w:rPr>
          <w:rFonts w:ascii="Times New Roman;Times;serif" w:hAnsi="Times New Roman;Times;serif"/>
          <w:sz w:val="20"/>
        </w:rPr>
        <w:t xml:space="preserve">. In determining whether the Holders of the requisite aggregate principal amount of Notes have concurred in any direction, consent, waiver or other action under this Indenture, Notes that are owned by the Company, by any Subsidiary or Consolidated Affiliated Entity thereof or by any Affiliate of the Company or any Subsidiary or Consolidated Affiliated Entity thereof shall be disregarded and deemed not to be outstanding for the purpose of any such determination; </w:t>
      </w:r>
      <w:r>
        <w:rPr>
          <w:rFonts w:ascii="Times New Roman;Times;serif" w:hAnsi="Times New Roman;Times;serif"/>
          <w:i/>
          <w:sz w:val="20"/>
        </w:rPr>
        <w:t xml:space="preserve">provided </w:t>
      </w:r>
      <w:r>
        <w:rPr>
          <w:rFonts w:ascii="Times New Roman;Times;serif" w:hAnsi="Times New Roman;Times;serif"/>
          <w:sz w:val="20"/>
        </w:rPr>
        <w:t>that for the purposes of determining whether the Trustee shall be protected in relying on any such direction, consent, waiver or other action only Notes in respect of which a Responsible Officer is notified in writing shall be so disregarded. Notes so owned that have been pledged in good faith may be regarded as outstanding for the purposes of this Section 8.04 if the pledgee shall establish its right to so act with respect to such Notes and that the pledgee is not the Company, a Subsidiary or Consolidated Affiliated Entity thereof or an Affiliate of the Company or a Subsidiary or Consolidated Affiliated Entity thereof. Within five days of acquisition of the Notes by any of the above described persons or entities or at the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8.05</w:t>
      </w:r>
      <w:r>
        <w:rPr>
          <w:rFonts w:ascii="Times New Roman;Times;serif" w:hAnsi="Times New Roman;Times;serif"/>
          <w:i/>
          <w:sz w:val="20"/>
        </w:rPr>
        <w:t>Revocation of Consents; Future Holders Bound</w:t>
      </w:r>
      <w:r>
        <w:rPr>
          <w:rFonts w:ascii="Times New Roman;Times;serif" w:hAnsi="Times New Roman;Times;serif"/>
          <w:sz w:val="20"/>
        </w:rPr>
        <w:t>.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ARTICLE 9</w:t>
        <w:br/>
        <w:t>HOLDERS’ MEETINGS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9.01</w:t>
      </w:r>
      <w:r>
        <w:rPr>
          <w:rFonts w:ascii="Times New Roman;Times;serif" w:hAnsi="Times New Roman;Times;serif"/>
          <w:i/>
          <w:sz w:val="20"/>
        </w:rPr>
        <w:t>Purpose of Meetings</w:t>
      </w:r>
      <w:r>
        <w:rPr>
          <w:rFonts w:ascii="Times New Roman;Times;serif" w:hAnsi="Times New Roman;Times;serif"/>
          <w:sz w:val="20"/>
        </w:rPr>
        <w:t>. A meeting of Holders may be called at any time and from time to time pursuant to the provisions of this Article 9 for any of the following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to give any notice to the Company or to the Trustee or to give any directions to the Trustee permitted under this Indenture, or to consent to the waiving of any Default or Event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 Default hereunder and its consequences, or to take any other action authorized to be taken by Holders pursuant to any of the provisions of Article 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to remove the Trustee and nominate a successor trustee pursuant to the provisions of Article 7;</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to consent to the execution of an indenture or indentures supplemental hereto pursuant to the provisions of Section 10.02;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to take any other action authorized to be taken by or on behalf of the Holders of any specified aggregate principal amount of the Notes under any other provision of this Indenture or under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9.02</w:t>
      </w:r>
      <w:r>
        <w:rPr>
          <w:rFonts w:ascii="Times New Roman;Times;serif" w:hAnsi="Times New Roman;Times;serif"/>
          <w:i/>
          <w:sz w:val="20"/>
        </w:rPr>
        <w:t>Call of Meetings by Trustee</w:t>
      </w:r>
      <w:r>
        <w:rPr>
          <w:rFonts w:ascii="Times New Roman;Times;serif" w:hAnsi="Times New Roman;Times;serif"/>
          <w:sz w:val="20"/>
        </w:rPr>
        <w:t>. The Trustee may (in its sole discretion and without obligation) at any time call a meeting of Holders to take any action specified in Section 9.01, to be held at such time and at such place as the Trustee shall determine, including virtually. Notice of every meeting of the Holders, setting forth the time and the place of such meeting and in general terms the action proposed to be taken at such meeting and the establishment of any record date pursuant to Section 8.01, shall be mailed to Holders of such Notes at their addresses as they shall appear on the Note Register. Such notice shall also be mailed to the Company. Such notices shall be mailed not less than 20 nor more than 90 days prior to the date fixed for the meeting.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meeting of Holders shall be valid without notice if the Holders of all Notes then outstanding are present in person or by proxy (including virtually) or if notice is waived before or after the meeting by the Holders of all Notes then outstanding, and if the Company and the Trustee are either present by duly authorized representatives or have, before or after the meeting, waived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9.03</w:t>
      </w:r>
      <w:r>
        <w:rPr>
          <w:rFonts w:ascii="Times New Roman;Times;serif" w:hAnsi="Times New Roman;Times;serif"/>
          <w:i/>
          <w:sz w:val="20"/>
        </w:rPr>
        <w:t>Call of Meetings by Company or Holders</w:t>
      </w:r>
      <w:r>
        <w:rPr>
          <w:rFonts w:ascii="Times New Roman;Times;serif" w:hAnsi="Times New Roman;Times;serif"/>
          <w:sz w:val="20"/>
        </w:rPr>
        <w:t>.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mailed the notice of such meeting within 20 days after receipt of such request, then the Company or such Holders may determine the time and the place for such meeting and may call such meeting to take any action authorized in Section 9.01, by mailing notice thereof as provided in Section 9.02.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9.04</w:t>
      </w:r>
      <w:r>
        <w:rPr>
          <w:rFonts w:ascii="Times New Roman;Times;serif" w:hAnsi="Times New Roman;Times;serif"/>
          <w:i/>
          <w:sz w:val="20"/>
        </w:rPr>
        <w:t>Qualifications for Voting</w:t>
      </w:r>
      <w:r>
        <w:rPr>
          <w:rFonts w:ascii="Times New Roman;Times;serif" w:hAnsi="Times New Roman;Times;serif"/>
          <w:sz w:val="20"/>
        </w:rPr>
        <w:t>.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9.05</w:t>
      </w:r>
      <w:r>
        <w:rPr>
          <w:rFonts w:ascii="Times New Roman;Times;serif" w:hAnsi="Times New Roman;Times;serif"/>
          <w:i/>
          <w:sz w:val="20"/>
        </w:rPr>
        <w:t>Regulations</w:t>
      </w:r>
      <w:r>
        <w:rPr>
          <w:rFonts w:ascii="Times New Roman;Times;serif" w:hAnsi="Times New Roman;Times;serif"/>
          <w:sz w:val="20"/>
        </w:rPr>
        <w:t>. Notwithstanding any other provisions of this Indenture, the Trustee may make such reasonable regulations as it may deem advisable for any meeting of</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Notes represented at the meeting and entitled to vote at the meeting.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Subject to the provisions of Section 8.04, at any meeting of Holders each Holder or proxyholder shall be entitled to one vote for each US$1,000 principal amount of Notes held or represented by him or her;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Minutes shall be made of all resolutions and proceedings at every meeting and, if purporting to be signed by the chairman of that meeting or of the next succeeding meeting of Holders of the Notes, shall be conclusive evidence of the matters in them. Until the contrary is proved every meeting for which minutes have been so made and signed shall be deemed to have been duly convened and held and all resolutions passed or proceedings transacted at it to have been duly passed and transacted.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9.06</w:t>
      </w:r>
      <w:r>
        <w:rPr>
          <w:rFonts w:ascii="Times New Roman;Times;serif" w:hAnsi="Times New Roman;Times;serif"/>
          <w:i/>
          <w:sz w:val="20"/>
        </w:rPr>
        <w:t>Voting</w:t>
      </w:r>
      <w:r>
        <w:rPr>
          <w:rFonts w:ascii="Times New Roman;Times;serif" w:hAnsi="Times New Roman;Times;serif"/>
          <w:sz w:val="20"/>
        </w:rPr>
        <w:t>.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record so signed and verified shall be conclusive evidence of the matters therein stated.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9.07</w:t>
      </w:r>
      <w:r>
        <w:rPr>
          <w:rFonts w:ascii="Times New Roman;Times;serif" w:hAnsi="Times New Roman;Times;serif"/>
          <w:i/>
          <w:sz w:val="20"/>
        </w:rPr>
        <w:t>No Delay of Rights by Meeting</w:t>
      </w:r>
      <w:r>
        <w:rPr>
          <w:rFonts w:ascii="Times New Roman;Times;serif" w:hAnsi="Times New Roman;Times;serif"/>
          <w:sz w:val="20"/>
        </w:rPr>
        <w:t>.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ARTICLE 10</w:t>
        <w:br/>
        <w:t>SUPPLEMENTAL INDENTURES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10.01 </w:t>
      </w:r>
      <w:r>
        <w:rPr>
          <w:rFonts w:ascii="Times New Roman;Times;serif" w:hAnsi="Times New Roman;Times;serif"/>
          <w:i/>
          <w:sz w:val="20"/>
        </w:rPr>
        <w:t>Supplemental Indentures Without Consent of Holders</w:t>
      </w:r>
      <w:r>
        <w:rPr>
          <w:rFonts w:ascii="Times New Roman;Times;serif" w:hAnsi="Times New Roman;Times;serif"/>
          <w:sz w:val="20"/>
        </w:rPr>
        <w:t>. The Company, when authorized by the resolutions of the Board of Directors, and the Trustee, at the Company’s expense and direction, may from time to time and at any time amend or supplement this Indenture or the Notes for one or more of the following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to cure any ambiguity, omission, defect or inconsistency;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to provide for the assumption by a Successor Company of the obligations of the Company under this Indenture and the Notes pursuant to Article 11;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to add guarantees or any credit enhancements of similar nature with respect to the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to secure the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to add to the covenants or Events of Defaults of the Company for the benefit of the Holders or surrender any right or power conferred upon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upon the occurrence of any transaction or event described in Section 14.07(a), 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provide that the Notes are convertible into Reference Property, subject to Section 14.02,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effect the related changes to the terms of the Notes described under Section 14.07(a), in each case, in accordance with Section 14.07;</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to make any change that does not adversely affect the rights of any Holder in any material respect;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to make changes in connection with an acceptance for listing on a Permitted Exchange as contemplated in Section 10.03;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to comply with the rules of the Depositary;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to evidence and provide for the acceptance of the appointment of a successor trustee in accordance with this Indenture;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to conform the provisions of this Indenture or the Notes to the “Description of the Notes” section of the Offering Memorandum.</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Upon the written request of the Company, the Trustee is hereby authorized to join with the Company in the execution of any such amendment or supplement to this Indenture or the Notes,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 The Trustee shall seek an Officers’ Certificate and an Opinion of Counsel, at the Company’s expense, that any such amendment or supplement, and the execution and delivery of the supplemental indenture to this Indenture or the Notes is authorized and permitted by the terms of this Indenture and that all conditions precedent hereto have been satisfied, and that the supplemental indenture or amendment or supplement are enforceable against the Company, subject to customary assumptions, limitations, exceptions and qualifications.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amendment or supplement to this Indenture or the Notes authorized by the provisions of this Section 10.01 may be executed by the Company and the Trustee without the consent of the Holders of any of the Notes at the time outstanding, notwithstanding any of the provisions of Section 10.02.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10.02 </w:t>
      </w:r>
      <w:r>
        <w:rPr>
          <w:rFonts w:ascii="Times New Roman;Times;serif" w:hAnsi="Times New Roman;Times;serif"/>
          <w:i/>
          <w:sz w:val="20"/>
        </w:rPr>
        <w:t>Supplemental Indentures with Consent of Holders</w:t>
      </w:r>
      <w:r>
        <w:rPr>
          <w:rFonts w:ascii="Times New Roman;Times;serif" w:hAnsi="Times New Roman;Times;serif"/>
          <w:sz w:val="20"/>
        </w:rPr>
        <w:t xml:space="preserve">. 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Notes), the Company, when authorized by the resolutions of the Board of Directors, and the Trustee, at the Company’s expense, may from time to time and at any time enter into an indenture or indentures supplemental hereto for the purpose of adding any provisions to or changing in any manner or eliminating any of the provisions of this Indenture or any supplemental indenture or the Notes or modifying in any manner the rights of the Holders;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without the consent of each Holder of an outstanding Note affected, no such supplemental indenture shall: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reduce the amount of Notes whose Holders must consent to an amendment or waiver;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reduce the rate of or extend the stated time for payment of interest, if any, on any Note;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reduce the principal of or extend the Maturity Date of any Note;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make any change that adversely affects the conversion rights of any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reduce the Repurchase Price payable on the Repurchase Date, the Fundamental Change Repurchase Price or the Redemption Price of any Note or amend or modify in any manner adverse to the Holders the Company’s obligation to make such payments, whether through an amendment or waiver of provisions in the covenants, definitions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make any Note payable in a currency other than U.S. dollars;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change the ranking of the Notes;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impair the right of any Holder to receive payment of principal and interest, if any, on such Holder’s Notes on or after the due dates therefor or to institute suit for the enforcement of any payment on or with respect to such Holder’s Note;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change the Company’s obligation to pay Additional Amounts on any Note;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make any change in this Article 10 that requires each Holder’s consent or in the waiver provisions in Section 6.02 or Section 6.09.</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Upon the written request of the Company, and upon the filing with the Trustee of evidence of the consent of Holders as aforesaid and subject to Section 10.05, the Trustee shall join with the Company in the execution of such supplemental indenture unless (i) the Trustee has not received an Officers’ Certificate and an Opinion of Counsel that such supplemental indenture is authorized and permitted by the terms of this Indenture and not contrary to law or (ii) such supplemental indenture affects the Trustee’s own rights, duties or immunities under this Indenture or otherwise, in which case the Trustee may in its discretion, but shall not be obligated to, enter into such supplemental indenture.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Holders do not need under this Section 10.02 to approve the particular form of any proposed supplemental indenture. It shall be sufficient if such Holders approve the substance thereof. After any supplemental indenture becomes effective under Section 10.01 or Section 10.02, the Company shall mail to the Holders (with a copy to the Trustee) a notice briefly describing such supplemental indenture. However, the failure to give such notice to all the Holders, or any defect in the notice, will not impair or affect the validity of the supplemental indenture.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10.03 </w:t>
      </w:r>
      <w:r>
        <w:rPr>
          <w:rFonts w:ascii="Times New Roman;Times;serif" w:hAnsi="Times New Roman;Times;serif"/>
          <w:i/>
          <w:sz w:val="20"/>
        </w:rPr>
        <w:t>Supplemental Indenture in respect of Fundamental Change</w:t>
      </w:r>
      <w:r>
        <w:rPr>
          <w:rFonts w:ascii="Times New Roman;Times;serif" w:hAnsi="Times New Roman;Times;serif"/>
          <w:sz w:val="20"/>
        </w:rPr>
        <w:t>. If a Fundamental Change described in clause (d) of the definition thereof has occurred and the Ordinary Shares (or, as applicable, other Common Equity underlying the Notes or the Reference Property referred to herein) remain listed or have been accepted for listing on a Permitted Exchange (such Ordinary Shares (or, as applicable, other Common Equity or the Reference Property, the “</w:t>
      </w:r>
      <w:r>
        <w:rPr>
          <w:rFonts w:ascii="Times New Roman;Times;serif" w:hAnsi="Times New Roman;Times;serif"/>
          <w:b/>
          <w:sz w:val="20"/>
        </w:rPr>
        <w:t>Listed Equity</w:t>
      </w:r>
      <w:r>
        <w:rPr>
          <w:rFonts w:ascii="Times New Roman;Times;serif" w:hAnsi="Times New Roman;Times;serif"/>
          <w:sz w:val="20"/>
        </w:rPr>
        <w:t>”)), then, from and after the later to occur of (x) the date of such acceptance for listing on a Permitted Exchange, if applicable or (y) the Effective Date of such Fundamental Change (the “</w:t>
      </w:r>
      <w:r>
        <w:rPr>
          <w:rFonts w:ascii="Times New Roman;Times;serif" w:hAnsi="Times New Roman;Times;serif"/>
          <w:b/>
          <w:sz w:val="20"/>
        </w:rPr>
        <w:t>Reference Date</w:t>
      </w:r>
      <w:r>
        <w:rPr>
          <w:rFonts w:ascii="Times New Roman;Times;serif" w:hAnsi="Times New Roman;Times;serif"/>
          <w:sz w:val="20"/>
        </w:rPr>
        <w:t xml:space="preserve">”), Section 14.07 of this Indenture will be deemed to apply </w:t>
      </w:r>
      <w:r>
        <w:rPr>
          <w:rFonts w:ascii="Times New Roman;Times;serif" w:hAnsi="Times New Roman;Times;serif"/>
          <w:i/>
          <w:sz w:val="20"/>
        </w:rPr>
        <w:t xml:space="preserve">mutatis mutandis </w:t>
      </w:r>
      <w:r>
        <w:rPr>
          <w:rFonts w:ascii="Times New Roman;Times;serif" w:hAnsi="Times New Roman;Times;serif"/>
          <w:sz w:val="20"/>
        </w:rPr>
        <w:t>as if the Reference Property for the Notes were the Listed Equity. No later than five Business Days after the Reference Date, the Company shall execute with the Trustee a supplemental indenture containing such provisions that the Board of Directors determines in good faith are appropriate to preserve the economic interests of the Holders and are necessary to reflect the replacement of the ADSs (or Ordinary Shares or other Common Equity or ADSs in respect of Reference Property then underlying the Notes) with the Listed Equity. The Company shall notify the Holders and the Conversion Agent (if other than the Trustee) in writing as promptly as reasonably practicable following the date the Company and the Trustee execute such supplemental indenture, and the Company shall substantially concurrently with such notice either post such supplemental indenture on the Company’s website or disclose the same in a current report on Form 6-K (or any successor form) that is filed with the Commission. If, as of the Reference Date, the Company’s Listed Equity is listed or accepted for listing on more than one permitted exchange, which includes the Hong Kong Stock Exchange, the relevant exchange on which the listed equity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is listed for purpose of such supplemental indenture (the “</w:t>
      </w:r>
      <w:r>
        <w:rPr>
          <w:rFonts w:ascii="Times New Roman;Times;serif" w:hAnsi="Times New Roman;Times;serif"/>
          <w:b/>
          <w:sz w:val="20"/>
        </w:rPr>
        <w:t>Relevant Exchange</w:t>
      </w:r>
      <w:r>
        <w:rPr>
          <w:rFonts w:ascii="Times New Roman;Times;serif" w:hAnsi="Times New Roman;Times;serif"/>
          <w:sz w:val="20"/>
        </w:rPr>
        <w:t>”) will be the Hong Kong Stock Exchange; otherwise the Relevant Exchange will be the Permitted Exchange for the Listed Equity with the highest trading volume of the Listed Equity as of the Reference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10.04 </w:t>
      </w:r>
      <w:r>
        <w:rPr>
          <w:rFonts w:ascii="Times New Roman;Times;serif" w:hAnsi="Times New Roman;Times;serif"/>
          <w:i/>
          <w:sz w:val="20"/>
        </w:rPr>
        <w:t>Effect of Supplemental Indentures</w:t>
      </w:r>
      <w:r>
        <w:rPr>
          <w:rFonts w:ascii="Times New Roman;Times;serif" w:hAnsi="Times New Roman;Times;serif"/>
          <w:sz w:val="20"/>
        </w:rPr>
        <w:t>. Upon the execution of any supplemental indenture pursuant to the provisions of this Article 10, this Indenture shall be and be deemed to be modified and amended in accordance therewith and the respective rights, limitation of rights, obligations, duties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10.05 </w:t>
      </w:r>
      <w:r>
        <w:rPr>
          <w:rFonts w:ascii="Times New Roman;Times;serif" w:hAnsi="Times New Roman;Times;serif"/>
          <w:i/>
          <w:sz w:val="20"/>
        </w:rPr>
        <w:t>Notation on Notes</w:t>
      </w:r>
      <w:r>
        <w:rPr>
          <w:rFonts w:ascii="Times New Roman;Times;serif" w:hAnsi="Times New Roman;Times;serif"/>
          <w:sz w:val="20"/>
        </w:rPr>
        <w:t>. Notes authenticated and delivered after the execution of any supplemental indenture pursuant to the provisions of this Article 10 may, at the Company’s expense, bear a notation in form approved by the Trustee as to any matter provided for in such supplemental indenture. If the Company or the Trustee shall so determine, new Notes so modified as to conform, in the opinion of the Trustee and the Board of Directors, to any modification of this Indenture contained in any such supplemental indenture may, at the Company’s expense, be prepared and executed by the Company, authenticated by the Trustee upon receipt of a Company Order and delivered in exchange for the Notes then outstanding, upon surrender of such Notes then outstanding.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10.06 </w:t>
      </w:r>
      <w:r>
        <w:rPr>
          <w:rFonts w:ascii="Times New Roman;Times;serif" w:hAnsi="Times New Roman;Times;serif"/>
          <w:i/>
          <w:sz w:val="20"/>
        </w:rPr>
        <w:t>Evidence of Compliance of Supplemental Indenture to Be Furnished Trustee</w:t>
      </w:r>
      <w:r>
        <w:rPr>
          <w:rFonts w:ascii="Times New Roman;Times;serif" w:hAnsi="Times New Roman;Times;serif"/>
          <w:sz w:val="20"/>
        </w:rPr>
        <w:t>. In addition to the documents required by Section 17.06, the Trustee shall receive an Officers’ Certificate and an Opinion of Counsel as conclusive evidence that any supplemental indenture executed pursuant hereto complies with the requirements of this Article 10 and is permitted or authorized by this Indenture and with respect to such Opinion of Counsel, that such supplemental indenture is the valid and binding obligation of the Company enforceable in accordance with its terms, subject to customary assumptions, limitations, exceptions and qualifications.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ARTICLE 11</w:t>
        <w:br/>
        <w:t>CONSOLIDATION, MERGER, SALE, CONVEYANCE AND LEASE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11.01 </w:t>
      </w:r>
      <w:r>
        <w:rPr>
          <w:rFonts w:ascii="Times New Roman;Times;serif" w:hAnsi="Times New Roman;Times;serif"/>
          <w:i/>
          <w:sz w:val="20"/>
        </w:rPr>
        <w:t>Company May Consolidate, Etc. on Certain Terms</w:t>
      </w:r>
      <w:r>
        <w:rPr>
          <w:rFonts w:ascii="Times New Roman;Times;serif" w:hAnsi="Times New Roman;Times;serif"/>
          <w:sz w:val="20"/>
        </w:rPr>
        <w:t>. Subject to the provisions of Section 11.02, the Company shall not consolidate with, merge with or into, or sell, convey, transfer or lease all or substantially all of the consolidated assets of the Company, its Subsidiaries and its Consolidated Affiliated Entities, taken as a whole, to another Person, unless: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resulting, surviving or transferee Person (the “</w:t>
      </w:r>
      <w:r>
        <w:rPr>
          <w:rFonts w:ascii="Times New Roman;Times;serif" w:hAnsi="Times New Roman;Times;serif"/>
          <w:b/>
          <w:sz w:val="20"/>
        </w:rPr>
        <w:t>Successor Company</w:t>
      </w:r>
      <w:r>
        <w:rPr>
          <w:rFonts w:ascii="Times New Roman;Times;serif" w:hAnsi="Times New Roman;Times;serif"/>
          <w:sz w:val="20"/>
        </w:rPr>
        <w:t>”), if not the Company, shall be a corporation organized and existing under the laws of the Cayman Islands, the British Virgin Islands, Bermuda or Hong Kong and the Successor Company (if not the Company) shall expressly assume, by supplemental indenture all of the obligations of the Company under the Notes and this Indenture (including, for the avoidance of doubt, the obligation to pay Additional Amounts pursuant to Section 4.07);</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the Company will not be the resulting or surviving corporation, the Company shall have, at or prior to the effective date of such transaction, delivered to the Trustee an Officers’ Certificate and an Opinion of Counsel, each stating that the execution and delivery of the supplemental indenture do not conflict with the requirements set forth in the Indenture and that all conditions precedent to the execution and delivery of such supplemental indenture have been satisfied and that such supplemental indenture is enforceable against the Company, subject to customary assumptions, limitations, exceptions and qualifications;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immediately after giving effect to such transaction, no Default or Event of Default shall have occurred and be continuing under this Indenture.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purposes of this Section 11.01, the sale, conveyance, transfer or lease of all or substantially all of the assets of one or more Subsidiaries or Consolidated Affiliated Entities of the Company to another Person, which properties and assets, if held by the Company instead of such Subsidiaries or Consolidated Affiliated Entities, would constitute all or substantially all of the assets of the Company on a consolidated basis, shall be deemed to be the sale, conveyance, transfer or lease of all or substantially all of the consolidated assets of the Company to another Person.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11.02 </w:t>
      </w:r>
      <w:r>
        <w:rPr>
          <w:rFonts w:ascii="Times New Roman;Times;serif" w:hAnsi="Times New Roman;Times;serif"/>
          <w:i/>
          <w:sz w:val="20"/>
        </w:rPr>
        <w:t>Successor Corporation to Be Substituted</w:t>
      </w:r>
      <w:r>
        <w:rPr>
          <w:rFonts w:ascii="Times New Roman;Times;serif" w:hAnsi="Times New Roman;Times;serif"/>
          <w:sz w:val="20"/>
        </w:rPr>
        <w:t>. In case of any such consolidation, merger, sale, conveyance, transfer or lease and upon the assumption by the Successor Company, by supplemental indenture, executed and delivered to the Trustee and satisfactory in form to the Trustee, of the due and punctual payment of the principal of and accrued and unpaid interest, if any, on all of the Notes (including, for the avoidance of doubt, any Additional Amounts), the due and punctual delivery or payment, as the case may be, of any consideration due upon conversion of the Notes (including, for the avoidance of doubt, any Additional Amounts) and the due and punctual performance of all of the covenants and conditions of this Indenture to be performed by the Company, such Successor Company (if not the Company) shall succeed to and, except in the case of a lease of all or substantially all of the Company’s properties and assets, shall be substituted for the Company, with the same effect as if it had been named herein as the party of the first part.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Person shall be released from its liabilities as obligor and maker of the Notes and from its obligations under this Indenture and the Notes.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case of any such consolidation, merger, sale, conveyance, transfer or lease, such changes in phraseology and form (but not in substance) may be made in the Notes thereafter to be issued as may be appropriate.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11.03 </w:t>
      </w:r>
      <w:r>
        <w:rPr>
          <w:rFonts w:ascii="Times New Roman;Times;serif" w:hAnsi="Times New Roman;Times;serif"/>
          <w:i/>
          <w:sz w:val="20"/>
        </w:rPr>
        <w:t>Opinion of Counsel to Be Given to Trustee</w:t>
      </w:r>
      <w:r>
        <w:rPr>
          <w:rFonts w:ascii="Times New Roman;Times;serif" w:hAnsi="Times New Roman;Times;serif"/>
          <w:sz w:val="20"/>
        </w:rPr>
        <w:t>. No consolidation, merger, sale, conveyance, transfer or lease shall be effective unless the Trustee shall receive an Officers’ Certificate and an Opinion of Counsel as conclusive evidence that any such consolidation, merger, sale, conveyance, transfer or lease and any such assumption and, if a supplemental indenture is required in connection with such transaction, such supplemental indenture, complies with the provisions of this Article 11, that all conditions precedent thereto have been satisfied and that the Notes and such supplemental indenture are the legal, valid and binding obligations of the Successor Company, enforceable against it in accordance with its terms, subject to customary assumptions, , limitations, exceptions and qualifications.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ARTICLE 12</w:t>
        <w:br/>
        <w:t>IMMUNITY OF INCORPORATORS, STOCKHOLDERS, OFFICERS AND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12.01 </w:t>
      </w:r>
      <w:r>
        <w:rPr>
          <w:rFonts w:ascii="Times New Roman;Times;serif" w:hAnsi="Times New Roman;Times;serif"/>
          <w:i/>
          <w:sz w:val="20"/>
        </w:rPr>
        <w:t>Indenture and Notes Solely Corporate Obligations</w:t>
      </w:r>
      <w:r>
        <w:rPr>
          <w:rFonts w:ascii="Times New Roman;Times;serif" w:hAnsi="Times New Roman;Times;serif"/>
          <w:sz w:val="20"/>
        </w:rPr>
        <w:t>. No recourse for the payment of the principal of or accrued and unpaid interest, if any,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ARTICLE 13</w:t>
        <w:br/>
        <w:t>INTENTIONALLY OMITTED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ARTICLE 14</w:t>
        <w:br/>
        <w:t>CONVERSION OF NOTES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14.01 </w:t>
      </w:r>
      <w:r>
        <w:rPr>
          <w:rFonts w:ascii="Times New Roman;Times;serif" w:hAnsi="Times New Roman;Times;serif"/>
          <w:i/>
          <w:sz w:val="20"/>
        </w:rPr>
        <w:t>Conversion Privilege</w:t>
      </w:r>
      <w:r>
        <w:rPr>
          <w:rFonts w:ascii="Times New Roman;Times;serif" w:hAnsi="Times New Roman;Times;serif"/>
          <w:sz w:val="20"/>
        </w:rPr>
        <w:t>. Subject to and upon compliance with the provisions of this Article 14, each Holder of a Note shall have the right, at such Holder’s option, to convert all or any portion (if the portion to be converted is US$1,000 principal amount or an integral multiple thereof) of such Note, at any time prior to the close of business on the second Scheduled Trading Day immediately preceding the Maturity Date at an initial conversion rate of 89.9685 ADSs (subject to adjustment as provided in this Article 14, the “</w:t>
      </w:r>
      <w:r>
        <w:rPr>
          <w:rFonts w:ascii="Times New Roman;Times;serif" w:hAnsi="Times New Roman;Times;serif"/>
          <w:b/>
          <w:sz w:val="20"/>
        </w:rPr>
        <w:t>Conversion Rate</w:t>
      </w:r>
      <w:r>
        <w:rPr>
          <w:rFonts w:ascii="Times New Roman;Times;serif" w:hAnsi="Times New Roman;Times;serif"/>
          <w:sz w:val="20"/>
        </w:rPr>
        <w:t>”) per US$1,000 principal amount of Notes (subject to, and in accordance with, the settlement provisions of Section 14.02, the “</w:t>
      </w:r>
      <w:r>
        <w:rPr>
          <w:rFonts w:ascii="Times New Roman;Times;serif" w:hAnsi="Times New Roman;Times;serif"/>
          <w:b/>
          <w:sz w:val="20"/>
        </w:rPr>
        <w:t>Conversion Obligation</w:t>
      </w:r>
      <w:r>
        <w:rPr>
          <w:rFonts w:ascii="Times New Roman;Times;serif" w:hAnsi="Times New Roman;Times;serif"/>
          <w:sz w:val="20"/>
        </w:rPr>
        <w:t>”). For the avoidance of doubt,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r>
        <w:rPr>
          <w:rFonts w:ascii="Times New Roman;Times;serif" w:hAnsi="Times New Roman;Times;serif"/>
          <w:sz w:val="20"/>
        </w:rPr>
        <w:t>Conversion Rate” as of a particular date without setting forth a particular time on such date shall mean the Conversion Rate immediately after the close of business on such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14.02 </w:t>
      </w:r>
      <w:r>
        <w:rPr>
          <w:rFonts w:ascii="Times New Roman;Times;serif" w:hAnsi="Times New Roman;Times;serif"/>
          <w:i/>
          <w:sz w:val="20"/>
        </w:rPr>
        <w:t>Conversion Procedure; Settlement Upon Conversion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Subject to this Section 14.02, Section 14.03(b) and Section 14.07(a), upon conversion of any Note, the Company shall pay or deliver, as the case may be, to the converting Holder, in respect of each US$1,000 principal amount of Notes being converted, cash (“</w:t>
      </w:r>
      <w:r>
        <w:rPr>
          <w:rFonts w:ascii="Times New Roman;Times;serif" w:hAnsi="Times New Roman;Times;serif"/>
          <w:b/>
          <w:sz w:val="20"/>
        </w:rPr>
        <w:t>Cash Settlement</w:t>
      </w:r>
      <w:r>
        <w:rPr>
          <w:rFonts w:ascii="Times New Roman;Times;serif" w:hAnsi="Times New Roman;Times;serif"/>
          <w:sz w:val="20"/>
        </w:rPr>
        <w:t>”), ADSs together with cash, if applicable, in lieu of delivering any fractional ADSs (“</w:t>
      </w:r>
      <w:r>
        <w:rPr>
          <w:rFonts w:ascii="Times New Roman;Times;serif" w:hAnsi="Times New Roman;Times;serif"/>
          <w:b/>
          <w:sz w:val="20"/>
        </w:rPr>
        <w:t>Fractional ADSs</w:t>
      </w:r>
      <w:r>
        <w:rPr>
          <w:rFonts w:ascii="Times New Roman;Times;serif" w:hAnsi="Times New Roman;Times;serif"/>
          <w:sz w:val="20"/>
        </w:rPr>
        <w:t>”) (in accordance with subsection (j) of this Section 14.02 (“</w:t>
      </w:r>
      <w:r>
        <w:rPr>
          <w:rFonts w:ascii="Times New Roman;Times;serif" w:hAnsi="Times New Roman;Times;serif"/>
          <w:b/>
          <w:sz w:val="20"/>
        </w:rPr>
        <w:t>Physical Settlement</w:t>
      </w:r>
      <w:r>
        <w:rPr>
          <w:rFonts w:ascii="Times New Roman;Times;serif" w:hAnsi="Times New Roman;Times;serif"/>
          <w:sz w:val="20"/>
        </w:rPr>
        <w:t>”)) or a combination of cash and ADSs, together with cash, if applicable, in lieu of delivering any Fractional ADS in accordance with subsection (j) of this Section 14.02 (“</w:t>
      </w:r>
      <w:r>
        <w:rPr>
          <w:rFonts w:ascii="Times New Roman;Times;serif" w:hAnsi="Times New Roman;Times;serif"/>
          <w:b/>
          <w:sz w:val="20"/>
        </w:rPr>
        <w:t>Combination Settlement</w:t>
      </w:r>
      <w:r>
        <w:rPr>
          <w:rFonts w:ascii="Times New Roman;Times;serif" w:hAnsi="Times New Roman;Times;serif"/>
          <w:sz w:val="20"/>
        </w:rPr>
        <w:t>”), at its election, as set forth in this Section 14.02.</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All conversions for which the relevant Conversion Date occurs after the Company’s issuance of a Redemption Notice with respect to the Notes and prior to the close of business on the second Scheduled Trading Day prior to the related Redemption Date, as applicable, and all conversions for which the relevant Conversion Date occurs on or after the 30</w:t>
      </w:r>
      <w:r>
        <w:rPr>
          <w:rFonts w:ascii="Times New Roman;Times;serif" w:hAnsi="Times New Roman;Times;serif"/>
          <w:sz w:val="15"/>
        </w:rPr>
        <w:t>th</w:t>
      </w:r>
      <w:r>
        <w:rPr>
          <w:rFonts w:ascii="Times New Roman;Times;serif" w:hAnsi="Times New Roman;Times;serif"/>
          <w:sz w:val="20"/>
        </w:rPr>
        <w:t xml:space="preserve"> Scheduled Trading Day immediately preceding the Maturity Date will be settled using the same Settlement Method.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Except for any conversions for which the relevant Conversion Date occurs after the Company’s issuance of a Redemption Notice with respect to the Notes but prior to the close of business on the second Scheduled Trading Day prior to the related Redemption Date, as applicable, and any conversions for which the relevant Conversion Date occurs on or after the 30</w:t>
      </w:r>
      <w:r>
        <w:rPr>
          <w:rFonts w:ascii="Times New Roman;Times;serif" w:hAnsi="Times New Roman;Times;serif"/>
          <w:sz w:val="15"/>
        </w:rPr>
        <w:t xml:space="preserve">th </w:t>
      </w:r>
      <w:r>
        <w:rPr>
          <w:rFonts w:ascii="Times New Roman;Times;serif" w:hAnsi="Times New Roman;Times;serif"/>
          <w:sz w:val="20"/>
        </w:rPr>
        <w:t>Scheduled Trading Day immediately preceding the Maturity Date, the Company shall use the same Settlement Method for all conversions with the same Conversion Date, but the Company shall not have any obligation to use the same Settlement Method with respect to conversions with different Conversion Dates.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If, in respect of any Conversion Date (or, in the case of any conversions for which the relevant Conversion Date occurs after the date of issuance of a Redemption Notice with respect to the Notes and prior to the close of business on the second Scheduled Trading Day prior to the related Redemption Date, as applicable, in such Redemption Notice or on or after the 30</w:t>
      </w:r>
      <w:r>
        <w:rPr>
          <w:rFonts w:ascii="Times New Roman;Times;serif" w:hAnsi="Times New Roman;Times;serif"/>
          <w:sz w:val="15"/>
        </w:rPr>
        <w:t>th</w:t>
      </w:r>
      <w:r>
        <w:rPr>
          <w:rFonts w:ascii="Times New Roman;Times;serif" w:hAnsi="Times New Roman;Times;serif"/>
          <w:sz w:val="20"/>
        </w:rPr>
        <w:t xml:space="preserve"> Scheduled Trading Day immediately preceding the Maturity Date, no later than the 31</w:t>
      </w:r>
      <w:r>
        <w:rPr>
          <w:rFonts w:ascii="Times New Roman;Times;serif" w:hAnsi="Times New Roman;Times;serif"/>
          <w:sz w:val="15"/>
        </w:rPr>
        <w:t>st</w:t>
      </w:r>
      <w:r>
        <w:rPr>
          <w:rFonts w:ascii="Times New Roman;Times;serif" w:hAnsi="Times New Roman;Times;serif"/>
          <w:sz w:val="20"/>
        </w:rPr>
        <w:t xml:space="preserve"> Schedule Trading Day immediately preceding the Maturity Date, as the case may be), the Company elects a Settlement Method, the Company shall deliver a written notice (the “</w:t>
      </w:r>
      <w:r>
        <w:rPr>
          <w:rFonts w:ascii="Times New Roman;Times;serif" w:hAnsi="Times New Roman;Times;serif"/>
          <w:b/>
          <w:sz w:val="20"/>
        </w:rPr>
        <w:t>Settlement Notice</w:t>
      </w:r>
      <w:r>
        <w:rPr>
          <w:rFonts w:ascii="Times New Roman;Times;serif" w:hAnsi="Times New Roman;Times;serif"/>
          <w:sz w:val="20"/>
        </w:rPr>
        <w:t>”) of the relevant Settlement Method in respect of such Conversion Date (or such period, as the case may be) to converting Holders, the Trustee and the Conversion Agent (if other than the Trustee) no later than the close of business on the second Trading Day immediately following the relevant Conversion Date (or, in the case of any conversions for which the relevant Conversion Date occurs after the date of issuance of a Redemption Notice with respect to the Notes and prior to the close of business on the second Scheduled Trading Day prior to the related Redemption Date, as applicable, in such Redemption Notice or on or after the 30</w:t>
      </w:r>
      <w:r>
        <w:rPr>
          <w:rFonts w:ascii="Times New Roman;Times;serif" w:hAnsi="Times New Roman;Times;serif"/>
          <w:sz w:val="15"/>
        </w:rPr>
        <w:t>th</w:t>
      </w:r>
      <w:r>
        <w:rPr>
          <w:rFonts w:ascii="Times New Roman;Times;serif" w:hAnsi="Times New Roman;Times;serif"/>
          <w:sz w:val="20"/>
        </w:rPr>
        <w:t xml:space="preserve"> Scheduled Trading Day immediately preceding the Maturity Date, no later than the 31</w:t>
      </w:r>
      <w:r>
        <w:rPr>
          <w:rFonts w:ascii="Times New Roman;Times;serif" w:hAnsi="Times New Roman;Times;serif"/>
          <w:sz w:val="15"/>
        </w:rPr>
        <w:t>st</w:t>
      </w:r>
      <w:r>
        <w:rPr>
          <w:rFonts w:ascii="Times New Roman;Times;serif" w:hAnsi="Times New Roman;Times;serif"/>
          <w:sz w:val="20"/>
        </w:rPr>
        <w:t xml:space="preserve"> Scheduled Trading Day immediately preceding the Maturity Date) (in each case, the “</w:t>
      </w:r>
      <w:r>
        <w:rPr>
          <w:rFonts w:ascii="Times New Roman;Times;serif" w:hAnsi="Times New Roman;Times;serif"/>
          <w:b/>
          <w:sz w:val="20"/>
        </w:rPr>
        <w:t>Settlement Method Election</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sz w:val="20"/>
        </w:rPr>
        <w:t>Deadline</w:t>
      </w:r>
      <w:r>
        <w:rPr>
          <w:rFonts w:ascii="Times New Roman;Times;serif" w:hAnsi="Times New Roman;Times;serif"/>
          <w:sz w:val="20"/>
        </w:rPr>
        <w:t>”). If the Company does not elect a Settlement Method prior to the deadline set forth in the immediately preceding sentence, the Company shall no longer have the right to elect Cash Settlement or Physical Settlement and the Company shall be deemed to have elected Physical Settlement in respect of its Conversion Obligation (such settlement method, the “</w:t>
      </w:r>
      <w:r>
        <w:rPr>
          <w:rFonts w:ascii="Times New Roman;Times;serif" w:hAnsi="Times New Roman;Times;serif"/>
          <w:b/>
          <w:sz w:val="20"/>
        </w:rPr>
        <w:t>Default Settlement Method</w:t>
      </w:r>
      <w:r>
        <w:rPr>
          <w:rFonts w:ascii="Times New Roman;Times;serif" w:hAnsi="Times New Roman;Times;serif"/>
          <w:sz w:val="20"/>
        </w:rPr>
        <w:t>” initially elected by the Company). Such Settlement Notice shall specify the relevant Settlement Method and in the case of an election of Combination Settlement, the relevant Settlement Notice shall indicate the Specified Dollar Amount per US$1,000 principal amount of Notes. If the Company delivers a Settlement Notice electing Combination Settlement in respect of its Conversion Obligation but does not indicate a Specified Dollar Amount per US$1,000 principal amount of Notes in such Settlement Notice, the Specified Dollar Amount per US$1,000 principal amount of Notes shall be deemed to be US$1,000.</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The Company may, by written notice to Holders, the Trustee and the Conversion Agent (if other than the Trustee), prior to the 30</w:t>
      </w:r>
      <w:r>
        <w:rPr>
          <w:rFonts w:ascii="Times New Roman;Times;serif" w:hAnsi="Times New Roman;Times;serif"/>
          <w:sz w:val="15"/>
        </w:rPr>
        <w:t>th</w:t>
      </w:r>
      <w:r>
        <w:rPr>
          <w:rFonts w:ascii="Times New Roman;Times;serif" w:hAnsi="Times New Roman;Times;serif"/>
          <w:sz w:val="20"/>
        </w:rPr>
        <w:t xml:space="preserve"> Scheduled Trading Day immediately preceding the Maturity Date, change the Default Settlement Method or elect to irrevocably fix the Settlement Method to any Settlement Method that the Company is then permitted to elect, including Combination Settlement with a Specified Dollar Amount per $1,000 principal amount of Notes of $1,000 or with an ability to continue to set the Specified Dollar Amount per $1,000 principal amount of Notes at or above any specific amount set forth in such election notice, that will apply to all Note conversions with a Conversion Date that is on or after the date the Company sends such notice. If the Company changes the Default Settlement Method or elects to irrevocably fix the Settlement Method, in either case, to Combination Settlement with an ability to continue to set the Specified Dollar Amount per $1,000 principal amount of Notes at or above a specified amount, the Company shall, after the date of such change or election, as the case may be, inform Holders converting their Notes, the Trustee and the Conversion Agent (if other than the Trustee) in writing of such Specified Dollar Amount in respect of the relevant conversion or conversions no later than the relevant Settlement Method Election Deadline for such conversion or conversions, or, if the Company does not timely inform the Holders, the Trustee and the Conversion Agent of the Specified Dollar Amount, such Specified Dollar Amount shall be the specific amount set forth in the change or election notice or, if no specific amount was set forth in the change or election notice, such Specified Dollar Amount shall be deemed to be $1,000 per $1,000 principal amount of Notes. If the Company changes the Default Settlement Method or irrevocably fixes the Settlement Method, then the Company shall concurrently either post the Default Settlement Method or fixed Settlement Method, as applicable, on the Company’s website or disclose the same in a current report on Form 6-K (or any successor form) that is filed with the Commission. Notwithstanding the foregoing, no such change in the Default Settlement Method or irrevocable election will affect any Settlement Method theretofore elected (or deemed to be elected) with respect to any Conversion Date pursuant to this Section 14.02. For the avoidance of doubt, such change or election (as the case may be), if made, will be effective without the need to amend this Indenture or the Notes, including pursuant to Section 10.02(a). However, the Company may nonetheless choose to execute such an amendment at the Company’s option.</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Subject to Section 14.03 and Section 14.04, the cash, ADSs or a combination of cash and ADSs, as applicable, in respect of any conversion of Notes (the “</w:t>
      </w:r>
      <w:r>
        <w:rPr>
          <w:rFonts w:ascii="Times New Roman;Times;serif" w:hAnsi="Times New Roman;Times;serif"/>
          <w:b/>
          <w:sz w:val="20"/>
        </w:rPr>
        <w:t>Settlement Amount</w:t>
      </w:r>
      <w:r>
        <w:rPr>
          <w:rFonts w:ascii="Times New Roman;Times;serif" w:hAnsi="Times New Roman;Times;serif"/>
          <w:sz w:val="20"/>
        </w:rPr>
        <w:t>”) shall be computed as follows:</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(A)if the Company elects (or is deemed to have elected) to satisfy its Conversion Obligation in respect of such conversion by Physical Settlement, the Company shall deliver to the converting Holder in respect of each US$1,000 principal amount of Notes being converted a number of ADSs equal to the Conversion Rate in effect on the Conversion Date for such conversion;</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(B)if the Company elects (or is deemed to have elected) to satisfy its Conversion Obligation in respect of such conversion by Cash Settlement, the Company shall pay to the converting Holder in respect of each US$1,000 principal amount of Notes being converted cash in an amount equal to the sum of the Daily Conversion Values for each of the 20 consecutive Trading Days during the related Observation Period; and</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(C)if the Company elects (or is deemed to have elected) to satisfy its Conversion Obligation in respect of such conversion by Combination Settlement, the Company shall pay or deliver, as the case may be, in respect of each US$1,000 principal amount of Notes being converted, a Settlement Amount equal to the sum of the Daily Settlement Amounts for each of the 20 consecutive Trading Days during the related Observation Period.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The Daily Settlement Amounts (if applicable) and the Daily Conversion Values (if applicable) shall be determined by the Company promptly following the last day of the Observation Period. Promptly after such determination of the Daily Settlement Amounts or the Daily Conversion Values, as the case may be, and the amount of cash payable in lieu of delivering any Fractional ADS, the Company shall notify the Trustee and the Conversion Agent (if other than the Trustee) in writing of the Daily Settlement Amounts or the Daily Conversion Values, as the case may be, and the amount of cash payable in lieu of delivering Fractional ADSs. The Trustee and the Conversion Agent (if other than the Trustee) shall have no responsibility for any such determination.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w:t>
      </w:r>
      <w:r>
        <w:rPr>
          <w:rFonts w:ascii="Times New Roman;Times;serif" w:hAnsi="Times New Roman;Times;serif"/>
          <w:sz w:val="20"/>
        </w:rPr>
        <w:t>The Company covenants that it has reserved and will keep available at all times a number of Ordinary Shares corresponding to the maximum number of ADSs deliverable upon conversion of the Notes, plus any additional ADSs deliverable pursuant to Section 14.03, assuming Physical Settlement applies to each conversion (such ADSs, “</w:t>
      </w:r>
      <w:r>
        <w:rPr>
          <w:rFonts w:ascii="Times New Roman;Times;serif" w:hAnsi="Times New Roman;Times;serif"/>
          <w:b/>
          <w:sz w:val="20"/>
        </w:rPr>
        <w:t>Make-Whole ADS</w:t>
      </w:r>
      <w:r>
        <w:rPr>
          <w:rFonts w:ascii="Times New Roman;Times;serif" w:hAnsi="Times New Roman;Times;serif"/>
          <w:sz w:val="20"/>
        </w:rPr>
        <w:t>”). The Company also covenants that it will obtain approval to list (i) the maximum number of ADSs deliverable upon conversion of the Notes (assuming Physical Settlement applies to each conversion and excluding any Make-Whole ADSs) on the New York Stock Exchange, (ii) the Ordinary Shares represented by such maximum number of ADSs on the Hong Kong Stock Exchange and (iii) the same number of Ordinary Shares on the Singapore Exchange (in each case, where applicable, subject to official notice of issuance upon conversion of the notes). Prior to the scheduled delivery of any Make- Whole ADSs upon conversion of the Notes, the Company will obtain approval to list (i) such Make-Whole ADSs on the New York Stock Exchange, (ii) the Ordinary Shares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represented by such Make-whole ADSs on the Hong Kong Stock Exchange and (iii) the Ordinary Shares represented by such Make-whole ADSs on the Singapore Exchange (in each case, where applicable, subject to official notice of issuance upon conversion of the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Subject to Section 14.02(e), before any Holder of a Note shall be entitled to convert a Note as set forth above, such Holder shall (i) in the case of a Global Note, (1) subject to the immediately succeeding Clause (3), comply with the procedures of the Depositary in effect at that time for converting a beneficial interest in a Global Note, and the procedures agreed between the Company and the ADS Depositary with respect to any ADSs issued upon conversion of the Notes prior to the Resale Restriction Termination Date, (2) if required, pay funds equal to interest, if any, payable on the next Interest Payment Date to which such Holder is not entitled as set forth in Section 14.02(h), and (3) prior to the Resale Restriction Termination Date, complete, manually sign and deliver a duly completed irrevocable notice to the Conversion Agent, the Company and the ADS Depositary as set forth in the Form of Notice of Conversion (or a facsimile thereof) (a “</w:t>
      </w:r>
      <w:r>
        <w:rPr>
          <w:rFonts w:ascii="Times New Roman;Times;serif" w:hAnsi="Times New Roman;Times;serif"/>
          <w:b/>
          <w:sz w:val="20"/>
        </w:rPr>
        <w:t>Notice of Conversion</w:t>
      </w:r>
      <w:r>
        <w:rPr>
          <w:rFonts w:ascii="Times New Roman;Times;serif" w:hAnsi="Times New Roman;Times;serif"/>
          <w:sz w:val="20"/>
        </w:rPr>
        <w:t>”) and (ii) in the case of a Physical Note (1) complete, manually sign and deliver a duly completed irrevocable Notice of Conversion to the Conversion Agent at the specified office of the Conversion Agent, the Company and the ADS Depositary, and state in writing therein the principal amount of Notes to be converted and the name or names (with addresses) in which such Holder wishes the certificate or certificates for any ADSs to be delivered upon settlement of the Conversion Obligation to be registered, (2) surrender such Notes, duly endorsed to the Company or in blank (and accompanied by appropriate endorsement and transfer documents), at the specified office of the Trustee, (3) if required, furnish appropriate endorsements and transfer documents and (4) if required, pay funds equal to interest, if any, payable on the next Interest Payment Date to which such Holder is not entitled as set forth in Section 14.02(h). The Trustee (and if different, the Conversion Agent) shall notify the Company of any conversion pursuant to this Article 14 on the Conversion Date, or promptly following instructions for such conversion. No Notice of Conversion with respect to any Notes may be delivered and no Notes may be surrendered by a Holder for conversion thereof if such Holder has also delivered a Repurchase Notice or Fundamental Change Repurchase Notice to the Company in respect of such Notes and has not validly withdrawn such Repurchase Notice or Fundamental Change Repurchase Notice, as the case may be, in accordance with Section 15.03. The delivery of the ADSs or any cash in lieu of Fractional ADSs by the ADS Depositary to Holders upon conversion of their Notes or their designated transferees will be governed by the terms of the Unrestricted Deposit Agreement or the Restricted Deposit Agreement, as applicable, the Procedures Letter and by other procedures agreed between the Company and the ADS Depositary with respect to any ADSs issued upon conversion of the Notes.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By converting a beneficial interest in a Global Note into ADSs, the Holder is deemed to represent to the Company and to the ADS Depositary that such Holder is not an “affiliate” (as defined in Rule 144) of the Company and has not been an “affiliate” of the Company during the three months immediately preceding the Conversion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more than one Note shall be surrendered for conversion at one time by the same Holder, the Conversion Obligation with respect to such Notes shall be computed on the basis of</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aggregate principal amount of the Notes (or specified portions thereof to the extent permitted thereby) so surrendered.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 Note shall be deemed to have been converted immediately prior to the close of business on the date (the “</w:t>
      </w:r>
      <w:r>
        <w:rPr>
          <w:rFonts w:ascii="Times New Roman;Times;serif" w:hAnsi="Times New Roman;Times;serif"/>
          <w:b/>
          <w:sz w:val="20"/>
        </w:rPr>
        <w:t>Conversion Date</w:t>
      </w:r>
      <w:r>
        <w:rPr>
          <w:rFonts w:ascii="Times New Roman;Times;serif" w:hAnsi="Times New Roman;Times;serif"/>
          <w:sz w:val="20"/>
        </w:rPr>
        <w:t xml:space="preserve">”) that the Holder has complied with the requirements set forth in subsection (b) above. Except as set forth in Section 14.03(b) and Section 14.07(a), the Company shall pay or deliver, as the case may be, the consideration due in respect of the Conversion Obligation on the third Business Day immediately following the relevant Conversion Date, if the Company elects Physical Settlement, or on the third Business Day immediately following the last Trading Day of the relevant Observation Period, in the case of any other Settlement Method; </w:t>
      </w:r>
      <w:r>
        <w:rPr>
          <w:rFonts w:ascii="Times New Roman;Times;serif" w:hAnsi="Times New Roman;Times;serif"/>
          <w:i/>
          <w:sz w:val="20"/>
        </w:rPr>
        <w:t xml:space="preserve">provided </w:t>
      </w:r>
      <w:r>
        <w:rPr>
          <w:rFonts w:ascii="Times New Roman;Times;serif" w:hAnsi="Times New Roman;Times;serif"/>
          <w:sz w:val="20"/>
        </w:rPr>
        <w:t>that in respect of (x) all conversions for which the relevant Conversion Date occurs after the issuance of a Redemption Notice by the Company with respect to the Notes and prior to the close of business on the second Scheduled Trading Day prior to the related Redemption Date (as the case may be), (y) all conversions for which the relevant Conversion Date occurs on or after the 30</w:t>
      </w:r>
      <w:r>
        <w:rPr>
          <w:rFonts w:ascii="Times New Roman;Times;serif" w:hAnsi="Times New Roman;Times;serif"/>
          <w:sz w:val="15"/>
        </w:rPr>
        <w:t>th</w:t>
      </w:r>
      <w:r>
        <w:rPr>
          <w:rFonts w:ascii="Times New Roman;Times;serif" w:hAnsi="Times New Roman;Times;serif"/>
          <w:sz w:val="20"/>
        </w:rPr>
        <w:t xml:space="preserve"> Scheduled Trading Days immediately preceding the Maturity Date, if the Company elect Combination Settlement or Cash Settlement, the Company shall pay or deliver, as the case may be, the consideration due in respect of the Conversion Obligation on the second Business Day immediately following the last Trading Day of the relevant Observation Period and (z) all conversions for which the relevant Conversion Date occurs on or after the Interest Payment Date immediately preceding the Maturity Date, if the Company elects Physical Settlement, the Company shall pay or deliver, as the case may be, the consideration due in respect of the Conversion Obligation on the Maturity Date, </w:t>
      </w:r>
      <w:r>
        <w:rPr>
          <w:rFonts w:ascii="Times New Roman;Times;serif" w:hAnsi="Times New Roman;Times;serif"/>
          <w:i/>
          <w:sz w:val="20"/>
        </w:rPr>
        <w:t xml:space="preserve">provided further </w:t>
      </w:r>
      <w:r>
        <w:rPr>
          <w:rFonts w:ascii="Times New Roman;Times;serif" w:hAnsi="Times New Roman;Times;serif"/>
          <w:sz w:val="20"/>
        </w:rPr>
        <w:t>that, solely for the purposes of this Section 14.02(c), the term “Business Day” shall also include days on which banking institutions in the Cayman Islands are authorized or obligated by law or executive order to close. If any ADSs are due to a converting Holder, subject to the Unrestricted Deposit Agreement, the Restricted Deposit Agreement and the Procedures Letter, as applicable, if the Conversion Date occurs prior to the Restriction Termination Date, the Company shall issue or cause to be issued, and deliver (if applicable) to such Holder, or such Holder’s nominee or nominees, the full number of ADSs to which such Holder shall be entitled in book-entry format through the Depositary, in each case, in satisfaction of the Company’s Conversion Obligation.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In case any Note shall be surrendered for partial conversion, the Company shall execute and instruct the Trustee who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If a Holder submits a Note for conversion, the Company shall pay any documentary, stamp, issue, transfer or similar tax due on the delivery of any ADSs upon conversion of the Notes (including due on the issuance of the Ordinary Shares represented by such ADSs), unless the tax is due because the Holder requests such ADSs to be issued in a name other than the Holder’s name, in which case the Holder shall pay that tax. The Company may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refuse to deliver the certificates representing the ADSs being issued in a name other than the Holder’s name until the Company or the ADS Depositary, as applicable, receives a sum sufficient to pay any tax that is due by such Holder in accordance with the immediately preceding sentence. The Company shall also pay the ADS Depositary’s fees for the issuance of all ADSs (if any) deliverable upon conversion of the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Except as provided in Section 14.04, no adjustment shall be made for dividends on any ADSs delivered upon the conversion of any Note as provided in this Article 14.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Upon the conversion of an interest in a Global Note, the Trustee shall make a notation on such Global Note as to the reduction in the principal amount represented thereby. The Company shall notify the Trustee in writing of any conversion of Notes effected through any Conversion Agent other than the Trustee.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Upon conversion, a Holder shall not receive any separate cash payment for accrued and unpaid interest, if any, except as set forth below and the Company will not adjust the Conversion Rate for any accrued and unpaid interest on the Notes. The Company’s settlement of the Conversion Obligation shall be deemed to satisfy in full its obligation to pay the principal amount of the Note and accrued and unpaid interest, if any, to, but not including, the relevant Conversion Date. As a result, accrued and unpaid interest, if any, to, but not including, the relevant Conversion Date shall be deemed to be paid in full rather than cancelled, extinguished or forfeited. Upon a conversion of Notes into a combination of cash and ADSs, accrued and unpaid interest, if any, will be deemed to be paid first out of the cash paid upon such conversion. Notwithstanding the foregoing, if Notes are converted after the close of business on a Regular Record Date and prior to the open of business on the immediately following Interest Payment Date, Holders of such Notes as of the close of business on such Regular Record Date will receive the full amount of interest, if any, payable on such Notes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interest, if any, payable on the Notes so converted (regardless of whether the converting Holder was the holder of record on the corresponding Regular Record Date); provided that no such payment shall be required (1) for conversions following the Regular Record Date immediately preceding the Maturity Date; (2) if the Company has specified a Redemption Date that is after a Regular Record Date and on or prior to the third Business Day immediately succeeding the corresponding Interest Payment Date; (3) if the Company has specified a Fundamental Change Repurchase Date that is after a Regular Record Date and on or prior to the third Business Day immediately succeeding the corresponding Interest Payment Date; or (4) to the extent of any Defaulted Amounts, if any Defaulted Amounts exists at the time of conversion with respect to such Note. Neither the Trustee nor the Conversion Agent (if other than the Trustee) will have any duty to determine or verify determination by the Company of whether any of the conditions to conversion have been satisfied.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Person in whose name the certificate for any ADSs shall be delivered upon conversion is registered shall be treated as a holder of record of such ADSs for purposes of this Indenture as of the close of business on the relevant Conversion Date (if the Company elects to satisfy the related Conversion Obligation by Physical Settlement) or the last Trading Day of the relevant Observation Period (if the Company elects to satisfy the related Conversion Obligation</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Combination Settlement), as the case may be. Upon a conversion of Notes, such Person shall no longer be a Holder of such Notes surrendered for conversion.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The Company shall not issue any Fractional ADS upon conversion of the Notes and shall instead pay cash in lieu of delivering any Fractional ADS deliverable upon conversion based on the Daily VWAP for the relevant Conversion Date (in the case of Physical Settlement) or based on the Daily VWAP for the last Trading Day of the relevant Observation Period (in the case of Combination Settlement). For each Note surrendered for conversion, if the Company has elected (or is deemed to have elected) Combination Settlement, the full number of ADSs that shall be issued upon conversion thereof shall be computed on the basis of the aggregate Daily Settlement Amounts for the relevant Observation Period and any Fractional ADSs remaining after such computation shall be paid in cash.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In accordance with the Unrestricted Deposit Agreement or the Restricted Deposit Agreement, as applicable, and the Procedures Letter, the Company shall issue to the ADS Custodian such Ordinary Shares required for the issuance of the ADSs upon conversion of the Notes, plus written delivery instructions (if requested by the ADS Depositary or the ADS Custodian) for such ADSs, shall deliver such legal opinions and any other information or documentation and shall comply with the Unrestricted Deposit Agreement and the Restricted Deposit Agreement (as the case may be) and the Procedures Letter, in each case, as required by the ADS Depositary or the ADS Custodian in connection with each issue of Ordinary Shares and issuance and delivery of ADSs.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w:t>
      </w:r>
      <w:r>
        <w:rPr>
          <w:rFonts w:ascii="Times New Roman;Times;serif" w:hAnsi="Times New Roman;Times;serif"/>
          <w:i/>
          <w:sz w:val="20"/>
        </w:rPr>
        <w:t>RESERVED</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14.03 </w:t>
      </w:r>
      <w:r>
        <w:rPr>
          <w:rFonts w:ascii="Times New Roman;Times;serif" w:hAnsi="Times New Roman;Times;serif"/>
          <w:i/>
          <w:sz w:val="20"/>
        </w:rPr>
        <w:t>Increased Conversion Rate Applicable to Certain Notes Surrendered in Connection with Make-Whole Fundamental Changes</w:t>
      </w:r>
      <w:r>
        <w:rPr>
          <w:rFonts w:ascii="Times New Roman;Times;serif" w:hAnsi="Times New Roman;Times;serif"/>
          <w:sz w:val="20"/>
        </w:rPr>
        <w:t>. (a) If a Make-Whole Fundamental Change occurs prior to the Maturity Date and a Holder elects to convert its Notes in connection with such Make-Whole Fundamental Change, the Company shall, under the circumstances described below, increase the Conversion Rate for the Notes so surrendered for conversion by a number of additional ADSs (the “</w:t>
      </w:r>
      <w:r>
        <w:rPr>
          <w:rFonts w:ascii="Times New Roman;Times;serif" w:hAnsi="Times New Roman;Times;serif"/>
          <w:b/>
          <w:sz w:val="20"/>
        </w:rPr>
        <w:t>Additional ADSs</w:t>
      </w:r>
      <w:r>
        <w:rPr>
          <w:rFonts w:ascii="Times New Roman;Times;serif" w:hAnsi="Times New Roman;Times;serif"/>
          <w:sz w:val="20"/>
        </w:rPr>
        <w:t xml:space="preserve">”), as described below. A conversion of Notes shall be deemed for these purposes to be “in connection with” such Make-Whole Fundamental Change if the relevant Notice of Conversion is received by the Conversion Agent from, and including, the Effective Date of the Make-Whole Fundamental Change up to, and including, the second Business Day immediately prior to the related Fundamental Change Repurchase Date (or, in the case of a Make-Whole Fundamental Change that would have been a Fundamental Change but for the </w:t>
      </w:r>
      <w:r>
        <w:rPr>
          <w:rFonts w:ascii="Times New Roman;Times;serif" w:hAnsi="Times New Roman;Times;serif"/>
          <w:i/>
          <w:sz w:val="20"/>
        </w:rPr>
        <w:t xml:space="preserve">proviso </w:t>
      </w:r>
      <w:r>
        <w:rPr>
          <w:rFonts w:ascii="Times New Roman;Times;serif" w:hAnsi="Times New Roman;Times;serif"/>
          <w:sz w:val="20"/>
        </w:rPr>
        <w:t>in clause (b) of the definition thereof, the 35th Trading Day immediately following the Effective Date of such Make-Whole Fundamental Change). The Company shall provide written notification to Holders and the Trustee (and the Conversion Agent, if other than the Trustee) of the Effective Date of any Make-Whole Fundamental Change and issue a press release announcing such Effective Date no later than five Business Days after such Effective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Upon surrender of Notes for conversion in connection with a Make-Whole Fundamental Change, the Company shall, at its option, satisfy the related Conversion Obligation by Physical Settlement, Cash Settlement or Combination Settlement in accordance with Section 14.02;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xml:space="preserve">, that if, at the effective time of a Make-Whole Fundamental Change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described in clause (b) of the definition of Fundamental Change, the Reference Property following such Make-Whole Fundamental Change is composed entirely of cash, for any conversion of Notes following the Effective Date of such Make-Whole Fundamental Change, the Conversion Obligation shall be calculated based solely on the ADS Price for the transaction and shall be deemed to be an amount of cash per US$1,000 principal amount of converted Notes equal to the Conversion Rate (including any adjustment for Additional ADSs), </w:t>
      </w:r>
      <w:r>
        <w:rPr>
          <w:rFonts w:ascii="Times New Roman;Times;serif" w:hAnsi="Times New Roman;Times;serif"/>
          <w:i/>
          <w:sz w:val="20"/>
        </w:rPr>
        <w:t xml:space="preserve">multiplied by </w:t>
      </w:r>
      <w:r>
        <w:rPr>
          <w:rFonts w:ascii="Times New Roman;Times;serif" w:hAnsi="Times New Roman;Times;serif"/>
          <w:sz w:val="20"/>
        </w:rPr>
        <w:t>such ADS Price. In such event, the Conversion Obligation will be paid to holders in cash on the third Business Day following the Conversion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number of Additional ADSs, if any, by which the Conversion Rate shall be increased shall be determined by reference to the table below, based on the date on which the Make-Whole Fundamental Change occurs or becomes effective (the “</w:t>
      </w:r>
      <w:r>
        <w:rPr>
          <w:rFonts w:ascii="Times New Roman;Times;serif" w:hAnsi="Times New Roman;Times;serif"/>
          <w:b/>
          <w:sz w:val="20"/>
        </w:rPr>
        <w:t>Effective Date</w:t>
      </w:r>
      <w:r>
        <w:rPr>
          <w:rFonts w:ascii="Times New Roman;Times;serif" w:hAnsi="Times New Roman;Times;serif"/>
          <w:sz w:val="20"/>
        </w:rPr>
        <w:t>”) and the price (the “</w:t>
      </w:r>
      <w:r>
        <w:rPr>
          <w:rFonts w:ascii="Times New Roman;Times;serif" w:hAnsi="Times New Roman;Times;serif"/>
          <w:b/>
          <w:sz w:val="20"/>
        </w:rPr>
        <w:t>ADS Price</w:t>
      </w:r>
      <w:r>
        <w:rPr>
          <w:rFonts w:ascii="Times New Roman;Times;serif" w:hAnsi="Times New Roman;Times;serif"/>
          <w:sz w:val="20"/>
        </w:rPr>
        <w:t>”) paid (or deemed to be paid) per ADS in the Make-Whole Fundamental Change. If the holders of the ADSs receive in exchange for their ADSs only cash in a Make- Whole Fundamental Change described in clause (b) of the definition of Fundamental Change, the ADS Price shall be the cash amount paid per ADS. Otherwise, the ADS Price shall be the average of the Last Reported Sale Prices of the ADSs over the five Trading Day period ending on, and including, the Trading Day immediately preceding the Effective Date of the Make- Whole Fundamental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The ADS Prices set forth in the column headings of the table below shall be adjusted as of any date on which the Conversion Rate of the Notes is otherwise adjusted. The adjusted ADS Prices shall equal the ADS Prices applicable immediately prior to such adjustment, </w:t>
      </w:r>
      <w:r>
        <w:rPr>
          <w:rFonts w:ascii="Times New Roman;Times;serif" w:hAnsi="Times New Roman;Times;serif"/>
          <w:i/>
          <w:sz w:val="20"/>
        </w:rPr>
        <w:t xml:space="preserve">multiplied by </w:t>
      </w:r>
      <w:r>
        <w:rPr>
          <w:rFonts w:ascii="Times New Roman;Times;serif" w:hAnsi="Times New Roman;Times;serif"/>
          <w:sz w:val="20"/>
        </w:rPr>
        <w:t>a fraction, the numerator of which is the Conversion Rate immediately prior to such adjustment giving rise to the ADS Price adjustment and the denominator of which is the Conversion Rate as so adjusted. The number of Additional ADSs set forth in the table below shall be adjusted in the same manner and at the same time as the Conversion Rate as set forth in Section 14.04.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following table sets forth the number of Additional ADSs to be received per US$1,000 principal amount of Notes pursuant to this Section 14.03 for each ADS Price and Effective Date set forth below:</w:t>
      </w:r>
    </w:p>
    <w:tbl>
      <w:tblPr>
        <w:tblW w:w="12655" w:type="dxa"/>
        <w:jc w:val="center"/>
        <w:tblInd w:w="0" w:type="dxa"/>
        <w:tblLayout w:type="fixed"/>
        <w:tblCellMar>
          <w:top w:w="0" w:type="dxa"/>
          <w:left w:w="0" w:type="dxa"/>
          <w:bottom w:w="0" w:type="dxa"/>
          <w:right w:w="0" w:type="dxa"/>
        </w:tblCellMar>
      </w:tblPr>
      <w:tblGrid>
        <w:gridCol w:w="886"/>
        <w:gridCol w:w="326"/>
        <w:gridCol w:w="691"/>
        <w:gridCol w:w="326"/>
        <w:gridCol w:w="691"/>
        <w:gridCol w:w="326"/>
        <w:gridCol w:w="691"/>
        <w:gridCol w:w="326"/>
        <w:gridCol w:w="691"/>
        <w:gridCol w:w="326"/>
        <w:gridCol w:w="691"/>
        <w:gridCol w:w="326"/>
        <w:gridCol w:w="691"/>
        <w:gridCol w:w="326"/>
        <w:gridCol w:w="601"/>
        <w:gridCol w:w="326"/>
        <w:gridCol w:w="601"/>
        <w:gridCol w:w="326"/>
        <w:gridCol w:w="601"/>
        <w:gridCol w:w="326"/>
        <w:gridCol w:w="601"/>
        <w:gridCol w:w="326"/>
        <w:gridCol w:w="601"/>
        <w:gridCol w:w="326"/>
        <w:gridCol w:w="706"/>
      </w:tblGrid>
      <w:tr>
        <w:trPr/>
        <w:tc>
          <w:tcPr>
            <w:tcW w:w="12655" w:type="dxa"/>
            <w:gridSpan w:val="2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ADS Price</w:t>
            </w:r>
          </w:p>
        </w:tc>
      </w:tr>
      <w:tr>
        <w:trPr/>
        <w:tc>
          <w:tcPr>
            <w:tcW w:w="8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Effective Date</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$8.55</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$9.00</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$10.00</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$11.12</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$12.50</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$14.46</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$20.00</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$25.00</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$30.00</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$40.00</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$50.00</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$75.00</w:t>
            </w:r>
          </w:p>
        </w:tc>
      </w:tr>
      <w:tr>
        <w:trPr/>
        <w:tc>
          <w:tcPr>
            <w:tcW w:w="8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September 22, 2023</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26.9905</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24.7611</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20.7190</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17.2869</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14.1312</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10.9525</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5.9810</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3.7176</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2.3513</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0.8803</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0.2244</w:t>
            </w:r>
          </w:p>
        </w:tc>
        <w:tc>
          <w:tcPr>
            <w:tcW w:w="326" w:type="dxa"/>
            <w:tcBorders/>
            <w:vAlign w:val="center"/>
          </w:tcPr>
          <w:p>
            <w:pPr>
              <w:pStyle w:val="TableContents"/>
              <w:bidi w:val="0"/>
              <w:spacing w:before="0" w:after="0"/>
              <w:ind w:left="0" w:right="0" w:hanging="0"/>
              <w:jc w:val="left"/>
              <w:rPr/>
            </w:pPr>
            <w:r>
              <w:rPr/>
              <w:t>​</w:t>
            </w:r>
          </w:p>
        </w:tc>
        <w:tc>
          <w:tcPr>
            <w:tcW w:w="70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0.0000</w:t>
            </w:r>
          </w:p>
        </w:tc>
      </w:tr>
      <w:tr>
        <w:trPr/>
        <w:tc>
          <w:tcPr>
            <w:tcW w:w="8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October 15, 2024</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26.9905</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24.7611</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20.6340</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16.9874</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13.7080</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10.4925</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5.6540</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3.5168</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2.2343</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0.8483</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0.2226</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0.0000</w:t>
            </w:r>
          </w:p>
        </w:tc>
      </w:tr>
      <w:tr>
        <w:trPr/>
        <w:tc>
          <w:tcPr>
            <w:tcW w:w="8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October 15, 2025</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26.9905</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24.7611</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20.1380</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16.2626</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12.8808</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9.6825</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5.1175</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3.1788</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2.0240</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0.7713</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0.2018</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0.0000</w:t>
            </w:r>
          </w:p>
        </w:tc>
      </w:tr>
      <w:tr>
        <w:trPr/>
        <w:tc>
          <w:tcPr>
            <w:tcW w:w="8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October 15, 2026</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26.9905</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24.4956</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19.2090</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15.0737</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11.6184</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8.5141</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4.3900</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2.7240</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1.7377</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0.6595</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0.1672</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0.0000</w:t>
            </w:r>
          </w:p>
        </w:tc>
      </w:tr>
      <w:tr>
        <w:trPr/>
        <w:tc>
          <w:tcPr>
            <w:tcW w:w="8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October 15, 2027</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26.9905</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23.7678</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17.7520</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13.3255</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9.8728</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6.9902</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3.5040</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2.1788</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1.3953</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0.5260</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0.1256</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0.0000</w:t>
            </w:r>
          </w:p>
        </w:tc>
      </w:tr>
      <w:tr>
        <w:trPr/>
        <w:tc>
          <w:tcPr>
            <w:tcW w:w="8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October 15, 2028</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26.9905</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21.1422</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14.9340</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10.7905</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7.6096</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5.1107</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2.4705</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1.5516</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1.0030</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0.3780</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0.0840</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0.0000</w:t>
            </w:r>
          </w:p>
        </w:tc>
      </w:tr>
      <w:tr>
        <w:trPr/>
        <w:tc>
          <w:tcPr>
            <w:tcW w:w="8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October 15, 2029</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26.9905</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21.1422</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12.7390</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7.8462</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4.6600</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2.7414</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1.2910</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0.8304</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0.5440</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0.2038</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0.0400</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0.0000</w:t>
            </w:r>
          </w:p>
        </w:tc>
      </w:tr>
      <w:tr>
        <w:trPr/>
        <w:tc>
          <w:tcPr>
            <w:tcW w:w="8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October 15, 2030</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26.9905</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21.1422</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10.0310</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0.0000</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0.0000</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0.0000</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0.0000</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0.0000</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0.0000</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0.0000</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0.0000</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0.0000</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exact ADS Prices and Effective Dates may not be set forth in the table above, in which case: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if the ADS Price is between two ADS Prices in the table above or the Effective Date is between two Effective Dates in the table, the number of Additional ADSs shall be determined by a straight-line interpolation between the number of Additional ADSs set forth for the higher and lower ADS Prices and the earlier and later Effective Dates, as applicable, based on a 365-day year;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if the ADS Price is greater than US$75.00 per ADS (subject to adjustment in the same manner as the ADS Prices set forth in the column headings of the table above pursuant to subsection (d) above), no Additional ADSs shall be added to the Conversion Rate;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if the ADS Price is less than US$8.55 per ADS (subject to adjustment in the same manner as the ADS Prices set forth in the column headings of the table above pursuant to subsection (d) above), no Additional ADSs shall be added to the Conversion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the foregoing, in no event shall the Conversion Rate per US$1,000 principal amount of Notes exceed 116.9590 ADSs, subject to adjustment in the same manner as the Conversion Rate pursuant to Section 14.04.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Nothing in this Section 14.03 shall prevent an adjustment to the Conversion Rate pursuant to Section 14.04.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If the Holder elects to convert its Notes in connection with a Redemption Notice pursuant to Section 16.01, Section 16.02 or Section 16.03, in each case, the Conversion Rate shall be increased by a number of additional ADSs determined pursuant to this Section 14.03(g). The Company shall settle conversions of Notes as described in Section 14.02 and, for the avoidance of doubt, pay Additional Amounts, if any, with respect to any such conversion.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conversion shall be deemed to be “in connection with” a Redemption Notice pursuant to Section 16.01, Section 16.02 or Section 16.03, in each case, if the relevant Notice of Conversion is received by the Conversion Agent during the period from, and including, the date the Company provides the related Redemption Notice to Holders until the close of business on the second Scheduled Trading Day immediately preceding the relevant Redemption date (or, if the Company fails to pay the Redemption Price, such later date on which the Company pays the Redemption Price).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Simultaneously with providing such Redemption Notice, the Company shall publish a notice containing this information in a newspaper of general circulation in The City of New York or publish the information on the Company’s website or through such other public medium as the Company may use at that time.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number of additional ADSs by which the Conversion Rate will be increased in the event the Company elects to redeem the Notes pursuant to Article 16 hereof will be determined by reference to the table in clause (e) above based on the Redemption Reference Date and the Redemption Reference Price (each as defined below), but determined for purposes of this Section 14.03(g) as if (x) the Holder had elected to convert its Notes in connection with a Make- Whole Fundamental Change, (y) the applicable “Redemption Reference Date” were the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r>
        <w:rPr>
          <w:rFonts w:ascii="Times New Roman;Times;serif" w:hAnsi="Times New Roman;Times;serif"/>
          <w:sz w:val="20"/>
        </w:rPr>
        <w:t>Effective Date” as specified in clause (c) above and (z) the applicable “Redemption Reference Price” were the “ADS price” as specified in clause (c) above. “</w:t>
      </w:r>
      <w:r>
        <w:rPr>
          <w:rFonts w:ascii="Times New Roman;Times;serif" w:hAnsi="Times New Roman;Times;serif"/>
          <w:b/>
          <w:sz w:val="20"/>
        </w:rPr>
        <w:t>Redemption Reference Date</w:t>
      </w:r>
      <w:r>
        <w:rPr>
          <w:rFonts w:ascii="Times New Roman;Times;serif" w:hAnsi="Times New Roman;Times;serif"/>
          <w:sz w:val="20"/>
        </w:rPr>
        <w:t>” means the date the Company delivers the relevant Redemption Notice. “</w:t>
      </w:r>
      <w:r>
        <w:rPr>
          <w:rFonts w:ascii="Times New Roman;Times;serif" w:hAnsi="Times New Roman;Times;serif"/>
          <w:b/>
          <w:sz w:val="20"/>
        </w:rPr>
        <w:t>Redemption Reference Price</w:t>
      </w:r>
      <w:r>
        <w:rPr>
          <w:rFonts w:ascii="Times New Roman;Times;serif" w:hAnsi="Times New Roman;Times;serif"/>
          <w:sz w:val="20"/>
        </w:rPr>
        <w:t>” means, for any conversion in connection with a Redemption Notice pursuant to Section 16.01, Section 16.02 or Section 16.03, as the case may be, the average of the Last Reported Sale Prices of the ADSs over the 5 consecutive Trading Day period ending on, and including the Trading Day immediately preceding, the date the Company delivers the relevant Redemption Notice.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14.04 </w:t>
      </w:r>
      <w:r>
        <w:rPr>
          <w:rFonts w:ascii="Times New Roman;Times;serif" w:hAnsi="Times New Roman;Times;serif"/>
          <w:i/>
          <w:sz w:val="20"/>
        </w:rPr>
        <w:t>Adjustment of Conversion Rate</w:t>
      </w:r>
      <w:r>
        <w:rPr>
          <w:rFonts w:ascii="Times New Roman;Times;serif" w:hAnsi="Times New Roman;Times;serif"/>
          <w:sz w:val="20"/>
        </w:rPr>
        <w:t>. If the number of Ordinary Shares represented by the ADSs is changed, after the date of this Indenture, for any reason other than one or more of the events described in this Section 14.04, the Company shall make an appropriate adjustment to the Conversion Rate such that the number of Ordinary Shares represented by the ADSs upon which conversion of the Notes is based remains the same.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Notwithstanding the adjustment provisions described in this Section 14.04, if the Company distributes to holders of the Ordinary Shares any cash, rights, options, warrants, shares of Capital Stock or similar equity interest, evidences of indebtedness or other assets or property of the Company (but excluding Expiring Rights) and a corresponding distribution is not made to holders of the ADSs, but, instead, the ADSs shall represent, in addition to Ordinary Shares, such cash, rights, options, warrants, shares of Capital Stock or similar equity interest, evidences of indebtedness or other assets or property of the Company, then an adjustment to the Conversion Rate described in this Section 14.04 shall not be made until and unless a corresponding distribution (if any) is made to holders of the ADSs, and such adjustment to the Conversion Rate shall be based on the distribution made to the holders of the ADSs and not on the distribution made to the holders of the Ordinary Shares. However, in the event that the Company issues or distributes to all holders of the Ordinary Shares any Expiring Rights, notwithstanding the immediately preceding sentence, the Company shall adjust the Conversion Rate pursuant to Section 14.04(b) (in the case of Expiring Rights described in clause (b) below entitling holders of the Ordinary Shares for a period of not more than 45 calendar days after the announcement date of such issuance to subscribe for or purchase Ordinary Shares or ADSs) or Section 14.04(c) (in the case of all other Expiring Rights).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avoidance of doubt, if any event described in this Section 14.04 results in a change to the number of Ordinary Shares represented by the ADSs, then such a change shall be deemed to satisfy the Company’s obligation to effect the relevant adjustment to the Conversion Rate on account of such an event to the extent such change reflects what a corresponding change to the Conversion Rate would have been on account of such event.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Conversion Rate shall be adjusted from time to time by the Company if any of the following events occurs, except that the Company shall not make any adjustments to the Conversion Rate if Holders of the Notes participate (other than in the case of (x) a share split or share combination or (y) a tender or exchange offer), at the same time and upon the same terms as holders of the ADSs and solely as a result of holding the Notes, in any of the transactions described in this Section 14.04, without having to convert their Notes, as if they held a number of ADSs equal to the Conversion Rate, </w:t>
      </w:r>
      <w:r>
        <w:rPr>
          <w:rFonts w:ascii="Times New Roman;Times;serif" w:hAnsi="Times New Roman;Times;serif"/>
          <w:i/>
          <w:sz w:val="20"/>
        </w:rPr>
        <w:t xml:space="preserve">multiplied by </w:t>
      </w:r>
      <w:r>
        <w:rPr>
          <w:rFonts w:ascii="Times New Roman;Times;serif" w:hAnsi="Times New Roman;Times;serif"/>
          <w:sz w:val="20"/>
        </w:rPr>
        <w:t>the principal amount (expressed in thousands) of Notes held by such Holder. Neither the Trustee nor the Conversion Agent shall have any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responsibility to monitor or verify the accuracy of any calculation of, or any adjustment to, the Conversion Rate, all of which will be determined by the Company. Notice of any calculation of, or any of such adjustment to, the Conversion Rate shall be given by the Company promptly in writing to the Holders, the Trustee, the Paying Agent and the Conversion Agent and shall be conclusive and binding on the Holders, the Trustee and the Agents, absent manifest error.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If the Company exclusively issues Ordinary Shares as a dividend or distribution on the Ordinary Shares, or if the Company effects a share split or share combination, the Conversion Rate shall be adjusted based on the following formula:</w:t>
      </w:r>
    </w:p>
    <w:tbl>
      <w:tblPr>
        <w:tblW w:w="2446" w:type="dxa"/>
        <w:jc w:val="left"/>
        <w:tblInd w:w="0" w:type="dxa"/>
        <w:tblLayout w:type="fixed"/>
        <w:tblCellMar>
          <w:top w:w="0" w:type="dxa"/>
          <w:left w:w="0" w:type="dxa"/>
          <w:bottom w:w="0" w:type="dxa"/>
          <w:right w:w="0" w:type="dxa"/>
        </w:tblCellMar>
      </w:tblPr>
      <w:tblGrid>
        <w:gridCol w:w="124"/>
        <w:gridCol w:w="961"/>
        <w:gridCol w:w="256"/>
        <w:gridCol w:w="421"/>
        <w:gridCol w:w="109"/>
        <w:gridCol w:w="421"/>
        <w:gridCol w:w="154"/>
      </w:tblGrid>
      <w:tr>
        <w:trPr/>
        <w:tc>
          <w:tcPr>
            <w:tcW w:w="124" w:type="dxa"/>
            <w:tcBorders/>
            <w:vAlign w:val="center"/>
          </w:tcPr>
          <w:p>
            <w:pPr>
              <w:pStyle w:val="TableContents"/>
              <w:bidi w:val="0"/>
              <w:spacing w:before="0" w:after="0"/>
              <w:ind w:left="0" w:right="0" w:hanging="0"/>
              <w:jc w:val="left"/>
              <w:rPr/>
            </w:pPr>
            <w:r>
              <w:rPr/>
              <w:t>​</w:t>
            </w:r>
          </w:p>
        </w:tc>
        <w:tc>
          <w:tcPr>
            <w:tcW w:w="961" w:type="dxa"/>
            <w:vMerge w:val="restart"/>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i/>
                <w:sz w:val="20"/>
              </w:rPr>
              <w:t>CR</w:t>
            </w:r>
            <w:r>
              <w:rPr>
                <w:rFonts w:ascii="Times New Roman;Times;serif" w:hAnsi="Times New Roman;Times;serif"/>
                <w:sz w:val="15"/>
              </w:rPr>
              <w:t>1</w:t>
            </w:r>
            <w:r>
              <w:rPr>
                <w:rFonts w:ascii="Times New Roman;Times;serif" w:hAnsi="Times New Roman;Times;serif"/>
                <w:sz w:val="20"/>
              </w:rPr>
              <w:t xml:space="preserve"> = </w:t>
            </w:r>
            <w:r>
              <w:rPr>
                <w:rFonts w:ascii="Times New Roman;Times;serif" w:hAnsi="Times New Roman;Times;serif"/>
                <w:i/>
                <w:sz w:val="20"/>
              </w:rPr>
              <w:t>CR</w:t>
            </w:r>
            <w:r>
              <w:rPr>
                <w:rFonts w:ascii="Times New Roman;Times;serif" w:hAnsi="Times New Roman;Times;serif"/>
                <w:sz w:val="15"/>
              </w:rPr>
              <w:t>0</w:t>
            </w:r>
          </w:p>
        </w:tc>
        <w:tc>
          <w:tcPr>
            <w:tcW w:w="256" w:type="dxa"/>
            <w:vMerge w:val="restart"/>
            <w:tcBorders/>
            <w:vAlign w:val="center"/>
          </w:tcPr>
          <w:p>
            <w:pPr>
              <w:pStyle w:val="TableContents"/>
              <w:bidi w:val="0"/>
              <w:spacing w:before="0" w:after="0"/>
              <w:ind w:left="0" w:right="0" w:hanging="0"/>
              <w:jc w:val="center"/>
              <w:rPr>
                <w:rFonts w:ascii="Symbol" w:hAnsi="Symbol"/>
                <w:sz w:val="20"/>
              </w:rPr>
            </w:pPr>
            <w:r>
              <w:rPr>
                <w:rFonts w:ascii="Symbol" w:hAnsi="Symbol"/>
                <w:sz w:val="20"/>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OS</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4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961" w:type="dxa"/>
            <w:vMerge w:val="continue"/>
            <w:tcBorders/>
            <w:vAlign w:val="center"/>
          </w:tcPr>
          <w:p>
            <w:pPr>
              <w:pStyle w:val="Normal"/>
              <w:bidi w:val="0"/>
              <w:jc w:val="left"/>
              <w:rPr/>
            </w:pPr>
            <w:r>
              <w:rPr/>
            </w:r>
          </w:p>
        </w:tc>
        <w:tc>
          <w:tcPr>
            <w:tcW w:w="256" w:type="dxa"/>
            <w:vMerge w:val="continue"/>
            <w:tcBorders/>
            <w:vAlign w:val="center"/>
          </w:tcPr>
          <w:p>
            <w:pPr>
              <w:pStyle w:val="Normal"/>
              <w:bidi w:val="0"/>
              <w:jc w:val="left"/>
              <w:rPr/>
            </w:pPr>
            <w:r>
              <w:rPr/>
            </w:r>
          </w:p>
        </w:tc>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OS</w:t>
            </w:r>
            <w:r>
              <w:rPr>
                <w:rFonts w:ascii="Times New Roman;Times;serif" w:hAnsi="Times New Roman;Times;serif"/>
                <w:sz w:val="15"/>
              </w:rPr>
              <w:t>0</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where,</w:t>
      </w:r>
    </w:p>
    <w:tbl>
      <w:tblPr>
        <w:tblW w:w="10205" w:type="dxa"/>
        <w:jc w:val="left"/>
        <w:tblInd w:w="0" w:type="dxa"/>
        <w:tblLayout w:type="fixed"/>
        <w:tblCellMar>
          <w:top w:w="0" w:type="dxa"/>
          <w:left w:w="0" w:type="dxa"/>
          <w:bottom w:w="0" w:type="dxa"/>
          <w:right w:w="0" w:type="dxa"/>
        </w:tblCellMar>
      </w:tblPr>
      <w:tblGrid>
        <w:gridCol w:w="466"/>
        <w:gridCol w:w="211"/>
        <w:gridCol w:w="9528"/>
      </w:tblGrid>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6050280" cy="175260"/>
                      <wp:effectExtent l="0" t="0" r="0" b="0"/>
                      <wp:wrapNone/>
                      <wp:docPr id="691" name="Frame682"/>
                      <a:graphic xmlns:a="http://schemas.openxmlformats.org/drawingml/2006/main">
                        <a:graphicData uri="http://schemas.microsoft.com/office/word/2010/wordprocessingShape">
                          <wps:wsp>
                            <wps:cNvSpPr txBox="1"/>
                            <wps:spPr>
                              <a:xfrm>
                                <a:off x="0" y="0"/>
                                <a:ext cx="6050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sz w:val="15"/>
              </w:rPr>
              <w:t>0</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Conversion Rate in effect immediately prior to the open of business on the Ex-Dividend Date for the ADSs of such dividend or distribution, or immediately prior to the open of business on the Effective Date of such share split or share combination, as applicable;</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sz w:val="15"/>
              </w:rPr>
              <w:t>1</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Conversion Rate in effect immediately after the open of business on such Ex-Dividend Date or Effective Date, as applicable;</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OS</w:t>
            </w:r>
            <w:r>
              <w:rPr>
                <w:rFonts w:ascii="Times New Roman;Times;serif" w:hAnsi="Times New Roman;Times;serif"/>
                <w:sz w:val="15"/>
              </w:rPr>
              <w:t>0</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number of Ordinary Shares outstanding immediately prior to the open of business on such Ex-Dividend Date or Effective Date, as applicable (before giving effect to any such dividend, distribution, share split or combination); and</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OS</w:t>
            </w:r>
            <w:r>
              <w:rPr>
                <w:rFonts w:ascii="Times New Roman;Times;serif" w:hAnsi="Times New Roman;Times;serif"/>
                <w:sz w:val="15"/>
              </w:rPr>
              <w:t>1</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number of Ordinary Shares outstanding immediately after giving effect to such dividend, distribution, share split or share combination.</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adjustment made under this Section 14.04(a) shall become effective immediately after the open of business on the Ex-Dividend Date for the ADSs for such dividend or distribution, or immediately after the open of business on the Effective Date for such share split or share combination, as applicable. If any dividend or distribution of the type described in this Section 14.04(a)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the Company issues to all or substantially all holders of the Ordinary Shares (directly or in the form of ADSs) (other than in connection with a stockholder rights plan) any rights, options or warrants entitling them, for a period of not more than 45 calendar days after the announcement date of such issuance, to subscribe for or purchase Ordinary Shares (directly or in the form of ADSs) at a price per Ordinary Share that is less than the average of the Last Reported Sale Prices of the Ordinary Shares or the ADSs, as the case may be (</w:t>
      </w:r>
      <w:r>
        <w:rPr>
          <w:rFonts w:ascii="Times New Roman;Times;serif" w:hAnsi="Times New Roman;Times;serif"/>
          <w:i/>
          <w:sz w:val="20"/>
        </w:rPr>
        <w:t>divided by</w:t>
      </w:r>
      <w:r>
        <w:rPr>
          <w:rFonts w:ascii="Times New Roman;Times;serif" w:hAnsi="Times New Roman;Times;serif"/>
          <w:sz w:val="20"/>
        </w:rPr>
        <w:t>, in the case of the ADSs, the number of Ordinary Shares then represented by one ADS), for the 10 consecutive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Trading Day period ending on, and including, the Trading Day immediately preceding the date of announcement of such issuance, the Conversion Rate shall be increased based on the following formula:</w:t>
      </w:r>
    </w:p>
    <w:tbl>
      <w:tblPr>
        <w:tblW w:w="3121" w:type="dxa"/>
        <w:jc w:val="left"/>
        <w:tblInd w:w="0" w:type="dxa"/>
        <w:tblLayout w:type="fixed"/>
        <w:tblCellMar>
          <w:top w:w="0" w:type="dxa"/>
          <w:left w:w="0" w:type="dxa"/>
          <w:bottom w:w="0" w:type="dxa"/>
          <w:right w:w="0" w:type="dxa"/>
        </w:tblCellMar>
      </w:tblPr>
      <w:tblGrid>
        <w:gridCol w:w="124"/>
        <w:gridCol w:w="961"/>
        <w:gridCol w:w="256"/>
        <w:gridCol w:w="766"/>
        <w:gridCol w:w="109"/>
        <w:gridCol w:w="751"/>
        <w:gridCol w:w="154"/>
      </w:tblGrid>
      <w:tr>
        <w:trPr/>
        <w:tc>
          <w:tcPr>
            <w:tcW w:w="124" w:type="dxa"/>
            <w:tcBorders/>
            <w:vAlign w:val="center"/>
          </w:tcPr>
          <w:p>
            <w:pPr>
              <w:pStyle w:val="TableContents"/>
              <w:bidi w:val="0"/>
              <w:spacing w:before="0" w:after="0"/>
              <w:ind w:left="0" w:right="0" w:hanging="0"/>
              <w:jc w:val="left"/>
              <w:rPr/>
            </w:pPr>
            <w:r>
              <w:rPr/>
              <w:t>​</w:t>
            </w:r>
          </w:p>
        </w:tc>
        <w:tc>
          <w:tcPr>
            <w:tcW w:w="961" w:type="dxa"/>
            <w:vMerge w:val="restart"/>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i/>
                <w:sz w:val="20"/>
              </w:rPr>
              <w:t>CR</w:t>
            </w:r>
            <w:r>
              <w:rPr>
                <w:rFonts w:ascii="Times New Roman;Times;serif" w:hAnsi="Times New Roman;Times;serif"/>
                <w:sz w:val="15"/>
              </w:rPr>
              <w:t xml:space="preserve">1 </w:t>
            </w:r>
            <w:r>
              <w:rPr>
                <w:rFonts w:ascii="Times New Roman;Times;serif" w:hAnsi="Times New Roman;Times;serif"/>
                <w:sz w:val="20"/>
              </w:rPr>
              <w:t xml:space="preserve">= </w:t>
            </w:r>
            <w:r>
              <w:rPr>
                <w:rFonts w:ascii="Times New Roman;Times;serif" w:hAnsi="Times New Roman;Times;serif"/>
                <w:i/>
                <w:sz w:val="20"/>
              </w:rPr>
              <w:t>CR</w:t>
            </w:r>
            <w:r>
              <w:rPr>
                <w:rFonts w:ascii="Times New Roman;Times;serif" w:hAnsi="Times New Roman;Times;serif"/>
                <w:sz w:val="15"/>
              </w:rPr>
              <w:t>0</w:t>
            </w:r>
          </w:p>
        </w:tc>
        <w:tc>
          <w:tcPr>
            <w:tcW w:w="256" w:type="dxa"/>
            <w:vMerge w:val="restart"/>
            <w:tcBorders/>
            <w:vAlign w:val="center"/>
          </w:tcPr>
          <w:p>
            <w:pPr>
              <w:pStyle w:val="TableContents"/>
              <w:bidi w:val="0"/>
              <w:spacing w:before="0" w:after="0"/>
              <w:ind w:left="0" w:right="0" w:hanging="0"/>
              <w:jc w:val="center"/>
              <w:rPr>
                <w:rFonts w:ascii="Symbol" w:hAnsi="Symbol"/>
                <w:sz w:val="20"/>
              </w:rPr>
            </w:pPr>
            <w:r>
              <w:rPr>
                <w:rFonts w:ascii="Symbol" w:hAnsi="Symbol"/>
                <w:sz w:val="20"/>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OS</w:t>
            </w:r>
            <w:r>
              <w:rPr>
                <w:rFonts w:ascii="Times New Roman;Times;serif" w:hAnsi="Times New Roman;Times;serif"/>
                <w:sz w:val="15"/>
              </w:rPr>
              <w:t>0</w:t>
            </w:r>
            <w:r>
              <w:rPr>
                <w:rFonts w:ascii="Times New Roman;Times;serif" w:hAnsi="Times New Roman;Times;serif"/>
                <w:sz w:val="20"/>
              </w:rPr>
              <w:t xml:space="preserve"> </w:t>
            </w:r>
            <w:r>
              <w:rPr>
                <w:rFonts w:ascii="Times New Roman;Times;serif" w:hAnsi="Times New Roman;Times;serif"/>
                <w:i/>
                <w:sz w:val="20"/>
              </w:rPr>
              <w:t>+ X</w:t>
            </w:r>
          </w:p>
        </w:tc>
        <w:tc>
          <w:tcPr>
            <w:tcW w:w="109" w:type="dxa"/>
            <w:tcBorders/>
            <w:vAlign w:val="center"/>
          </w:tcPr>
          <w:p>
            <w:pPr>
              <w:pStyle w:val="TableContents"/>
              <w:bidi w:val="0"/>
              <w:spacing w:before="0" w:after="0"/>
              <w:ind w:left="0" w:right="0" w:hanging="0"/>
              <w:jc w:val="left"/>
              <w:rPr/>
            </w:pPr>
            <w:r>
              <w:rPr/>
              <w:t>​</w:t>
            </w:r>
          </w:p>
        </w:tc>
        <w:tc>
          <w:tcPr>
            <w:tcW w:w="75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961" w:type="dxa"/>
            <w:vMerge w:val="continue"/>
            <w:tcBorders/>
            <w:vAlign w:val="center"/>
          </w:tcPr>
          <w:p>
            <w:pPr>
              <w:pStyle w:val="Normal"/>
              <w:bidi w:val="0"/>
              <w:jc w:val="left"/>
              <w:rPr/>
            </w:pPr>
            <w:r>
              <w:rPr/>
            </w:r>
          </w:p>
        </w:tc>
        <w:tc>
          <w:tcPr>
            <w:tcW w:w="256" w:type="dxa"/>
            <w:vMerge w:val="continue"/>
            <w:tcBorders/>
            <w:vAlign w:val="center"/>
          </w:tcPr>
          <w:p>
            <w:pPr>
              <w:pStyle w:val="Normal"/>
              <w:bidi w:val="0"/>
              <w:jc w:val="left"/>
              <w:rPr/>
            </w:pPr>
            <w:r>
              <w:rPr/>
            </w:r>
          </w:p>
        </w:tc>
        <w:tc>
          <w:tcPr>
            <w:tcW w:w="7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OS</w:t>
            </w:r>
            <w:r>
              <w:rPr>
                <w:rFonts w:ascii="Times New Roman;Times;serif" w:hAnsi="Times New Roman;Times;serif"/>
                <w:sz w:val="15"/>
              </w:rPr>
              <w:t>0</w:t>
            </w:r>
            <w:r>
              <w:rPr>
                <w:rFonts w:ascii="Times New Roman;Times;serif" w:hAnsi="Times New Roman;Times;serif"/>
                <w:sz w:val="20"/>
              </w:rPr>
              <w:t xml:space="preserve"> </w:t>
            </w:r>
            <w:r>
              <w:rPr>
                <w:rFonts w:ascii="Times New Roman;Times;serif" w:hAnsi="Times New Roman;Times;serif"/>
                <w:i/>
                <w:sz w:val="20"/>
              </w:rPr>
              <w:t>+ Y</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where,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66"/>
        <w:gridCol w:w="211"/>
        <w:gridCol w:w="9528"/>
      </w:tblGrid>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6050280" cy="175260"/>
                      <wp:effectExtent l="0" t="0" r="0" b="0"/>
                      <wp:wrapNone/>
                      <wp:docPr id="692" name="Frame683"/>
                      <a:graphic xmlns:a="http://schemas.openxmlformats.org/drawingml/2006/main">
                        <a:graphicData uri="http://schemas.microsoft.com/office/word/2010/wordprocessingShape">
                          <wps:wsp>
                            <wps:cNvSpPr txBox="1"/>
                            <wps:spPr>
                              <a:xfrm>
                                <a:off x="0" y="0"/>
                                <a:ext cx="6050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sz w:val="15"/>
              </w:rPr>
              <w:t>0</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Conversion Rate in effect immediately prior to the open of business on the Ex-Dividend Date for the ADSs for such issuance;</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sz w:val="15"/>
              </w:rPr>
              <w:t>1</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Conversion Rate in effect immediately after the open of business on such Ex-Dividend Date;</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OS</w:t>
            </w:r>
            <w:r>
              <w:rPr>
                <w:rFonts w:ascii="Times New Roman;Times;serif" w:hAnsi="Times New Roman;Times;serif"/>
                <w:sz w:val="15"/>
              </w:rPr>
              <w:t>0</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number of Ordinary Shares outstanding immediately prior to the open of business on such Ex-Dividend Date;</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total number of Ordinary Shares (directly or in the form of ADSs) deliverable pursuant to such rights, options or warrants; and</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number of Ordinary Shares equal to (i) the aggregate price payable to exercise such rights, options or warrants, </w:t>
            </w:r>
            <w:r>
              <w:rPr>
                <w:rFonts w:ascii="Times New Roman;Times;serif" w:hAnsi="Times New Roman;Times;serif"/>
                <w:i/>
                <w:sz w:val="20"/>
              </w:rPr>
              <w:t xml:space="preserve">divided by </w:t>
            </w:r>
            <w:r>
              <w:rPr>
                <w:rFonts w:ascii="Times New Roman;Times;serif" w:hAnsi="Times New Roman;Times;serif"/>
                <w:sz w:val="20"/>
              </w:rPr>
              <w:t xml:space="preserve">(ii) the quotient of (a) the average of the Last Reported Sale Prices of the ADSs over the 10 consecutive Trading Day period ending on, and including, the Trading Day immediately preceding the date of announcement of the issuance of such rights, options or warrants </w:t>
            </w:r>
            <w:r>
              <w:rPr>
                <w:rFonts w:ascii="Times New Roman;Times;serif" w:hAnsi="Times New Roman;Times;serif"/>
                <w:i/>
                <w:sz w:val="20"/>
              </w:rPr>
              <w:t xml:space="preserve">divided by </w:t>
            </w:r>
            <w:r>
              <w:rPr>
                <w:rFonts w:ascii="Times New Roman;Times;serif" w:hAnsi="Times New Roman;Times;serif"/>
                <w:sz w:val="20"/>
              </w:rPr>
              <w:t>(b) the number of Ordinary Shares then represented by one ADS.</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increase made under this Section 14.04(b) shall become effective immediately after the open of business on the Ex-Dividend Date for the ADSs for such issuance. To the extent that Ordinary Shares or ADSs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Ordinary Shares actually delivered (directly or in the form of ADSs). To the extent such rights, options or warrants are not so issued, the Conversion Rate shall be decreased to the Conversion Rate that would then be in effect had the increase to the Conversion Rate for such issuance been made on the basis of only the rights, options or warrants, if any, actually issued.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purposes of this Section 14.04(b), in determining whether any rights, options or warrants entitle the holders to subscribe for or purchase Ordinary Shares (directly or in the form of ADSs) at a price per Ordinary Share that is less than such average of the Last Reported Sale Prices of the Ordinary Shares or the ADSs, as the case may be (divided by, in the case of the ADSs, the number of Ordinary Shares then represented by one ADS), for the 10 consecutive Trading Day period ending on, and including, the Trading Day immediately preceding the date of announcement for such issuance, and in determining the aggregate offering price of such</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Ordinary Shares or ADSs, there shall be taken into account any consideration received by the Company for such rights, options or warrants and any amount payable on exercise or conversion thereof, the value of such consideration, if other than cash, to be determined by the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If the Company distributes shares of its Capital Stock, evidences of its indebtedness, other assets or property of the Company or rights, options or warrants to acquire its Capital Stock or other securities, to all or substantially all holders of the Ordinary Shares (directly or in the form of ADSs), excluding (i) dividends, distributions or issuances as to which an adjustment was effected pursuant to Section 14.04(a) or Section 14.04(b), (ii) dividends or distributions paid exclusively in cash as to which an adjustment was effected pursuant to Section 14.04(d), and (iii) Spin-Offs as to which the provisions set forth below in this Section 14.04(c) shall apply (any of such shares of Capital Stock, evidences of indebtedness, other assets or property or rights, options or warrants to acquire Capital Stock or other securities of the Company, the “</w:t>
      </w:r>
      <w:r>
        <w:rPr>
          <w:rFonts w:ascii="Times New Roman;Times;serif" w:hAnsi="Times New Roman;Times;serif"/>
          <w:b/>
          <w:sz w:val="20"/>
        </w:rPr>
        <w:t>Distributed Property</w:t>
      </w:r>
      <w:r>
        <w:rPr>
          <w:rFonts w:ascii="Times New Roman;Times;serif" w:hAnsi="Times New Roman;Times;serif"/>
          <w:sz w:val="20"/>
        </w:rPr>
        <w:t>”), then the Conversion Rate shall be increased based on the following formula:</w:t>
      </w:r>
    </w:p>
    <w:tbl>
      <w:tblPr>
        <w:tblW w:w="3106" w:type="dxa"/>
        <w:jc w:val="left"/>
        <w:tblInd w:w="0" w:type="dxa"/>
        <w:tblLayout w:type="fixed"/>
        <w:tblCellMar>
          <w:top w:w="0" w:type="dxa"/>
          <w:left w:w="0" w:type="dxa"/>
          <w:bottom w:w="0" w:type="dxa"/>
          <w:right w:w="0" w:type="dxa"/>
        </w:tblCellMar>
      </w:tblPr>
      <w:tblGrid>
        <w:gridCol w:w="124"/>
        <w:gridCol w:w="961"/>
        <w:gridCol w:w="256"/>
        <w:gridCol w:w="406"/>
        <w:gridCol w:w="109"/>
        <w:gridCol w:w="1096"/>
        <w:gridCol w:w="154"/>
      </w:tblGrid>
      <w:tr>
        <w:trPr/>
        <w:tc>
          <w:tcPr>
            <w:tcW w:w="124" w:type="dxa"/>
            <w:tcBorders/>
            <w:vAlign w:val="center"/>
          </w:tcPr>
          <w:p>
            <w:pPr>
              <w:pStyle w:val="TableContents"/>
              <w:bidi w:val="0"/>
              <w:spacing w:before="0" w:after="0"/>
              <w:ind w:left="0" w:right="0" w:hanging="0"/>
              <w:jc w:val="left"/>
              <w:rPr/>
            </w:pPr>
            <w:r>
              <w:rPr/>
              <w:t>​</w:t>
            </w:r>
          </w:p>
        </w:tc>
        <w:tc>
          <w:tcPr>
            <w:tcW w:w="961" w:type="dxa"/>
            <w:vMerge w:val="restart"/>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i/>
                <w:sz w:val="20"/>
              </w:rPr>
              <w:t>CR</w:t>
            </w:r>
            <w:r>
              <w:rPr>
                <w:rFonts w:ascii="Times New Roman;Times;serif" w:hAnsi="Times New Roman;Times;serif"/>
                <w:sz w:val="15"/>
              </w:rPr>
              <w:t>1</w:t>
            </w:r>
            <w:r>
              <w:rPr>
                <w:rFonts w:ascii="Times New Roman;Times;serif" w:hAnsi="Times New Roman;Times;serif"/>
                <w:sz w:val="20"/>
              </w:rPr>
              <w:t xml:space="preserve"> = </w:t>
            </w:r>
            <w:r>
              <w:rPr>
                <w:rFonts w:ascii="Times New Roman;Times;serif" w:hAnsi="Times New Roman;Times;serif"/>
                <w:i/>
                <w:sz w:val="20"/>
              </w:rPr>
              <w:t>CR</w:t>
            </w:r>
            <w:r>
              <w:rPr>
                <w:rFonts w:ascii="Times New Roman;Times;serif" w:hAnsi="Times New Roman;Times;serif"/>
                <w:sz w:val="15"/>
              </w:rPr>
              <w:t>0</w:t>
            </w:r>
          </w:p>
        </w:tc>
        <w:tc>
          <w:tcPr>
            <w:tcW w:w="256" w:type="dxa"/>
            <w:vMerge w:val="restart"/>
            <w:tcBorders/>
            <w:vAlign w:val="center"/>
          </w:tcPr>
          <w:p>
            <w:pPr>
              <w:pStyle w:val="TableContents"/>
              <w:bidi w:val="0"/>
              <w:spacing w:before="0" w:after="0"/>
              <w:ind w:left="0" w:right="0" w:hanging="0"/>
              <w:jc w:val="center"/>
              <w:rPr>
                <w:rFonts w:ascii="Symbol" w:hAnsi="Symbol"/>
                <w:sz w:val="20"/>
              </w:rPr>
            </w:pPr>
            <w:r>
              <w:rPr>
                <w:rFonts w:ascii="Symbol" w:hAnsi="Symbol"/>
                <w:sz w:val="20"/>
              </w:rPr>
              <w:t>´</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SP</w:t>
            </w:r>
            <w:r>
              <w:rPr>
                <w:rFonts w:ascii="Times New Roman;Times;serif" w:hAnsi="Times New Roman;Times;serif"/>
                <w:sz w:val="15"/>
              </w:rPr>
              <w:t>0</w:t>
            </w:r>
          </w:p>
        </w:tc>
        <w:tc>
          <w:tcPr>
            <w:tcW w:w="109" w:type="dxa"/>
            <w:tcBorders/>
            <w:vAlign w:val="center"/>
          </w:tcPr>
          <w:p>
            <w:pPr>
              <w:pStyle w:val="TableContents"/>
              <w:bidi w:val="0"/>
              <w:spacing w:before="0" w:after="0"/>
              <w:ind w:left="0" w:right="0" w:hanging="0"/>
              <w:jc w:val="left"/>
              <w:rPr/>
            </w:pPr>
            <w:r>
              <w:rPr/>
              <w:t>​</w:t>
            </w:r>
          </w:p>
        </w:tc>
        <w:tc>
          <w:tcPr>
            <w:tcW w:w="109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961" w:type="dxa"/>
            <w:vMerge w:val="continue"/>
            <w:tcBorders/>
            <w:vAlign w:val="center"/>
          </w:tcPr>
          <w:p>
            <w:pPr>
              <w:pStyle w:val="Normal"/>
              <w:bidi w:val="0"/>
              <w:jc w:val="left"/>
              <w:rPr/>
            </w:pPr>
            <w:r>
              <w:rPr/>
            </w:r>
          </w:p>
        </w:tc>
        <w:tc>
          <w:tcPr>
            <w:tcW w:w="256" w:type="dxa"/>
            <w:vMerge w:val="continue"/>
            <w:tcBorders/>
            <w:vAlign w:val="center"/>
          </w:tcPr>
          <w:p>
            <w:pPr>
              <w:pStyle w:val="Normal"/>
              <w:bidi w:val="0"/>
              <w:jc w:val="left"/>
              <w:rPr/>
            </w:pPr>
            <w:r>
              <w:rPr/>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SP</w:t>
            </w:r>
            <w:r>
              <w:rPr>
                <w:rFonts w:ascii="Times New Roman;Times;serif" w:hAnsi="Times New Roman;Times;serif"/>
                <w:sz w:val="15"/>
              </w:rPr>
              <w:t>0</w:t>
            </w:r>
            <w:r>
              <w:rPr>
                <w:rFonts w:ascii="Times New Roman;Times;serif" w:hAnsi="Times New Roman;Times;serif"/>
                <w:sz w:val="20"/>
              </w:rPr>
              <w:t xml:space="preserve"> — </w:t>
            </w:r>
            <w:r>
              <w:rPr>
                <w:rFonts w:ascii="Times New Roman;Times;serif" w:hAnsi="Times New Roman;Times;serif"/>
                <w:i/>
                <w:sz w:val="20"/>
              </w:rPr>
              <w:t>FMV</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where,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41"/>
        <w:gridCol w:w="211"/>
        <w:gridCol w:w="9453"/>
      </w:tblGrid>
      <w:tr>
        <w:trPr/>
        <w:tc>
          <w:tcPr>
            <w:tcW w:w="54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6002655" cy="175260"/>
                      <wp:effectExtent l="0" t="0" r="0" b="0"/>
                      <wp:wrapNone/>
                      <wp:docPr id="693" name="Frame684"/>
                      <a:graphic xmlns:a="http://schemas.openxmlformats.org/drawingml/2006/main">
                        <a:graphicData uri="http://schemas.microsoft.com/office/word/2010/wordprocessingShape">
                          <wps:wsp>
                            <wps:cNvSpPr txBox="1"/>
                            <wps:spPr>
                              <a:xfrm>
                                <a:off x="0" y="0"/>
                                <a:ext cx="6002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sz w:val="15"/>
              </w:rPr>
              <w:t>0</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Conversion Rate in effect immediately prior to the open of business on the Ex-Dividend Date for the ADSs for such distribution;</w:t>
            </w:r>
          </w:p>
        </w:tc>
      </w:tr>
      <w:tr>
        <w:trPr/>
        <w:tc>
          <w:tcPr>
            <w:tcW w:w="54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53" w:type="dxa"/>
            <w:tcBorders/>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sz w:val="15"/>
              </w:rPr>
              <w:t>1</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Conversion Rate in effect immediately after the open of business on such Ex-Dividend Date;</w:t>
            </w:r>
          </w:p>
        </w:tc>
      </w:tr>
      <w:tr>
        <w:trPr/>
        <w:tc>
          <w:tcPr>
            <w:tcW w:w="54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53" w:type="dxa"/>
            <w:tcBorders/>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w:t>
            </w:r>
            <w:r>
              <w:rPr>
                <w:rFonts w:ascii="Times New Roman;Times;serif" w:hAnsi="Times New Roman;Times;serif"/>
                <w:sz w:val="15"/>
              </w:rPr>
              <w:t>0</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average of the Last Reported Sale Prices of the ADSs (</w:t>
            </w:r>
            <w:r>
              <w:rPr>
                <w:rFonts w:ascii="Times New Roman;Times;serif" w:hAnsi="Times New Roman;Times;serif"/>
                <w:i/>
                <w:sz w:val="20"/>
              </w:rPr>
              <w:t xml:space="preserve">divided by </w:t>
            </w:r>
            <w:r>
              <w:rPr>
                <w:rFonts w:ascii="Times New Roman;Times;serif" w:hAnsi="Times New Roman;Times;serif"/>
                <w:sz w:val="20"/>
              </w:rPr>
              <w:t>the number of Ordinary Shares then represented by one ADS) over the 10 consecutive Trading Day period ending on, and including, the Trading Day immediately preceding the Ex-Dividend Date for such distribution; and</w:t>
            </w:r>
          </w:p>
        </w:tc>
      </w:tr>
      <w:tr>
        <w:trPr/>
        <w:tc>
          <w:tcPr>
            <w:tcW w:w="54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53" w:type="dxa"/>
            <w:tcBorders/>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FMV</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fair market value (as determined by the Board of Directors) of the Distributed Property with respect to each outstanding Ordinary Share (directly or in the form of ADSs) on the Ex-Dividend Date for the ADSs for such distribution.</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increase made under the foregoing portion of this Section 14.04(c) above shall become effective immediately after the open of business on the Ex-Dividend Date for the ADSs for such distribution. If such distribution is not so paid or made in full, the Conversion Rate shall be decreased to the Conversion Rate that would then be in effect had the adjustment been made on the basis of only the distribution, if any, actually paid or made. Notwithstanding the foregoing, if “FMV” (as defined above) is equal to or greater than “SP</w:t>
      </w:r>
      <w:r>
        <w:rPr>
          <w:rFonts w:ascii="Times New Roman;Times;serif" w:hAnsi="Times New Roman;Times;serif"/>
          <w:sz w:val="15"/>
        </w:rPr>
        <w:t>0</w:t>
      </w:r>
      <w:r>
        <w:rPr>
          <w:rFonts w:ascii="Times New Roman;Times;serif" w:hAnsi="Times New Roman;Times;serif"/>
          <w:sz w:val="20"/>
        </w:rPr>
        <w:t>” (as defined above), in lieu of the foregoing increase, each Holder of a Note shall receive, in respect of each US$1,000 principal amount thereof, at the same time and upon the same terms as holders of the ADSs receive the Distributed Property, the amount and kind of Distributed Property such Holder would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have received if such Holder owned a number of ADSs equal to the Conversion Rate in effect on the Record Date for the ADSs for the distribution.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With respect to an adjustment pursuant to this Section 14.04(c) where there has been a payment of a dividend or other distribution on the Ordinary Shares (directly or in the form of ADSs) of shares of Capital Stock of any class or series, or similar equity interest, of or relating to a Subsidiary or other business unit of the Company, that are, or, when issued, will be, listed or admitted for trading on a U.S. national securities exchange (a “</w:t>
      </w:r>
      <w:r>
        <w:rPr>
          <w:rFonts w:ascii="Times New Roman;Times;serif" w:hAnsi="Times New Roman;Times;serif"/>
          <w:b/>
          <w:sz w:val="20"/>
        </w:rPr>
        <w:t>Spin-Off</w:t>
      </w:r>
      <w:r>
        <w:rPr>
          <w:rFonts w:ascii="Times New Roman;Times;serif" w:hAnsi="Times New Roman;Times;serif"/>
          <w:sz w:val="20"/>
        </w:rPr>
        <w:t>”), the Conversion Rate shall be increased based on the following formula:</w:t>
      </w:r>
    </w:p>
    <w:tbl>
      <w:tblPr>
        <w:tblW w:w="3241" w:type="dxa"/>
        <w:jc w:val="left"/>
        <w:tblInd w:w="0" w:type="dxa"/>
        <w:tblLayout w:type="fixed"/>
        <w:tblCellMar>
          <w:top w:w="0" w:type="dxa"/>
          <w:left w:w="0" w:type="dxa"/>
          <w:bottom w:w="0" w:type="dxa"/>
          <w:right w:w="0" w:type="dxa"/>
        </w:tblCellMar>
      </w:tblPr>
      <w:tblGrid>
        <w:gridCol w:w="124"/>
        <w:gridCol w:w="961"/>
        <w:gridCol w:w="256"/>
        <w:gridCol w:w="1171"/>
        <w:gridCol w:w="109"/>
        <w:gridCol w:w="466"/>
        <w:gridCol w:w="154"/>
      </w:tblGrid>
      <w:tr>
        <w:trPr/>
        <w:tc>
          <w:tcPr>
            <w:tcW w:w="124" w:type="dxa"/>
            <w:tcBorders/>
            <w:vAlign w:val="center"/>
          </w:tcPr>
          <w:p>
            <w:pPr>
              <w:pStyle w:val="TableContents"/>
              <w:bidi w:val="0"/>
              <w:spacing w:before="0" w:after="0"/>
              <w:ind w:left="0" w:right="0" w:hanging="0"/>
              <w:jc w:val="center"/>
              <w:rPr/>
            </w:pPr>
            <w:r>
              <w:rPr/>
              <w:t>​</w:t>
            </w:r>
          </w:p>
        </w:tc>
        <w:tc>
          <w:tcPr>
            <w:tcW w:w="961" w:type="dxa"/>
            <w:vMerge w:val="restart"/>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i/>
                <w:sz w:val="20"/>
              </w:rPr>
              <w:t>CR</w:t>
            </w:r>
            <w:r>
              <w:rPr>
                <w:rFonts w:ascii="Times New Roman;Times;serif" w:hAnsi="Times New Roman;Times;serif"/>
                <w:sz w:val="15"/>
              </w:rPr>
              <w:t>1</w:t>
            </w:r>
            <w:r>
              <w:rPr>
                <w:rFonts w:ascii="Times New Roman;Times;serif" w:hAnsi="Times New Roman;Times;serif"/>
                <w:sz w:val="20"/>
              </w:rPr>
              <w:t xml:space="preserve"> = </w:t>
            </w:r>
            <w:r>
              <w:rPr>
                <w:rFonts w:ascii="Times New Roman;Times;serif" w:hAnsi="Times New Roman;Times;serif"/>
                <w:i/>
                <w:sz w:val="20"/>
              </w:rPr>
              <w:t>CR</w:t>
            </w:r>
            <w:r>
              <w:rPr>
                <w:rFonts w:ascii="Times New Roman;Times;serif" w:hAnsi="Times New Roman;Times;serif"/>
                <w:sz w:val="15"/>
              </w:rPr>
              <w:t>0</w:t>
            </w:r>
          </w:p>
        </w:tc>
        <w:tc>
          <w:tcPr>
            <w:tcW w:w="256" w:type="dxa"/>
            <w:vMerge w:val="restart"/>
            <w:tcBorders/>
            <w:vAlign w:val="center"/>
          </w:tcPr>
          <w:p>
            <w:pPr>
              <w:pStyle w:val="TableContents"/>
              <w:bidi w:val="0"/>
              <w:spacing w:before="0" w:after="0"/>
              <w:ind w:left="0" w:right="0" w:hanging="0"/>
              <w:jc w:val="center"/>
              <w:rPr>
                <w:rFonts w:ascii="Symbol" w:hAnsi="Symbol"/>
                <w:sz w:val="20"/>
              </w:rPr>
            </w:pPr>
            <w:r>
              <w:rPr>
                <w:rFonts w:ascii="Symbol" w:hAnsi="Symbol"/>
                <w:sz w:val="20"/>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FMV</w:t>
            </w:r>
            <w:r>
              <w:rPr>
                <w:rFonts w:ascii="Times New Roman;Times;serif" w:hAnsi="Times New Roman;Times;serif"/>
                <w:i/>
                <w:sz w:val="15"/>
              </w:rPr>
              <w:t>0</w:t>
            </w:r>
            <w:r>
              <w:rPr>
                <w:rFonts w:ascii="Times New Roman;Times;serif" w:hAnsi="Times New Roman;Times;serif"/>
                <w:sz w:val="20"/>
              </w:rPr>
              <w:t xml:space="preserve"> </w:t>
            </w:r>
            <w:r>
              <w:rPr>
                <w:rFonts w:ascii="Times New Roman;Times;serif" w:hAnsi="Times New Roman;Times;serif"/>
                <w:i/>
                <w:sz w:val="20"/>
              </w:rPr>
              <w:t>+ MP</w:t>
            </w:r>
            <w:r>
              <w:rPr>
                <w:rFonts w:ascii="Times New Roman;Times;serif" w:hAnsi="Times New Roman;Times;serif"/>
                <w:i/>
                <w:sz w:val="15"/>
              </w:rPr>
              <w:t>0</w:t>
            </w:r>
          </w:p>
        </w:tc>
        <w:tc>
          <w:tcPr>
            <w:tcW w:w="109" w:type="dxa"/>
            <w:tcBorders/>
            <w:vAlign w:val="center"/>
          </w:tcPr>
          <w:p>
            <w:pPr>
              <w:pStyle w:val="TableContents"/>
              <w:bidi w:val="0"/>
              <w:spacing w:before="0" w:after="0"/>
              <w:ind w:left="0" w:right="0" w:hanging="0"/>
              <w:jc w:val="center"/>
              <w:rPr/>
            </w:pPr>
            <w:r>
              <w:rPr/>
              <w:t>​</w:t>
            </w:r>
          </w:p>
        </w:tc>
        <w:tc>
          <w:tcPr>
            <w:tcW w:w="46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center"/>
              <w:rPr/>
            </w:pPr>
            <w:r>
              <w:rPr/>
              <w:t>​</w:t>
            </w:r>
          </w:p>
        </w:tc>
        <w:tc>
          <w:tcPr>
            <w:tcW w:w="961" w:type="dxa"/>
            <w:vMerge w:val="continue"/>
            <w:tcBorders/>
            <w:vAlign w:val="center"/>
          </w:tcPr>
          <w:p>
            <w:pPr>
              <w:pStyle w:val="Normal"/>
              <w:bidi w:val="0"/>
              <w:jc w:val="left"/>
              <w:rPr/>
            </w:pPr>
            <w:r>
              <w:rPr/>
            </w:r>
          </w:p>
        </w:tc>
        <w:tc>
          <w:tcPr>
            <w:tcW w:w="256" w:type="dxa"/>
            <w:vMerge w:val="continue"/>
            <w:tcBorders/>
            <w:vAlign w:val="center"/>
          </w:tcPr>
          <w:p>
            <w:pPr>
              <w:pStyle w:val="Normal"/>
              <w:bidi w:val="0"/>
              <w:jc w:val="left"/>
              <w:rPr/>
            </w:pPr>
            <w:r>
              <w:rPr/>
            </w:r>
          </w:p>
        </w:tc>
        <w:tc>
          <w:tcPr>
            <w:tcW w:w="11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MP</w:t>
            </w:r>
            <w:r>
              <w:rPr>
                <w:rFonts w:ascii="Times New Roman;Times;serif" w:hAnsi="Times New Roman;Times;serif"/>
                <w:i/>
                <w:sz w:val="15"/>
              </w:rPr>
              <w:t>0</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where,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16"/>
        <w:gridCol w:w="211"/>
        <w:gridCol w:w="9378"/>
      </w:tblGrid>
      <w:tr>
        <w:trPr/>
        <w:tc>
          <w:tcPr>
            <w:tcW w:w="61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5955030" cy="175260"/>
                      <wp:effectExtent l="0" t="0" r="0" b="0"/>
                      <wp:wrapNone/>
                      <wp:docPr id="694" name="Frame685"/>
                      <a:graphic xmlns:a="http://schemas.openxmlformats.org/drawingml/2006/main">
                        <a:graphicData uri="http://schemas.microsoft.com/office/word/2010/wordprocessingShape">
                          <wps:wsp>
                            <wps:cNvSpPr txBox="1"/>
                            <wps:spPr>
                              <a:xfrm>
                                <a:off x="0" y="0"/>
                                <a:ext cx="5955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sz w:val="15"/>
              </w:rPr>
              <w:t>0</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Conversion Rate in effect immediately prior to the end of the Valuation Period;</w:t>
            </w:r>
          </w:p>
        </w:tc>
      </w:tr>
      <w:tr>
        <w:trPr/>
        <w:tc>
          <w:tcPr>
            <w:tcW w:w="61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78" w:type="dxa"/>
            <w:tcBorders/>
            <w:vAlign w:val="center"/>
          </w:tcPr>
          <w:p>
            <w:pPr>
              <w:pStyle w:val="TableContents"/>
              <w:bidi w:val="0"/>
              <w:spacing w:before="0" w:after="0"/>
              <w:ind w:left="0" w:right="0" w:hanging="0"/>
              <w:jc w:val="left"/>
              <w:rPr/>
            </w:pPr>
            <w:r>
              <w:rPr/>
              <w:t>​</w:t>
            </w:r>
          </w:p>
        </w:tc>
      </w:tr>
      <w:tr>
        <w:trPr/>
        <w:tc>
          <w:tcPr>
            <w:tcW w:w="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sz w:val="15"/>
              </w:rPr>
              <w:t>1</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Conversion Rate in effect immediately after the end of the Valuation Period;</w:t>
            </w:r>
          </w:p>
        </w:tc>
      </w:tr>
      <w:tr>
        <w:trPr/>
        <w:tc>
          <w:tcPr>
            <w:tcW w:w="61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78" w:type="dxa"/>
            <w:tcBorders/>
            <w:vAlign w:val="center"/>
          </w:tcPr>
          <w:p>
            <w:pPr>
              <w:pStyle w:val="TableContents"/>
              <w:bidi w:val="0"/>
              <w:spacing w:before="0" w:after="0"/>
              <w:ind w:left="0" w:right="0" w:hanging="0"/>
              <w:jc w:val="left"/>
              <w:rPr/>
            </w:pPr>
            <w:r>
              <w:rPr/>
              <w:t>​</w:t>
            </w:r>
          </w:p>
        </w:tc>
      </w:tr>
      <w:tr>
        <w:trPr/>
        <w:tc>
          <w:tcPr>
            <w:tcW w:w="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FMV</w:t>
            </w:r>
            <w:r>
              <w:rPr>
                <w:rFonts w:ascii="Times New Roman;Times;serif" w:hAnsi="Times New Roman;Times;serif"/>
                <w:sz w:val="15"/>
              </w:rPr>
              <w:t>0</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average of the Last Reported Sale Prices of the Capital Stock or similar equity interest distributed to holders of the Ordinary Shares (directly or in the form of ADSs) applicable to one Ordinary Share (determined by reference to the definition of Last Reported Sale Price as set forth in Section 1.01 as if references therein to the ADSs were to such Capital Stock or similar equity interest) over the first 10 consecutive Trading Day period after, and including, the Ex-Dividend Date of the Spin-Off (the “</w:t>
            </w:r>
            <w:r>
              <w:rPr>
                <w:rFonts w:ascii="Times New Roman;Times;serif" w:hAnsi="Times New Roman;Times;serif"/>
                <w:b/>
                <w:sz w:val="20"/>
              </w:rPr>
              <w:t>Valuation Period</w:t>
            </w:r>
            <w:r>
              <w:rPr>
                <w:rFonts w:ascii="Times New Roman;Times;serif" w:hAnsi="Times New Roman;Times;serif"/>
                <w:sz w:val="20"/>
              </w:rPr>
              <w:t>”); and</w:t>
            </w:r>
          </w:p>
        </w:tc>
      </w:tr>
      <w:tr>
        <w:trPr/>
        <w:tc>
          <w:tcPr>
            <w:tcW w:w="61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78" w:type="dxa"/>
            <w:tcBorders/>
            <w:vAlign w:val="center"/>
          </w:tcPr>
          <w:p>
            <w:pPr>
              <w:pStyle w:val="TableContents"/>
              <w:bidi w:val="0"/>
              <w:spacing w:before="0" w:after="0"/>
              <w:ind w:left="0" w:right="0" w:hanging="0"/>
              <w:jc w:val="left"/>
              <w:rPr/>
            </w:pPr>
            <w:r>
              <w:rPr/>
              <w:t>​</w:t>
            </w:r>
          </w:p>
        </w:tc>
      </w:tr>
      <w:tr>
        <w:trPr/>
        <w:tc>
          <w:tcPr>
            <w:tcW w:w="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MP</w:t>
            </w:r>
            <w:r>
              <w:rPr>
                <w:rFonts w:ascii="Times New Roman;Times;serif" w:hAnsi="Times New Roman;Times;serif"/>
                <w:sz w:val="15"/>
              </w:rPr>
              <w:t>0</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average of the Last Reported Sale Prices of the ADSs (</w:t>
            </w:r>
            <w:r>
              <w:rPr>
                <w:rFonts w:ascii="Times New Roman;Times;serif" w:hAnsi="Times New Roman;Times;serif"/>
                <w:i/>
                <w:sz w:val="20"/>
              </w:rPr>
              <w:t xml:space="preserve">divided by </w:t>
            </w:r>
            <w:r>
              <w:rPr>
                <w:rFonts w:ascii="Times New Roman;Times;serif" w:hAnsi="Times New Roman;Times;serif"/>
                <w:sz w:val="20"/>
              </w:rPr>
              <w:t>the number of Ordinary Shares then represented by one ADS) over the Valuation Period.</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adjustment to the Conversion Rate under the preceding paragraph shall occur immediately after the close of business on the last Trading Day of the Valuation Period; </w:t>
      </w:r>
      <w:r>
        <w:rPr>
          <w:rFonts w:ascii="Times New Roman;Times;serif" w:hAnsi="Times New Roman;Times;serif"/>
          <w:i/>
          <w:sz w:val="20"/>
        </w:rPr>
        <w:t xml:space="preserve">provided </w:t>
      </w:r>
      <w:r>
        <w:rPr>
          <w:rFonts w:ascii="Times New Roman;Times;serif" w:hAnsi="Times New Roman;Times;serif"/>
          <w:sz w:val="20"/>
        </w:rPr>
        <w:t>that (x) in respect of any conversion of Notes for which Physical Settlement is applicable, if the relevant Conversion Date occurs during the Valuation Period, references in the portion of this Section 14.04(c) with respect to 10 Trading Days shall be deemed to be replaced with such lesser number of Trading Days as have elapsed from, and including, the Ex-Dividend Date of such Spin-Off to, and including, such Conversion Date in determining the Conversion Rate and (y) in respect of any conversion of Notes for which Cash Settlement or Combination Settlement is applicable, for any Trading Day that falls within the relevant Observation Period for such conversion and within the Valuation Period, the reference to “10” in the preceding paragraph shall be deemed replaced with such lesser number of Trading Days as have elapsed between (and including, in each case) the Ex-Dividend Date for such Spin-Off and such Trading Day in determining the Conversion Rate as of such Trading Day.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purposes of this Section 14.04(c) (and subject in all respect to Section 14.11), rights, options or warrants distributed by the Company to all holders of the Ordinary Shares (directly or in the form of ADSs) entitling them to subscribe for or purchase shares of the Company’s Capital Stock, including Ordinary Shares (either initially or under certain circumstances), which rights, options or warrants, until the occurrence of a specified event or events (“</w:t>
      </w:r>
      <w:r>
        <w:rPr>
          <w:rFonts w:ascii="Times New Roman;Times;serif" w:hAnsi="Times New Roman;Times;serif"/>
          <w:b/>
          <w:sz w:val="20"/>
        </w:rPr>
        <w:t>Trigger Event</w:t>
      </w:r>
      <w:r>
        <w:rPr>
          <w:rFonts w:ascii="Times New Roman;Times;serif" w:hAnsi="Times New Roman;Times;serif"/>
          <w:sz w:val="20"/>
        </w:rPr>
        <w:t>”): (i) are deemed to be transferred with such Ordinary Shares (directly or in the form of ADSs); (ii) are not exercisable; and (iii) are also issued in respect of future issuances of the Ordinary Shares (directly or in the form of ADSs),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14.04(c)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Ordinary Share redemption or purchase price received by a holder or holders of Ordinary Shares (directly or in the form of ADSs) with respect to such rights, options or warrants (assuming such holder had retained such rights, options or warrants), made to all holders of Ordinary Shares (directly or in the form of ADSs)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purposes of Section 14.04(a), Section 14.04(b) and this Section 14.04(c), if any dividend or distribution to which this Section 14.04(c) is applicable also includes one or both 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 dividend or distribution of Ordinary Shares (directly or in the form of ADSs) to which Section 14.04(a) is applicable (the “</w:t>
      </w:r>
      <w:r>
        <w:rPr>
          <w:rFonts w:ascii="Times New Roman;Times;serif" w:hAnsi="Times New Roman;Times;serif"/>
          <w:b/>
          <w:sz w:val="20"/>
        </w:rPr>
        <w:t>Clause A Distribution</w:t>
      </w:r>
      <w:r>
        <w:rPr>
          <w:rFonts w:ascii="Times New Roman;Times;serif" w:hAnsi="Times New Roman;Times;serif"/>
          <w:sz w:val="20"/>
        </w:rPr>
        <w:t>”);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 dividend or distribution of rights, options or warrants to which Section 14.04(b) is applicable (the “</w:t>
      </w:r>
      <w:r>
        <w:rPr>
          <w:rFonts w:ascii="Times New Roman;Times;serif" w:hAnsi="Times New Roman;Times;serif"/>
          <w:b/>
          <w:sz w:val="20"/>
        </w:rPr>
        <w:t>Clause B Distribution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then (1) such dividend or distribution, other than the Clause A Distribution and the Clause B Distribution, shall be deemed to be a dividend or distribution to which this Section 14.04(c) is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applicable (the “</w:t>
      </w:r>
      <w:r>
        <w:rPr>
          <w:rFonts w:ascii="Times New Roman;Times;serif" w:hAnsi="Times New Roman;Times;serif"/>
          <w:b/>
          <w:sz w:val="20"/>
        </w:rPr>
        <w:t>Clause C Distribution</w:t>
      </w:r>
      <w:r>
        <w:rPr>
          <w:rFonts w:ascii="Times New Roman;Times;serif" w:hAnsi="Times New Roman;Times;serif"/>
          <w:sz w:val="20"/>
        </w:rPr>
        <w:t>”) and any Conversion Rate adjustment required by this Section 14.04(c) with respect to such Clause C Distribution shall then be made, and (2) 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“Ex-Dividend Date” of the Clause A Distribution and the Clause B Distribution shall be deemed to be the Ex-Dividend Date of the Clause C Distribution and (II) any Ordinary Shares (directly or in the form of ADSs) included in the Clause A Distribution or Clause B Distribution shall be deemed not to be “outstanding immediately prior to the open of business on such Ex-Dividend Date or Effective Date” within the meaning of Section 14.04(a) or “outstanding immediately prior to the open of business on such Ex-Dividend Date” within the meaning of Section 14.04(b).</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If any cash dividend or distribution is made to all or substantially all holders of the Ordinary Shares (directly or in the form of ADSs), the Conversion Rate shall be adjusted based on the following formula:</w:t>
      </w:r>
    </w:p>
    <w:tbl>
      <w:tblPr>
        <w:tblW w:w="2866" w:type="dxa"/>
        <w:jc w:val="left"/>
        <w:tblInd w:w="0" w:type="dxa"/>
        <w:tblLayout w:type="fixed"/>
        <w:tblCellMar>
          <w:top w:w="0" w:type="dxa"/>
          <w:left w:w="0" w:type="dxa"/>
          <w:bottom w:w="0" w:type="dxa"/>
          <w:right w:w="0" w:type="dxa"/>
        </w:tblCellMar>
      </w:tblPr>
      <w:tblGrid>
        <w:gridCol w:w="124"/>
        <w:gridCol w:w="961"/>
        <w:gridCol w:w="286"/>
        <w:gridCol w:w="406"/>
        <w:gridCol w:w="109"/>
        <w:gridCol w:w="826"/>
        <w:gridCol w:w="154"/>
      </w:tblGrid>
      <w:tr>
        <w:trPr/>
        <w:tc>
          <w:tcPr>
            <w:tcW w:w="124" w:type="dxa"/>
            <w:tcBorders/>
            <w:vAlign w:val="center"/>
          </w:tcPr>
          <w:p>
            <w:pPr>
              <w:pStyle w:val="TableContents"/>
              <w:bidi w:val="0"/>
              <w:spacing w:before="0" w:after="0"/>
              <w:ind w:left="0" w:right="0" w:hanging="0"/>
              <w:jc w:val="left"/>
              <w:rPr/>
            </w:pPr>
            <w:r>
              <w:rPr/>
              <w:t>​</w:t>
            </w:r>
          </w:p>
        </w:tc>
        <w:tc>
          <w:tcPr>
            <w:tcW w:w="961" w:type="dxa"/>
            <w:vMerge w:val="restart"/>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i/>
                <w:sz w:val="20"/>
              </w:rPr>
              <w:t>CR</w:t>
            </w:r>
            <w:r>
              <w:rPr>
                <w:rFonts w:ascii="Times New Roman;Times;serif" w:hAnsi="Times New Roman;Times;serif"/>
                <w:sz w:val="15"/>
              </w:rPr>
              <w:t>1</w:t>
            </w:r>
            <w:r>
              <w:rPr>
                <w:rFonts w:ascii="Times New Roman;Times;serif" w:hAnsi="Times New Roman;Times;serif"/>
                <w:sz w:val="20"/>
              </w:rPr>
              <w:t xml:space="preserve"> = </w:t>
            </w:r>
            <w:r>
              <w:rPr>
                <w:rFonts w:ascii="Times New Roman;Times;serif" w:hAnsi="Times New Roman;Times;serif"/>
                <w:i/>
                <w:sz w:val="20"/>
              </w:rPr>
              <w:t>CR</w:t>
            </w:r>
            <w:r>
              <w:rPr>
                <w:rFonts w:ascii="Times New Roman;Times;serif" w:hAnsi="Times New Roman;Times;serif"/>
                <w:sz w:val="15"/>
              </w:rPr>
              <w:t>0</w:t>
            </w:r>
          </w:p>
        </w:tc>
        <w:tc>
          <w:tcPr>
            <w:tcW w:w="286" w:type="dxa"/>
            <w:vMerge w:val="restart"/>
            <w:tcBorders/>
            <w:vAlign w:val="center"/>
          </w:tcPr>
          <w:p>
            <w:pPr>
              <w:pStyle w:val="TableContents"/>
              <w:bidi w:val="0"/>
              <w:spacing w:before="0" w:after="0"/>
              <w:ind w:left="0" w:right="0" w:hanging="0"/>
              <w:jc w:val="center"/>
              <w:rPr>
                <w:rFonts w:ascii="Symbol" w:hAnsi="Symbol"/>
                <w:sz w:val="23"/>
              </w:rPr>
            </w:pPr>
            <w:r>
              <w:rPr>
                <w:rFonts w:ascii="Symbol" w:hAnsi="Symbol"/>
                <w:sz w:val="23"/>
              </w:rPr>
              <w:t>´</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SP</w:t>
            </w:r>
            <w:r>
              <w:rPr>
                <w:rFonts w:ascii="Times New Roman;Times;serif" w:hAnsi="Times New Roman;Times;serif"/>
                <w:i/>
                <w:sz w:val="15"/>
              </w:rPr>
              <w:t>0</w:t>
            </w:r>
          </w:p>
        </w:tc>
        <w:tc>
          <w:tcPr>
            <w:tcW w:w="109" w:type="dxa"/>
            <w:tcBorders/>
            <w:vAlign w:val="center"/>
          </w:tcPr>
          <w:p>
            <w:pPr>
              <w:pStyle w:val="TableContents"/>
              <w:bidi w:val="0"/>
              <w:spacing w:before="0" w:after="0"/>
              <w:ind w:left="0" w:right="0" w:hanging="0"/>
              <w:jc w:val="left"/>
              <w:rPr/>
            </w:pPr>
            <w:r>
              <w:rPr/>
              <w:t>​</w:t>
            </w:r>
          </w:p>
        </w:tc>
        <w:tc>
          <w:tcPr>
            <w:tcW w:w="82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961" w:type="dxa"/>
            <w:vMerge w:val="continue"/>
            <w:tcBorders/>
            <w:vAlign w:val="center"/>
          </w:tcPr>
          <w:p>
            <w:pPr>
              <w:pStyle w:val="Normal"/>
              <w:bidi w:val="0"/>
              <w:jc w:val="left"/>
              <w:rPr/>
            </w:pPr>
            <w:r>
              <w:rPr/>
            </w:r>
          </w:p>
        </w:tc>
        <w:tc>
          <w:tcPr>
            <w:tcW w:w="286" w:type="dxa"/>
            <w:vMerge w:val="continue"/>
            <w:tcBorders/>
            <w:vAlign w:val="center"/>
          </w:tcPr>
          <w:p>
            <w:pPr>
              <w:pStyle w:val="Normal"/>
              <w:bidi w:val="0"/>
              <w:jc w:val="left"/>
              <w:rPr/>
            </w:pPr>
            <w:r>
              <w:rPr/>
            </w:r>
          </w:p>
        </w:tc>
        <w:tc>
          <w:tcPr>
            <w:tcW w:w="4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SP</w:t>
            </w:r>
            <w:r>
              <w:rPr>
                <w:rFonts w:ascii="Times New Roman;Times;serif" w:hAnsi="Times New Roman;Times;serif"/>
                <w:i/>
                <w:sz w:val="15"/>
              </w:rPr>
              <w:t>0</w:t>
            </w:r>
            <w:r>
              <w:rPr>
                <w:rFonts w:ascii="Times New Roman;Times;serif" w:hAnsi="Times New Roman;Times;serif"/>
                <w:sz w:val="20"/>
              </w:rPr>
              <w:t xml:space="preserve"> — </w:t>
            </w:r>
            <w:r>
              <w:rPr>
                <w:rFonts w:ascii="Times New Roman;Times;serif" w:hAnsi="Times New Roman;Times;serif"/>
                <w:i/>
                <w:sz w:val="20"/>
              </w:rPr>
              <w:t>C</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where,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66"/>
        <w:gridCol w:w="211"/>
        <w:gridCol w:w="9528"/>
      </w:tblGrid>
      <w:tr>
        <w:trPr/>
        <w:tc>
          <w:tcPr>
            <w:tcW w:w="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sz w:val="15"/>
              </w:rPr>
              <w:t>0</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Conversion Rate in effect immediately prior to the open of business on the Ex-Dividend Date for the ADSs for such dividend or distribution;</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sz w:val="15"/>
              </w:rPr>
              <w:t>1</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Conversion Rate in effect immediately after the open of business on the Ex-Dividend Date for such dividend or distribution;</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w:t>
            </w:r>
            <w:r>
              <w:rPr>
                <w:rFonts w:ascii="Times New Roman;Times;serif" w:hAnsi="Times New Roman;Times;serif"/>
                <w:sz w:val="15"/>
              </w:rPr>
              <w:t>0</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Last Reported Sale Price of the ADSs (divided by the number of Ordinary Shares then represented by one ADS) on the Trading Day immediately preceding the Ex-Dividend Date for such dividend or distribution; and</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amount in cash per Ordinary Share the Company distributes to all or substantially all holders of the Ordinary Shares (directly or in the form of ADSs) (for the avoidance of doubt, without giving effect to any applicable fees and expenses payable to, or withheld by, the ADS Depositary with respect to such distribution).</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increase pursuant to this Section 14.04(d) shall become effective immediately after the open of business on the Ex-Dividend Date for the ADSs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Times New Roman;Times;serif" w:hAnsi="Times New Roman;Times;serif"/>
          <w:sz w:val="15"/>
        </w:rPr>
        <w:t>0</w:t>
      </w:r>
      <w:r>
        <w:rPr>
          <w:rFonts w:ascii="Times New Roman;Times;serif" w:hAnsi="Times New Roman;Times;serif"/>
          <w:sz w:val="20"/>
        </w:rPr>
        <w:t>” (as defined above), in lieu of the foregoing increase, each Holder of a Note shall receive, for each US$1,000 principal amount of Notes, at the same time and upon the same terms as holders of the ADSs, the amount of cash that such Holder would have received if such Holder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owned a number of ADSs equal to the Conversion Rate on the Record Date for the ADSs for such cash dividend or distribution.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If the Company or any of its Subsidiaries or Consolidated Affiliated Entities makes a payment in respect of a tender or exchange offer for the Ordinary Shares (directly or in the form of ADSs), to the extent that the Tender/Exchange Offer Consideration (as defined below) included in the payment per Ordinary Share exceeds the average of the Last Reported Sale Prices of the ADSs (</w:t>
      </w:r>
      <w:r>
        <w:rPr>
          <w:rFonts w:ascii="Times New Roman;Times;serif" w:hAnsi="Times New Roman;Times;serif"/>
          <w:i/>
          <w:sz w:val="20"/>
        </w:rPr>
        <w:t xml:space="preserve">divided by </w:t>
      </w:r>
      <w:r>
        <w:rPr>
          <w:rFonts w:ascii="Times New Roman;Times;serif" w:hAnsi="Times New Roman;Times;serif"/>
          <w:sz w:val="20"/>
        </w:rPr>
        <w:t>the number of Ordinary Shares then represented by one ADS) over the 10 consecutive Trading Day period commencing on, and including, the Trading Day next succeeding the date such tender or exchange offer expires, the Conversion Rate shall be increased based on the following formula:</w:t>
      </w:r>
    </w:p>
    <w:tbl>
      <w:tblPr>
        <w:tblW w:w="4186" w:type="dxa"/>
        <w:jc w:val="left"/>
        <w:tblInd w:w="0" w:type="dxa"/>
        <w:tblLayout w:type="fixed"/>
        <w:tblCellMar>
          <w:top w:w="0" w:type="dxa"/>
          <w:left w:w="0" w:type="dxa"/>
          <w:bottom w:w="0" w:type="dxa"/>
          <w:right w:w="0" w:type="dxa"/>
        </w:tblCellMar>
      </w:tblPr>
      <w:tblGrid>
        <w:gridCol w:w="124"/>
        <w:gridCol w:w="961"/>
        <w:gridCol w:w="286"/>
        <w:gridCol w:w="1561"/>
        <w:gridCol w:w="109"/>
        <w:gridCol w:w="991"/>
        <w:gridCol w:w="154"/>
      </w:tblGrid>
      <w:tr>
        <w:trPr/>
        <w:tc>
          <w:tcPr>
            <w:tcW w:w="124" w:type="dxa"/>
            <w:tcBorders/>
            <w:vAlign w:val="center"/>
          </w:tcPr>
          <w:p>
            <w:pPr>
              <w:pStyle w:val="TableContents"/>
              <w:bidi w:val="0"/>
              <w:spacing w:before="0" w:after="0"/>
              <w:ind w:left="0" w:right="0" w:hanging="0"/>
              <w:jc w:val="left"/>
              <w:rPr/>
            </w:pPr>
            <w:r>
              <w:rPr/>
              <w:t>​</w:t>
            </w:r>
          </w:p>
        </w:tc>
        <w:tc>
          <w:tcPr>
            <w:tcW w:w="961" w:type="dxa"/>
            <w:vMerge w:val="restart"/>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i/>
                <w:sz w:val="20"/>
              </w:rPr>
              <w:t>CR</w:t>
            </w:r>
            <w:r>
              <w:rPr>
                <w:rFonts w:ascii="Times New Roman;Times;serif" w:hAnsi="Times New Roman;Times;serif"/>
                <w:sz w:val="15"/>
              </w:rPr>
              <w:t>1</w:t>
            </w:r>
            <w:r>
              <w:rPr>
                <w:rFonts w:ascii="Times New Roman;Times;serif" w:hAnsi="Times New Roman;Times;serif"/>
                <w:sz w:val="20"/>
              </w:rPr>
              <w:t xml:space="preserve"> = </w:t>
            </w:r>
            <w:r>
              <w:rPr>
                <w:rFonts w:ascii="Times New Roman;Times;serif" w:hAnsi="Times New Roman;Times;serif"/>
                <w:i/>
                <w:sz w:val="20"/>
              </w:rPr>
              <w:t>CR</w:t>
            </w:r>
            <w:r>
              <w:rPr>
                <w:rFonts w:ascii="Times New Roman;Times;serif" w:hAnsi="Times New Roman;Times;serif"/>
                <w:sz w:val="15"/>
              </w:rPr>
              <w:t>0</w:t>
            </w:r>
          </w:p>
        </w:tc>
        <w:tc>
          <w:tcPr>
            <w:tcW w:w="286" w:type="dxa"/>
            <w:vMerge w:val="restart"/>
            <w:tcBorders/>
            <w:vAlign w:val="center"/>
          </w:tcPr>
          <w:p>
            <w:pPr>
              <w:pStyle w:val="TableContents"/>
              <w:bidi w:val="0"/>
              <w:spacing w:before="0" w:after="0"/>
              <w:ind w:left="0" w:right="0" w:hanging="0"/>
              <w:jc w:val="center"/>
              <w:rPr>
                <w:rFonts w:ascii="Symbol" w:hAnsi="Symbol"/>
                <w:sz w:val="23"/>
              </w:rPr>
            </w:pPr>
            <w:r>
              <w:rPr>
                <w:rFonts w:ascii="Symbol" w:hAnsi="Symbol"/>
                <w:sz w:val="23"/>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 xml:space="preserve">AC </w:t>
            </w:r>
            <w:r>
              <w:rPr>
                <w:rFonts w:ascii="Times New Roman;Times;serif" w:hAnsi="Times New Roman;Times;serif"/>
                <w:sz w:val="20"/>
              </w:rPr>
              <w:t>+ (</w:t>
            </w:r>
            <w:r>
              <w:rPr>
                <w:rFonts w:ascii="Times New Roman;Times;serif" w:hAnsi="Times New Roman;Times;serif"/>
                <w:i/>
                <w:sz w:val="20"/>
              </w:rPr>
              <w:t>SP</w:t>
            </w:r>
            <w:r>
              <w:rPr>
                <w:rFonts w:ascii="Times New Roman;Times;serif" w:hAnsi="Times New Roman;Times;serif"/>
                <w:sz w:val="15"/>
              </w:rPr>
              <w:t>1</w:t>
            </w:r>
            <w:r>
              <w:rPr>
                <w:rFonts w:ascii="Times New Roman;Times;serif" w:hAnsi="Times New Roman;Times;serif"/>
                <w:sz w:val="20"/>
              </w:rPr>
              <w:t xml:space="preserve"> </w:t>
            </w:r>
            <w:r>
              <w:rPr>
                <w:rFonts w:ascii="Symbol" w:hAnsi="Symbol"/>
                <w:sz w:val="23"/>
              </w:rPr>
              <w:t>´</w:t>
            </w:r>
            <w:r>
              <w:rPr>
                <w:rFonts w:ascii="Times New Roman;Times;serif" w:hAnsi="Times New Roman;Times;serif"/>
                <w:sz w:val="20"/>
              </w:rPr>
              <w:t xml:space="preserve"> </w:t>
            </w:r>
            <w:r>
              <w:rPr>
                <w:rFonts w:ascii="Times New Roman;Times;serif" w:hAnsi="Times New Roman;Times;serif"/>
                <w:i/>
                <w:sz w:val="20"/>
              </w:rPr>
              <w:t>OS</w:t>
            </w:r>
            <w:r>
              <w:rPr>
                <w:rFonts w:ascii="Times New Roman;Times;serif" w:hAnsi="Times New Roman;Times;serif"/>
                <w:sz w:val="15"/>
              </w:rPr>
              <w:t>1</w:t>
            </w: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961" w:type="dxa"/>
            <w:vMerge w:val="continue"/>
            <w:tcBorders/>
            <w:vAlign w:val="center"/>
          </w:tcPr>
          <w:p>
            <w:pPr>
              <w:pStyle w:val="Normal"/>
              <w:bidi w:val="0"/>
              <w:jc w:val="left"/>
              <w:rPr/>
            </w:pPr>
            <w:r>
              <w:rPr/>
            </w:r>
          </w:p>
        </w:tc>
        <w:tc>
          <w:tcPr>
            <w:tcW w:w="286" w:type="dxa"/>
            <w:vMerge w:val="continue"/>
            <w:tcBorders/>
            <w:vAlign w:val="center"/>
          </w:tcPr>
          <w:p>
            <w:pPr>
              <w:pStyle w:val="Normal"/>
              <w:bidi w:val="0"/>
              <w:jc w:val="left"/>
              <w:rPr/>
            </w:pPr>
            <w:r>
              <w:rPr/>
            </w:r>
          </w:p>
        </w:tc>
        <w:tc>
          <w:tcPr>
            <w:tcW w:w="15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9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OS</w:t>
            </w:r>
            <w:r>
              <w:rPr>
                <w:rFonts w:ascii="Times New Roman;Times;serif" w:hAnsi="Times New Roman;Times;serif"/>
                <w:i/>
                <w:sz w:val="15"/>
              </w:rPr>
              <w:t>0</w:t>
            </w:r>
            <w:r>
              <w:rPr>
                <w:rFonts w:ascii="Times New Roman;Times;serif" w:hAnsi="Times New Roman;Times;serif"/>
                <w:sz w:val="20"/>
              </w:rPr>
              <w:t xml:space="preserve"> </w:t>
            </w:r>
            <w:r>
              <w:rPr>
                <w:rFonts w:ascii="Symbol" w:hAnsi="Symbol"/>
                <w:sz w:val="23"/>
              </w:rPr>
              <w:t>´</w:t>
            </w:r>
            <w:r>
              <w:rPr>
                <w:rFonts w:ascii="Times New Roman;Times;serif" w:hAnsi="Times New Roman;Times;serif"/>
                <w:sz w:val="20"/>
              </w:rPr>
              <w:t xml:space="preserve"> </w:t>
            </w:r>
            <w:r>
              <w:rPr>
                <w:rFonts w:ascii="Times New Roman;Times;serif" w:hAnsi="Times New Roman;Times;serif"/>
                <w:i/>
                <w:sz w:val="20"/>
              </w:rPr>
              <w:t>SP</w:t>
            </w:r>
            <w:r>
              <w:rPr>
                <w:rFonts w:ascii="Times New Roman;Times;serif" w:hAnsi="Times New Roman;Times;serif"/>
                <w:sz w:val="15"/>
              </w:rPr>
              <w:t>1</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where,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66"/>
        <w:gridCol w:w="211"/>
        <w:gridCol w:w="9528"/>
      </w:tblGrid>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6050280" cy="175260"/>
                      <wp:effectExtent l="0" t="0" r="0" b="0"/>
                      <wp:wrapNone/>
                      <wp:docPr id="695" name="Frame686"/>
                      <a:graphic xmlns:a="http://schemas.openxmlformats.org/drawingml/2006/main">
                        <a:graphicData uri="http://schemas.microsoft.com/office/word/2010/wordprocessingShape">
                          <wps:wsp>
                            <wps:cNvSpPr txBox="1"/>
                            <wps:spPr>
                              <a:xfrm>
                                <a:off x="0" y="0"/>
                                <a:ext cx="6050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sz w:val="15"/>
              </w:rPr>
              <w:t>0</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Conversion Rate in effect immediately prior to the close of business on the 10th Trading Day immediately following, and including, the Trading Day next succeeding the date such tender or exchange offer expires;</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sz w:val="15"/>
              </w:rPr>
              <w:t>1</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Conversion Rate in effect immediately after the close of business on the 10th Trading Day immediately following, and including, the Trading Day next succeeding the date such tender or exchange offer expires;</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aggregate value of all cash and any other consideration (as determined by the Board of Directors thereof in good faith and as of the time such tender or exchange offer expires (the “</w:t>
            </w:r>
            <w:r>
              <w:rPr>
                <w:rFonts w:ascii="Times New Roman;Times;serif" w:hAnsi="Times New Roman;Times;serif"/>
                <w:b/>
                <w:sz w:val="20"/>
              </w:rPr>
              <w:t>Tender/Exchange Offer Consideration</w:t>
            </w:r>
            <w:r>
              <w:rPr>
                <w:rFonts w:ascii="Times New Roman;Times;serif" w:hAnsi="Times New Roman;Times;serif"/>
                <w:sz w:val="20"/>
              </w:rPr>
              <w:t>”)) paid or payable for Ordinary Shares or ADSs, as the case may be, purchased in such tender or exchange offer;</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OS</w:t>
            </w:r>
            <w:r>
              <w:rPr>
                <w:rFonts w:ascii="Times New Roman;Times;serif" w:hAnsi="Times New Roman;Times;serif"/>
                <w:sz w:val="15"/>
              </w:rPr>
              <w:t>0</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number of Ordinary Shares outstanding immediately prior to the date such tender or exchange offer expires (prior to giving effect to the purchase of all Ordinary Shares or ADSs, as the case may be, accepted for purchase or exchange in such tender or exchange offer);</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OS</w:t>
            </w:r>
            <w:r>
              <w:rPr>
                <w:rFonts w:ascii="Times New Roman;Times;serif" w:hAnsi="Times New Roman;Times;serif"/>
                <w:sz w:val="15"/>
              </w:rPr>
              <w:t>1</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number of Ordinary Shares outstanding immediately after the date such tender or exchange offer expires (after giving effect to the purchase of all Ordinary Shares or ADSs, as the case may be, accepted for purchase or exchange in such tender or exchange offer); and</w:t>
            </w:r>
          </w:p>
        </w:tc>
      </w:tr>
      <w:tr>
        <w:trPr/>
        <w:tc>
          <w:tcPr>
            <w:tcW w:w="4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w:t>
            </w:r>
            <w:r>
              <w:rPr>
                <w:rFonts w:ascii="Times New Roman;Times;serif" w:hAnsi="Times New Roman;Times;serif"/>
                <w:sz w:val="15"/>
              </w:rPr>
              <w:t>1</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average of the Last Reported Sale Prices of the ADSs (</w:t>
            </w:r>
            <w:r>
              <w:rPr>
                <w:rFonts w:ascii="Times New Roman;Times;serif" w:hAnsi="Times New Roman;Times;serif"/>
                <w:i/>
                <w:sz w:val="20"/>
              </w:rPr>
              <w:t xml:space="preserve">divided by </w:t>
            </w:r>
            <w:r>
              <w:rPr>
                <w:rFonts w:ascii="Times New Roman;Times;serif" w:hAnsi="Times New Roman;Times;serif"/>
                <w:sz w:val="20"/>
              </w:rPr>
              <w:t>the number of Ordinary Shares then represented by one ADS) over the 10 consecutive Trading Day period commencing on, and including, the Trading Day next succeeding the date such tender or exchange offer expires.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adjustment to the Conversion Rate under this Section 14.04(e) shall occur at the close of business on the 10th Trading Day immediately following, and including, the Trading Day next succeeding the date such tender or exchange offer expires; </w:t>
      </w:r>
      <w:r>
        <w:rPr>
          <w:rFonts w:ascii="Times New Roman;Times;serif" w:hAnsi="Times New Roman;Times;serif"/>
          <w:i/>
          <w:sz w:val="20"/>
        </w:rPr>
        <w:t xml:space="preserve">provided </w:t>
      </w:r>
      <w:r>
        <w:rPr>
          <w:rFonts w:ascii="Times New Roman;Times;serif" w:hAnsi="Times New Roman;Times;serif"/>
          <w:sz w:val="20"/>
        </w:rPr>
        <w:t>that (x) in respect of any conversion of Notes for which Physical Settlement is applicable, if the relevant Conversion Date occurs during the 10 Trading Days immediately following, and including, the Trading Day next succeeding the expiration date of any tender or exchange offer, references in this Section 14.04(e) with respect to “10” or “10</w:t>
      </w:r>
      <w:r>
        <w:rPr>
          <w:rFonts w:ascii="Times New Roman;Times;serif" w:hAnsi="Times New Roman;Times;serif"/>
          <w:sz w:val="15"/>
        </w:rPr>
        <w:t>th</w:t>
      </w:r>
      <w:r>
        <w:rPr>
          <w:rFonts w:ascii="Times New Roman;Times;serif" w:hAnsi="Times New Roman;Times;serif"/>
          <w:sz w:val="20"/>
        </w:rPr>
        <w:t>” in the preceding paragraph shall be deemed replaced with such lesser number of Trading Days as have elapsed from, and including, the expiration date of such tender or exchange offer to, and including such Conversion Date in determining the Conversion Rate and (y) in respect of any conversion of Notes for which Cash Settlement or Combination Settlement is applicable, for any Trading Day that falls within the relevant Observation Period for such conversion and within the 10 Trading Days immediately following, and including the Trading Day next succeeding the expiration date of such tender or exchange offer, references with respect to 10 Trading Days shall be deemed replaced with such lesser number of Trading Days as have elapsed from, and including, the expiration date of such tender or exchange offer to, and including, such Trading Day in determining the Conversion Rate as of such Trading Day. For the avoidance of doubt, no adjustment under this Section 14.04(e) will be made if such adjustment would result in a decrease in the Conversion Rate (other than, for the avoidance of doubt, any readjustment described in the immediately succeeding paragraph).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the extent such tender or exchange offer is announced but not consummated (including as a result of being precluded from consummating such tender or exchange offer under applicable law), or any purchases or exchanges of the Ordinary Shares (directly or in the form of ADSs) in such tender or exchange offer are rescinded, the Conversion Rate will be readjusted to the Conversion Rate that would then be in effect had the adjustment been made on the basis of only the purchases or exchanges of the Ordinary Shares (directly or in the form of ADSs), if any, actually made, and not rescinded, in such tender or exchange offer.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Notwithstanding this Section 14.04 or any other provision of this Indenture or the Notes: (i) if a Conversion Rate adjustment becomes effective on any Ex-Dividend Date, and a Holder that has converted its Notes on or after such Ex-Dividend Date and on or prior to the related Record Date would be treated as the record holder of the ADSs as of the related Conversion Date as described under Section 14.02(i) based on an adjusted Conversion Rate for such Ex-Dividend Date, then, notwithstanding the Conversion Rate adjustment provisions in this Section 14.04, the Conversion Rate adjustment relating to such Ex-Dividend Date shall not be made for such converting Holder. Instead, such Holder shall be treated as if such Holder were the record owner of the ADSs on an unadjusted basis and participate in the related dividend, distribution or other event giving rise to such adjustment; and (ii) the Company will not be required to adjust the Conversion Rate unless such adjustment would require an increase or decrease of at least one percent; provided, however, that any such minor adjustments that are not required to be made will be carried forward and taken into account in any subsequent adjustment, and provided, further, that any such adjustment of less than one percent that has not been made shall be made upon the occurrence of (x) the effective date for any Fundamental Change or Make-Whole Fundamental Change, (y) the Conversion Date of, or any Trading Day of the applicable Observation Period for any Note and (z) every one year anniversary of the first date of original issuance of the Notes. In addition in respect of Section 14.04(f)(ii), the Company will</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account for such deferrals when determining what number of shares of ADSs (or Ordinary Shares) a holder would have held on a given day had it converted its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Except as stated herein, the Company shall not adjust the Conversion Rate for the issuance of Ordinary Shares or ADSs or any securities convertible into or exchangeable for Ordinary Shares or ADSs or the right to purchase Ordinary Shares or ADSs or such convertible or exchangeable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With respect to any dividend, distribution or other transaction or event in which holders of the ADSs (or other applicable security) have the right to receive any cash, securities or other property or in which the ADSs (or other applicable security) are exchanged for or converted into any combination of cash, securities or other property, if the record date for the Ordinary Shares does not fall on the same day as the Record Date for the ADSs, the Company will make adjustments that the Board of Directors (or an authorized committee thereof) determined in good faith are appropriate to entitle such holders to receive such cash, securities or other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In addition to those adjustments required by clauses (a), (b), (c), (d) and (e) of this Section 14.04, and to the extent permitted by applicable law and subject to the applicable rules of the New York Stock Exchange and any other securities exchange on which any of the Company’s securities are then listed, the Company from time to time may increase the Conversion Rate by any amount for a period of at least 20 Business Days if the Board of Directors determines that such increase would be in the Company’s best interest, and the Company may (but is not required to) increase the Conversion Rate to avoid or diminish any income tax to holders of the Ordinary Shares or the ADSs or rights to purchase Ordinary Shares or ADSs in connection with a dividend or distribution of Ordinary Shares or ADSs (or rights to acquire Ordinary Shares or ADSs) or similar event.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Notwithstanding anything to the contrary in this Article 14, the Conversion Rate shall not be adjusted: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upon the issuance of any Ordinary Shares or ADSs pursuant to any present or future plan providing for the reinvestment of dividends or interest payable on the Company’s securities and the investment of additional optional amounts in Ordinary Shares or ADSs under any plan;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upon the issuance of any Ordinary Shares or ADSs or options or rights to purchase those Ordinary Shares or ADSs pursuant to any present or future employee, director or consultant benefit plan or program of or assumed by the Company or any of the Company’s Subsidiaries or Consolidated Affiliated Entities;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upon the repurchase of any Ordinary Shares pursuant to an open-market share repurchase program or other buyback transaction that is not a tender offer or exchange offer of the nature described in clause (e) of this Section 14.04 above;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upon the issuance of any Ordinary Shares or ADSs pursuant to any option, warrant, right or exercisable, exchangeable or convertible security not described in clause (ii) of this subsection and outstanding as of the date the Notes were first issued;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solely for a change in the par value of the Ordinary Shares;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for accrued and unpaid interest, if 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All calculations and other determinations under this Article 14 shall be made by the Company and shall be made to the nearest one-ten thousandth (1/10,000) of an ADS.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Whenever the Conversion Rate is adjusted as herein provided, the Company shall promptly deliver to the Trustee (and the Conversion Agent if not the Trustee) an Officers’ Certificate setting forth (i) the adjusted Conversion Rate, (ii) the subsection of this Section 14.04 pursuant to which after such adjustment has been made, showing in reasonable detail the facts upon which such adjustment is based, and (iii) the date as of which such adjustment is effective, and such Officers’ Certificate shall be conclusive evidence of the accuracy of such adjustment absent manifest error.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at its last address appearing on the Note Register of this Indenture. Failure to deliver such notice shall not affect the legality or validity of any such adjustment. Neither the Trustee nor any Conversion Agent shall be under any duty or responsibility with respect to any such certificate or the information and calculations contained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rPr>
        <w:t>For purposes of this Section 14.04, the number of Ordinary Shares at any time outstanding shall not include Ordinary Shares held in the treasury of the Company (directly or in the form of ADSs) so long as the Company does not pay any dividend or make any distribution on Ordinary Shares held in the treasury of the Company (directly or in the form of ADSs), but shall include Ordinary Shares issuable in respect of scrip certificates issued in lieu of fractions of Ordinary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rPr>
        <w:t>For purposes of this Section 14.04, the “effective date” means the first date on which the ADSs trade on the applicable exchange or in the applicable market, regular way, reflecting the relevant share split or share combination, as applicable.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14.05 </w:t>
      </w:r>
      <w:r>
        <w:rPr>
          <w:rFonts w:ascii="Times New Roman;Times;serif" w:hAnsi="Times New Roman;Times;serif"/>
          <w:i/>
          <w:sz w:val="20"/>
        </w:rPr>
        <w:t>Adjustments of Prices</w:t>
      </w:r>
      <w:r>
        <w:rPr>
          <w:rFonts w:ascii="Times New Roman;Times;serif" w:hAnsi="Times New Roman;Times;serif"/>
          <w:sz w:val="20"/>
        </w:rPr>
        <w:t>. Whenever any provision of this Indenture requires the Company to calculate the Last Reported Sale Prices, the Daily VWAPs, the Daily Conversion Values, the Daily Settlement Amounts, the ADS Price for purposes of a Make- Whole Fundamental Change or the Redemption Reference Price for purposes of the Company’s election to redeem the Notes in connection with a Tax Redemption, Optional Redemption or Cleanup Redemption, as the case may be, over a span of multiple days, the Board of Directors shall make appropriate adjustments to each to account for any adjustment to the Conversion Rate that becomes effective pursuant to Section 14.04, or any event requiring an adjustment to the Conversion Rate pursuant to Section 14.04 where the Ex-Dividend Date, Effective Date or expiration date, as the case may be, of the event occurs, at any time during the period when such</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Last Reported Sale Prices, ADS Prices, the Daily VWAPs, the Daily Conversion Values or the Daily Settlement Amounts are to be calculated.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14.06 </w:t>
      </w:r>
      <w:r>
        <w:rPr>
          <w:rFonts w:ascii="Times New Roman;Times;serif" w:hAnsi="Times New Roman;Times;serif"/>
          <w:i/>
          <w:sz w:val="20"/>
        </w:rPr>
        <w:t>Ordinary Shares to Be Fully Paid</w:t>
      </w:r>
      <w:r>
        <w:rPr>
          <w:rFonts w:ascii="Times New Roman;Times;serif" w:hAnsi="Times New Roman;Times;serif"/>
          <w:sz w:val="20"/>
        </w:rPr>
        <w:t>. The Company shall provide, free from preemptive rights, out of its authorized but unissued Ordinary Shares or Ordinary Shares held in treasury, a sufficient number of Ordinary Shares that corresponds to the number of ADSs due upon conversion of the Notes from time to time as such Notes are presented for conversion (assuming that at the time of computation of such number of Ordinary Shares, all such Notes would be converted by a single Holder and that Physical Settlement were applicable).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14.07 </w:t>
      </w:r>
      <w:r>
        <w:rPr>
          <w:rFonts w:ascii="Times New Roman;Times;serif" w:hAnsi="Times New Roman;Times;serif"/>
          <w:i/>
          <w:sz w:val="20"/>
        </w:rPr>
        <w:t>Effect of Recapitalizations, Reclassifications and Changes of the Ordinary Shares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In the case 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any recapitalization, reclassification or change of the ADSs or Ordinary Shares (other than changes resulting from a subdivision or combination),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any consolidation, merger, combination or similar transaction involving the Company,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any sale, lease or other transfer to a third party of the consolidated assets of the Company and the Company’s Subsidiaries and Consolidated Affiliated Entities substantially as an entirety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any statutory share exchange,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each case, as a result of which the ADSs or the Ordinary Shares would be converted into, or exchanged for, stock, other securities, other property or assets (including cash or any combination thereof) (any such event, a “</w:t>
      </w:r>
      <w:r>
        <w:rPr>
          <w:rFonts w:ascii="Times New Roman;Times;serif" w:hAnsi="Times New Roman;Times;serif"/>
          <w:b/>
          <w:sz w:val="20"/>
        </w:rPr>
        <w:t>Merger Event</w:t>
      </w:r>
      <w:r>
        <w:rPr>
          <w:rFonts w:ascii="Times New Roman;Times;serif" w:hAnsi="Times New Roman;Times;serif"/>
          <w:sz w:val="20"/>
        </w:rPr>
        <w:t>”), then, prior to or at the effective time of such Merger Event, the Company or the successor or purchasing Person, as the case may be, shall execute with the Trustee a supplemental indenture permitted under Section 10.01(f) providing that, at and after the effective time of such Merger Event, the right to convert each US$1,000 principal amount of Notes shall be changed into a right to convert such principal amount of Notes into the kind and amount of shares of stock, other securities or other property or assets (including cash or any combination thereof) that a holder of a number of ADSs equal to the Conversion Rate immediately prior to such Merger Event would have owned or been entitled to receive (the “</w:t>
      </w:r>
      <w:r>
        <w:rPr>
          <w:rFonts w:ascii="Times New Roman;Times;serif" w:hAnsi="Times New Roman;Times;serif"/>
          <w:b/>
          <w:sz w:val="20"/>
        </w:rPr>
        <w:t>Reference Property</w:t>
      </w:r>
      <w:r>
        <w:rPr>
          <w:rFonts w:ascii="Times New Roman;Times;serif" w:hAnsi="Times New Roman;Times;serif"/>
          <w:sz w:val="20"/>
        </w:rPr>
        <w:t>,” with each “</w:t>
      </w:r>
      <w:r>
        <w:rPr>
          <w:rFonts w:ascii="Times New Roman;Times;serif" w:hAnsi="Times New Roman;Times;serif"/>
          <w:b/>
          <w:sz w:val="20"/>
        </w:rPr>
        <w:t>unit of Reference Property</w:t>
      </w:r>
      <w:r>
        <w:rPr>
          <w:rFonts w:ascii="Times New Roman;Times;serif" w:hAnsi="Times New Roman;Times;serif"/>
          <w:sz w:val="20"/>
        </w:rPr>
        <w:t xml:space="preserve">” meaning the kind and amount of Reference Property that a holder of one ADS is entitled to receive) upon such Merger Event;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at and after the effective time of such Merger Event (A) the Company shall continue to have the right to determine the form of consideration to be paid or delivered, as the case may be, upon conversion of Notes in accordance with Section 14.02 and (B) (I) any amount payable in cash upon conversion of the Notes in accordance with Section 14.02 shall continue to be payable in cash, (II) any ADSs that the Company would have been required to deliver upon conversion of the Notes in accordance with Section 14.02 shall instead be deliverable in the amount and type of Reference Property that a holder of that number of ADSs would have been entitled to receive in such Merger Event and (III) the Daily VWAP</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shall be calculated based on the value of a unit of Reference Property that a holder of one ADS would have received in such transaction.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the Merger Event causes the ADSs or Ordinary Shares to be converted into, or exchanged for, the right to receive more than a single type of consideration (determined based in part upon any form of holder election), then (i) the Reference Property into which the Notes will be convertible shall be deemed to be the weighted average of the types and amounts of consideration actually received by the holders of the ADSs and (ii) the unit of Reference Property for purposes of the immediately preceding paragraph shall refer to the consideration referred to in clause (i) attributable to one ADS. The Company shall determine and provide written notice to Holders, the Trustee and the Conversion Agent (if other than the Trustee) of such weighted average as soon as practicable after such determination is made.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Such supplemental indenture described in the second immediately preceding paragraph shall (i) provide for anti-dilution and other adjustments that shall be as nearly equivalent as is practicable to the adjustments provided for in this Article 14 (it being understood that no such adjustments shall be required with respect to any portion of the Reference Property that does not consist of shares of Common Equity (however evidenced) or depositary receipts in respect thereof) and (ii) contain such other provisions that the Board of Directors determines in good faith are appropriate to preserve the economic interests of the Holders and to give effect to the provisions described in this Section 14.07. If, in the case of any Merger Event, the Reference Property includes shares of stock, securities or other property or assets (including cash or any combination thereof) of a Person other than the Company or the successor or purchasing Person, as the case may be, in such Merger Event, then such other Person shall also execute such supplemental indenture, and such supplemental indenture shall contain such additional provisions to protect the interests of the Holders of the Notes, including the right of Holders to require the Company to repurchase their Notes upon a Fundamental Change pursuant to Section 15.02 and the right of Holders to require the Company to repurchase their Notes on the Repurchase Date pursuant to Section 15.01, as the Board of Directors shall reasonably consider necessary by reason of the foregoing. The Company shall notify the Holders and the Conversion Agent (if other than the Trustee) in writing as promptly as reasonably practicable following the date the Company and the Trustee execute such supplemental indenture, and the Company shall substantially concurrently with such notice either post such supplemental indenture on the Company’s website or disclose the same in a current report on Form 6-K (or any successor form) that is filed with the Commission.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t>
      </w:r>
      <w:r>
        <w:rPr>
          <w:rFonts w:ascii="Times New Roman;Times;serif" w:hAnsi="Times New Roman;Times;serif"/>
          <w:i/>
          <w:sz w:val="20"/>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Company shall not become a party to any Merger Event unless its terms are consistent with this Section 14.07. None of the foregoing provisions shall affect the right of a holder of Notes to convert its Notes into cash, ADSs or a combination of cash and ADSs, as applicable, as set forth in Section 14.01 and Section 14.02 prior to the effective date of such Merger Event.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above provisions of this Section shall similarly apply to successive Merger Events.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14.08 </w:t>
      </w:r>
      <w:r>
        <w:rPr>
          <w:rFonts w:ascii="Times New Roman;Times;serif" w:hAnsi="Times New Roman;Times;serif"/>
          <w:i/>
          <w:sz w:val="20"/>
        </w:rPr>
        <w:t>Certain Covenants</w:t>
      </w:r>
      <w:r>
        <w:rPr>
          <w:rFonts w:ascii="Times New Roman;Times;serif" w:hAnsi="Times New Roman;Times;serif"/>
          <w:sz w:val="20"/>
        </w:rPr>
        <w:t>. (a) The Company covenants that all ADSs delivered upon conversion of Notes, and all Ordinary Shares represented by such ADSs, will be fully paid and non-assessable by the Company and free from all taxes, liens and charges with respect to the issue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Company covenants that, if any ADSs to be provided for the purpose of conversion of Notes hereunder, or any Ordinary Shares represented by such ADSs, require registration with or approval of any governmental authority under any federal or state law before such ADSs may be validly issued upon conversion, the Company will, to the extent then permitted by the rules and interpretations of the Commission, secure such registration or approval,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Company further covenants that if at any time the ADSs shall be listed on any national securities exchange or automated quotation system the Company will list and keep listed, so long as the ADSs shall be so listed on such exchange or automated quotation system, any ADSs deliverable upon conversion of the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Company further covenants to take all actions and obtain all approvals and registrations required with respect to the conversion of the Notes into ADSs and the issuance, and deposit into the ADS facility, of the Ordinary Shares represented by such ADSs. The Company also undertakes to maintain, as long as any Notes are outstanding, the effectiveness of a registration statement on Form F-6 relating to the ADSs and an adequate number of ADSs available for issuance thereunder such that ADSs can be delivered upon conversion of the Notes, if any, in accordance with the terms of this Indenture, the Notes, the Unrestricted Deposit Agreement or the Restricted Deposit Agreement, as applicable, and the Procedures Letter upon conversion of the Notes. In addition, the Company further covenants to provide Holders with a reasonably detailed description of the mechanics for the delivery of ADSs upon conversion of Notes as set forth in the Unrestricted Deposit Agreement or the Restricted Deposit Agreement (including pursuant to the Procedures Letter for the issuance of restricted ADSs contemplated by Section 11 of the Restricted Deposit Agreement) upon request.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14.09 </w:t>
      </w:r>
      <w:r>
        <w:rPr>
          <w:rFonts w:ascii="Times New Roman;Times;serif" w:hAnsi="Times New Roman;Times;serif"/>
          <w:i/>
          <w:sz w:val="20"/>
        </w:rPr>
        <w:t>Responsibility of Trustee</w:t>
      </w:r>
      <w:r>
        <w:rPr>
          <w:rFonts w:ascii="Times New Roman;Times;serif" w:hAnsi="Times New Roman;Times;serif"/>
          <w:sz w:val="20"/>
        </w:rPr>
        <w:t>. Neither the Trustee nor the Conversion Agent shall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in the Indenture or in any supplemental indenture provided to be employed, in making the same. The Trustee and the Conversion Agent shall not be accountable with respect to the validity or value (or the kind or amount) of any shares of the ADSs, or of any securities, property or cash that may at any time be issued or delivered upon the conversion of any Note or for the distribution of any cash payable in lieu of any Fractional ADSs; and the Trustee and the Conversion Agent make no representations with respect thereto. Neither the Trustee nor the Conversion Agent shall be responsible for any failure of the Company to issue, transfer or deliver any ADSs or cash upon the surrender of any Note for the purpose of conversion or to comply with any of the duties, responsibilities or covenants of the Company in connection therewith. Without limiting the generality of the foregoing, neither the Trustee nor the Conversion Agent shall be under any responsibility to (a) determine whether a supplemental indenture needs to be entered into or (b)</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determine the correctness of any provisions contained in any supplemental indenture entered into. The Trustee and the Conversion Agent shall be protected in conclusively relying upon the Officer’s Certificate (which the Company shall be obligated to deliver to the Trustee and the Conversion Agent prior to the execution of any such supplemental indenture) with respect thereto.</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14.10 </w:t>
      </w:r>
      <w:r>
        <w:rPr>
          <w:rFonts w:ascii="Times New Roman;Times;serif" w:hAnsi="Times New Roman;Times;serif"/>
          <w:i/>
          <w:sz w:val="20"/>
        </w:rPr>
        <w:t>Notice to Holders Prior to Certain Actions</w:t>
      </w:r>
      <w:r>
        <w:rPr>
          <w:rFonts w:ascii="Times New Roman;Times;serif" w:hAnsi="Times New Roman;Times;serif"/>
          <w:sz w:val="20"/>
        </w:rPr>
        <w:t>. In case of 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action by the Company or one of its Subsidiaries that would require an adjustment in the Conversion Rate pursuant to Section 14.04 or Section 14.11;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Merger Event;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voluntary or involuntary dissolution, liquidation or winding-up of the Company or any of its Subsidiaries;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then, in each case (unless notice of such event is otherwise required pursuant to another provision of this Indenture), the Company shall cause to be filed with the Trustee and the Conversion Agent (if other than the Trustee) and to be mailed to each Holder at its address appearing on the Note Register, as promptly as possible but in any event at least 20 days prior to the applicable date hereinafter specified, a notice stating (i) the date on which a record is to be taken for the purpose of such action by the Company or one of its Subsidiaries or, if a record is not to be taken, the date as of which the holders of Ordinary Shares or ADSs, as the case may be, of record are to be determined for the purposes of such action by the Company or one of its Subsidiaries, or (ii) the date on which such Merger Event, dissolution, liquidation or winding-up is expected to become effective or occur, and the date as of which it is expected that holders of Ordinary Shares or ADSs, as the case may be, of record shall be entitled to exchange their Ordinary Shares or ADSs, as the case may be, for securities or other property deliverable upon such Merger Event, dissolution, liquidation or winding-up. Failure to give such notice, or any defect therein, shall not affect the legality or validity of such action by the Company or one of its Subsidiaries, Merger Event, dissolution, liquidation or winding-up.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14.11 </w:t>
      </w:r>
      <w:r>
        <w:rPr>
          <w:rFonts w:ascii="Times New Roman;Times;serif" w:hAnsi="Times New Roman;Times;serif"/>
          <w:i/>
          <w:sz w:val="20"/>
        </w:rPr>
        <w:t>Stockholder Rights Plans</w:t>
      </w:r>
      <w:r>
        <w:rPr>
          <w:rFonts w:ascii="Times New Roman;Times;serif" w:hAnsi="Times New Roman;Times;serif"/>
          <w:sz w:val="20"/>
        </w:rPr>
        <w:t>. To the extent that the Company has a rights plan in effect upon conversion of the Notes, each ADS delivered upon such conversion, if any, shall be entitled to receive (either directly or in respect of the Ordinary Shares represented by such ADSs) the appropriate number of rights, if any, and the certificates representing the ADSs delivered upon such conversion shall bear such legends, if any, in each case as may be provided by the terms of any such stockholder rights plan, as the same may be amended from time to time. However, if, prior to any conversion, the rights have separated from the Ordinary Shares represented by the ADSs in accordance with the provisions of the applicable stockholder rights plan, the Conversion Rate shall be adjusted at the time of separation as if the Company distributed to all or substantially all holders of the Ordinary Shares Distributed Property as provided in Section 14.04(c), subject to readjustment in the event of the expiration, termination or redemption of such rights.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14.12 </w:t>
      </w:r>
      <w:r>
        <w:rPr>
          <w:rFonts w:ascii="Times New Roman;Times;serif" w:hAnsi="Times New Roman;Times;serif"/>
          <w:i/>
          <w:sz w:val="20"/>
        </w:rPr>
        <w:t>Termination of Depositary Receipt Program</w:t>
      </w:r>
      <w:r>
        <w:rPr>
          <w:rFonts w:ascii="Times New Roman;Times;serif" w:hAnsi="Times New Roman;Times;serif"/>
          <w:sz w:val="20"/>
        </w:rPr>
        <w:t>. Except as provided in Section 10.03, if the Ordinary Shares cease to be represented by ADSs issued under the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Unrestricted Deposit Agreement, all references in this Indenture to the ADSs shall be deemed to have been replaced by a reference to the number of Ordinary Shares (and other property, if any) represented by the ADSs on the last day on which the ADSs represented the Ordinary Shares and as if the Ordinary Shares and the other property had been distributed to holders of the ADSs on that day. In addition, all references to the Last Reported Sale Price of the ADSs will be deemed to refer to the Last Reported Sale Price of the Ordinary Shares, and other appropriate adjustments, including adjustments to the Conversion Rate, will be made to reflect such change. In making such adjustments, where currency translations between U.S. dollars and any other currency are required, the exchange rate in effect on the date of determination will apply.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14.13 </w:t>
      </w:r>
      <w:r>
        <w:rPr>
          <w:rFonts w:ascii="Times New Roman;Times;serif" w:hAnsi="Times New Roman;Times;serif"/>
          <w:i/>
          <w:sz w:val="20"/>
        </w:rPr>
        <w:t>Exchange In Lieu Of Conversion</w:t>
      </w:r>
      <w:r>
        <w:rPr>
          <w:rFonts w:ascii="Times New Roman;Times;serif" w:hAnsi="Times New Roman;Times;serif"/>
          <w:sz w:val="20"/>
        </w:rPr>
        <w:t>. (a) When a Holder surrenders its Notes for conversion, the Company may, at its election (an “</w:t>
      </w:r>
      <w:r>
        <w:rPr>
          <w:rFonts w:ascii="Times New Roman;Times;serif" w:hAnsi="Times New Roman;Times;serif"/>
          <w:b/>
          <w:sz w:val="20"/>
        </w:rPr>
        <w:t>Exchange Election</w:t>
      </w:r>
      <w:r>
        <w:rPr>
          <w:rFonts w:ascii="Times New Roman;Times;serif" w:hAnsi="Times New Roman;Times;serif"/>
          <w:sz w:val="20"/>
        </w:rPr>
        <w:t>”), direct the Conversion Agent to deliver, on or prior to the Business Day immediately following the Conversion Date, such Notes to one or more financial institutions designated by the Company (each, a “</w:t>
      </w:r>
      <w:r>
        <w:rPr>
          <w:rFonts w:ascii="Times New Roman;Times;serif" w:hAnsi="Times New Roman;Times;serif"/>
          <w:b/>
          <w:sz w:val="20"/>
        </w:rPr>
        <w:t>Designated Financial Institution</w:t>
      </w:r>
      <w:r>
        <w:rPr>
          <w:rFonts w:ascii="Times New Roman;Times;serif" w:hAnsi="Times New Roman;Times;serif"/>
          <w:sz w:val="20"/>
        </w:rPr>
        <w:t>”) for exchange in lieu of conversion. In order to accept any Notes surrendered for conversion, the Designated Financial Institution(s) must agree to timely pay and/or deliver, as the case may be, in exchange for such Notes, the cash, ADSs or a combination thereof, as applicable, that would otherwise be due upon conversion pursuant to Section 14.02 (the “</w:t>
      </w:r>
      <w:r>
        <w:rPr>
          <w:rFonts w:ascii="Times New Roman;Times;serif" w:hAnsi="Times New Roman;Times;serif"/>
          <w:b/>
          <w:sz w:val="20"/>
        </w:rPr>
        <w:t>Conversion Consideration</w:t>
      </w:r>
      <w:r>
        <w:rPr>
          <w:rFonts w:ascii="Times New Roman;Times;serif" w:hAnsi="Times New Roman;Times;serif"/>
          <w:sz w:val="20"/>
        </w:rPr>
        <w:t>”). If the Company makes an Exchange Election, the Company shall, by the close of business on the Business Day following the relevant Conversion Date, notify in writing the Trustee, the Conversion Agent (if other than the Trustee) and the Holder surrendering Notes for conversion that the Company has made the Exchange Election and the Company shall promptly notify the Designated Financial Institution(s) of the relevant deadline for delivery of the Conversion Consideration and the type of Conversion Consideration to be paid and/or delivered,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Notes exchanged by the Designated Financial Institution(s) shall remain outstanding, subject to applicable procedures of the Depositary. If the Designated Financial Institution(s) agree(s) to accept any Notes for exchange but does not timely pay and/or deliver, as the case may be, the related Conversion Consideration, or if such Designated Financial Institution(s) does not accept the Notes for exchange, the Company shall pay and/or deliver, as the case may be, the relevant Conversion Consideration, as, and at the time, required pursuant to this Indenture as if the Company had not made the Exchange Election.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Company’s designation of any Designated Financial Institution(s) to which the Notes may be submitted for exchange does not require such Designated Financial Institution(s) to accept any Notes.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ARTICLE 15</w:t>
        <w:br/>
        <w:t>REPURCHASE OF NOTES AT OPTION OF 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15.01 </w:t>
      </w:r>
      <w:r>
        <w:rPr>
          <w:rFonts w:ascii="Times New Roman;Times;serif" w:hAnsi="Times New Roman;Times;serif"/>
          <w:i/>
          <w:sz w:val="20"/>
        </w:rPr>
        <w:t>Repurchase at Option of Holders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Each Holder shall have the right, at such Holder’s option, to require the Company to repurchase for cash on October 15, 2028 (the “</w:t>
      </w:r>
      <w:r>
        <w:rPr>
          <w:rFonts w:ascii="Times New Roman;Times;serif" w:hAnsi="Times New Roman;Times;serif"/>
          <w:b/>
          <w:sz w:val="20"/>
        </w:rPr>
        <w:t>Repurchase Date</w:t>
      </w:r>
      <w:r>
        <w:rPr>
          <w:rFonts w:ascii="Times New Roman;Times;serif" w:hAnsi="Times New Roman;Times;serif"/>
          <w:sz w:val="20"/>
        </w:rPr>
        <w:t>”), all of such Holder’s Notes, or any portion thereof that is an integral multiple of US$1,000 principal amount, at a repurchase price (the “</w:t>
      </w:r>
      <w:r>
        <w:rPr>
          <w:rFonts w:ascii="Times New Roman;Times;serif" w:hAnsi="Times New Roman;Times;serif"/>
          <w:b/>
          <w:sz w:val="20"/>
        </w:rPr>
        <w:t>Repurchase Price</w:t>
      </w:r>
      <w:r>
        <w:rPr>
          <w:rFonts w:ascii="Times New Roman;Times;serif" w:hAnsi="Times New Roman;Times;serif"/>
          <w:sz w:val="20"/>
        </w:rPr>
        <w:t>”) that is equal to 100% of the principal amount of the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Notes to be repurchased, </w:t>
      </w:r>
      <w:r>
        <w:rPr>
          <w:rFonts w:ascii="Times New Roman;Times;serif" w:hAnsi="Times New Roman;Times;serif"/>
          <w:i/>
          <w:sz w:val="20"/>
        </w:rPr>
        <w:t xml:space="preserve">plus </w:t>
      </w:r>
      <w:r>
        <w:rPr>
          <w:rFonts w:ascii="Times New Roman;Times;serif" w:hAnsi="Times New Roman;Times;serif"/>
          <w:sz w:val="20"/>
        </w:rPr>
        <w:t>accrued and unpaid interest, if any, to, but excluding, the Repurchase Date (unless the Repurchase Date falls after a Regular Record Date but on or prior to the immediately succeeding Interest Payment Date, in which case the Company shall pay on the Interest Payment Date the full amount of accrued and unpaid interest, if any, to the Holder of record as of the close of business on such Regular Record Date, and the Repurchase Price will be equal to 100% of the principal amount of the Notes to be repurchased). Not later than 20 Business Days prior to the Repurchase Date, the Company shall mail a notice (the “</w:t>
      </w:r>
      <w:r>
        <w:rPr>
          <w:rFonts w:ascii="Times New Roman;Times;serif" w:hAnsi="Times New Roman;Times;serif"/>
          <w:b/>
          <w:sz w:val="20"/>
        </w:rPr>
        <w:t>Company Notice</w:t>
      </w:r>
      <w:r>
        <w:rPr>
          <w:rFonts w:ascii="Times New Roman;Times;serif" w:hAnsi="Times New Roman;Times;serif"/>
          <w:sz w:val="20"/>
        </w:rPr>
        <w:t>”) by first class mail to the Trustee, to the Paying Agent and to each Holder at its address shown in the Note Register of the Note Registrar (and to beneficial owners as required by applicable law and to the Conversion Agent if other than the Trustee). The Company Notice shall include a Form of Repurchase Notice to be completed by a holder and shall state: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last date on which a Holder may exercise its repurchase right pursuant to this Section 15.01 (the “</w:t>
      </w:r>
      <w:r>
        <w:rPr>
          <w:rFonts w:ascii="Times New Roman;Times;serif" w:hAnsi="Times New Roman;Times;serif"/>
          <w:b/>
          <w:sz w:val="20"/>
        </w:rPr>
        <w:t>Repurchase Expiration Time</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the Repurchase Price;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the Repurchase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the name and address of the Conversion Agent and Paying Agent;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that the Notes with respect to which a Repurchase Notice has been delivered by a Holder may be converted only if the Holder withdraws the Repurchase Notice in accordance with the terms of this Indenture;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that the Holder shall have the right to withdraw any Notes surrendered prior to the Repurchase Expiration Time;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w:t>
      </w:r>
      <w:r>
        <w:rPr>
          <w:rFonts w:ascii="Times New Roman;Times;serif" w:hAnsi="Times New Roman;Times;serif"/>
          <w:sz w:val="20"/>
        </w:rPr>
        <w:t>the procedures a Holder must follow to exercise its repurchase rights under this Section 15.01 and a brief description of those rights.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At the Company’s request, the Trustee shall give such notice in the Company’s name and at the Company’s expense;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in all cases, the text of such Company Notice shall be prepared by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Simultaneously with providing the Company Notice, the Company shall publish a notice containing the information included in the Company Notice in a newspaper of general circulation in The City of New York or publish such information on the Company’s website or through such other public medium as the Company may use at that time.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failure of the Company to give the foregoing notices and no defect therein shall limit the Holders’ repurchase rights or affect the validity of the proceedings for the repurchase of the Notes pursuant to this Section 15.01.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Repurchases of Notes under this Section 15.01 shall be made, at the option of the Holder thereof, upon:</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(A)delivery to the Trustee (or other agent appointed for such purpose) by the Holder of a duly completed notice (the “</w:t>
      </w:r>
      <w:r>
        <w:rPr>
          <w:rFonts w:ascii="Times New Roman;Times;serif" w:hAnsi="Times New Roman;Times;serif"/>
          <w:b/>
          <w:sz w:val="20"/>
        </w:rPr>
        <w:t>Repurchase Notice</w:t>
      </w:r>
      <w:r>
        <w:rPr>
          <w:rFonts w:ascii="Times New Roman;Times;serif" w:hAnsi="Times New Roman;Times;serif"/>
          <w:sz w:val="20"/>
        </w:rPr>
        <w:t>”) in the form set forth in Attachment 3 to the Form of Note attached hereto as Exhibit A, if the Notes are Physical Notes, or in compliance with the Depositary’s procedures for surrendering interests in global notes, if the Notes are Global Notes, in each case during the period beginning at any time from the open of business on the date that is 20 Business Days prior to the Repurchase Date until the close of business on the second Business Day immediately preceding the Repurchase Date; and</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(B)delivery of the Notes, if the Notes are Physical Notes, to the Trustee at any time after delivery of the Repurchase Notice (together with all necessary endorsements) at the Corporate Trust Office of the Trustee, or book- entry transfer of the Notes, if the Notes are Global Notes, in compliance with the procedures of the Depositary, in each case such delivery being a condition to receipt by the Holder of the Repurchase Price therefor.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Each Repurchase Notice shall state:</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(A)in the case of Physical Notes, the certificate numbers of the Notes to be delivered for repurchase;</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(B)the portion of the principal amount of the Notes to be repurchased, which must be US$1,000 or an integral multiple thereof; and</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(C)that the Notes are to be repurchased by the Company pursuant to the applicable provisions of the Notes and this Indenture;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if the Notes are Global Notes, the Repurchase Notice must comply with applicable Depositary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Notwithstanding anything herein to the contrary, any Holder delivering to the Trustee the Repurchase Notice contemplated by this Section 15.01 shall have the right to withdraw, in whole or in part, such Repurchase Notice at any time prior to the close of business on the second Business Day immediately preceding the Repurchase Date by delivery of a duly completed written notice of withdrawal to the Trustee in accordance with Section 15.03.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Trustee shall promptly notify the Company of the receipt by it of any Repurchase Notice or written notice of withdrawal thereof.</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Repurchase Notice with respect to any Notes may be delivered and no Note may be surrendered for repurchase pursuant to this Section 15.01 by a Holder thereof to the extent such Holder has also delivered a Fundamental Change Repurchase Notice with respect to such Note in accordance with Section 15.02 and not validly withdrawn such Fundamental Change Repurchase Notice in accordance with Section 15.03.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Notwithstanding the foregoing, no Notes may be repurchased by the Company at the option of the Holders on the Repurchase Date if the principal amount of the Notes has been accelerated, and such acceleration has not been rescinded, on or prior to such Repurchase Date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(except in the case of an acceleration resulting from a default by the Company in the payment of the Repurchase Price with respect to such Notes). The Trustee will promptly return to the respective Holders thereof any Physical Notes held by it during the acceleration of the Notes (except in the case of an acceleration resulting from a default by the Company in the payment of the Repurchase Price with respect to such Notes), or any instructions for book-entry transfer of the Notes in compliance with the procedures of the Depositary shall be deemed to have been cancelled, and, upon such return or cancellation, as the case may be, the Repurchase Notice with respect thereto shall be deemed to have been withdrawn.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15.02 </w:t>
      </w:r>
      <w:r>
        <w:rPr>
          <w:rFonts w:ascii="Times New Roman;Times;serif" w:hAnsi="Times New Roman;Times;serif"/>
          <w:i/>
          <w:sz w:val="20"/>
        </w:rPr>
        <w:t>Repurchase at Option of Holders Upon a Fundamental Change</w:t>
      </w:r>
      <w:r>
        <w:rPr>
          <w:rFonts w:ascii="Times New Roman;Times;serif" w:hAnsi="Times New Roman;Times;serif"/>
          <w:sz w:val="20"/>
        </w:rPr>
        <w:t>. (a) If a Fundamental Change occurs at any time prior to the Maturity Date, each Holder shall have the right, at such Holder’s option, to require the Company to repurchase for cash all of such Holder’s Notes, or any portion thereof that is equal to US$1,000 or an integral multiple of US$1,000, on the Business Day (the “</w:t>
      </w:r>
      <w:r>
        <w:rPr>
          <w:rFonts w:ascii="Times New Roman;Times;serif" w:hAnsi="Times New Roman;Times;serif"/>
          <w:b/>
          <w:sz w:val="20"/>
        </w:rPr>
        <w:t>Fundamental Change Repurchase Date</w:t>
      </w:r>
      <w:r>
        <w:rPr>
          <w:rFonts w:ascii="Times New Roman;Times;serif" w:hAnsi="Times New Roman;Times;serif"/>
          <w:sz w:val="20"/>
        </w:rPr>
        <w:t xml:space="preserve">”) notified in writing by the Company as set forth in Section 15.02(c) that is not less than 20 Business Days or more than 35 Business Days following the date of the Fundamental Change Company Notice at a repurchase price equal to 100% of the principal amount thereof, </w:t>
      </w:r>
      <w:r>
        <w:rPr>
          <w:rFonts w:ascii="Times New Roman;Times;serif" w:hAnsi="Times New Roman;Times;serif"/>
          <w:i/>
          <w:sz w:val="20"/>
        </w:rPr>
        <w:t xml:space="preserve">plus </w:t>
      </w:r>
      <w:r>
        <w:rPr>
          <w:rFonts w:ascii="Times New Roman;Times;serif" w:hAnsi="Times New Roman;Times;serif"/>
          <w:sz w:val="20"/>
        </w:rPr>
        <w:t>accrued and unpaid interest, if any, thereon to, but excluding, the Fundamental Change Repurchase Date (the “</w:t>
      </w:r>
      <w:r>
        <w:rPr>
          <w:rFonts w:ascii="Times New Roman;Times;serif" w:hAnsi="Times New Roman;Times;serif"/>
          <w:b/>
          <w:sz w:val="20"/>
        </w:rPr>
        <w:t>Fundamental Change Repurchase Price</w:t>
      </w:r>
      <w:r>
        <w:rPr>
          <w:rFonts w:ascii="Times New Roman;Times;serif" w:hAnsi="Times New Roman;Times;serif"/>
          <w:sz w:val="20"/>
        </w:rPr>
        <w:t>”), unless the Fundamental Change Repurchase Date falls after a Regular Record Date but on or prior to the Interest Payment Date to which such Regular Record Date relates, in which case the Company shall instead pay on the Interest Payment Date the full amount of accrued and unpaid interest, if any, to Holders of record as of such Regular Record Date, and the Fundamental Change Repurchase Price shall be equal to 100% of the principal amount of Notes to be repurchased pursuant to this Article 15. The Trustee and the Conversion Agent, Paying Agent or any other agent appointed for such purpose shall have no responsibility to determine the Fundamental Change Repurchase Price.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Repurchases of Notes under this Section 15.02 shall be made, at the option of the Holder thereof, upon: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delivery to the Trustee (or other agent appointed for this purpose) by a Holder of a duly completed notice (the “</w:t>
      </w:r>
      <w:r>
        <w:rPr>
          <w:rFonts w:ascii="Times New Roman;Times;serif" w:hAnsi="Times New Roman;Times;serif"/>
          <w:b/>
          <w:sz w:val="20"/>
        </w:rPr>
        <w:t>Fundamental Change Repurchase Notice</w:t>
      </w:r>
      <w:r>
        <w:rPr>
          <w:rFonts w:ascii="Times New Roman;Times;serif" w:hAnsi="Times New Roman;Times;serif"/>
          <w:sz w:val="20"/>
        </w:rPr>
        <w:t>”) in the form set forth in Attachment 2 to the Form of Note attached hereto as Exhibit A, if the Notes are Physical Notes, or in compliance with the Depositary’s procedures for surrendering interests in global notes, if the Notes are Global Notes, in each case on or before the close of business on the second Business Day immediately preceding the Fundamental Change Repurchase Date;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delivery of the Notes, if the Notes are Physical Notes, to the Trustee at any time after delivery of the Fundamental Change Repurchase Notice (together with all necessary endorsements for transfer) at the Corporate Trust Office, or book-entry transfer of the Notes, if the Notes are Global Notes, in compliance with the procedures of the Depositary, in each case such delivery being a condition to receipt by the Holder of the Fundamental Change Repurchase Price therefor.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Fundamental Change Repurchase Notice in respect of any Notes to be repurchased shall state: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in the case of Physical Notes, the certificate numbers of the Notes to be delivered for repurchase;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the portion of the principal amount of Notes to be repurchased, which must be US$1,000 or an integral multiple thereof;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that the Notes are to be repurchased by the Company pursuant to the applicable provisions of the Notes and this Indenture;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if the Notes are Global Notes, the Fundamental Change Repurchase Notice must comply with appropriate Depositary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Notwithstanding anything herein to the contrary, any Holder delivering to the Trustee the Fundamental Change Repurchase Notice contemplated by this Section 15.02 shall have the right to withdraw, in whole or in part, such Fundamental Change Repurchase Notice at any time prior to the close of business on the second Business Day immediately preceding the Fundamental Change Repurchase Date by delivery of a duly completed written notice of withdrawal to the Trustee in accordance with Section 15.03.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Trustee shall promptly notify the Company of the receipt by it of any Fundamental Change Repurchase Notice or written notice of withdrawal thereof.</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Fundamental Change Repurchase Notice with respect to any Notes may be delivered and no Note may be surrendered by a Holder for repurchase thereof to the extent such Holder has also surrendered a Repurchase Notice with respect to such Note in accordance with Section 15.01 and not validly withdrawn such Repurchase Notice in accordance with Section 15.03.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On or before the 20th calendar day after the occurrence of the effective date of a Fundamental Change, the Company shall provide to all Holders, the Trustee (and the Conversion Agent, Paying Agent and any other agent appointed for this purpose, in each case, if other than the Trustee) a written notice (the “</w:t>
      </w:r>
      <w:r>
        <w:rPr>
          <w:rFonts w:ascii="Times New Roman;Times;serif" w:hAnsi="Times New Roman;Times;serif"/>
          <w:b/>
          <w:sz w:val="20"/>
        </w:rPr>
        <w:t>Fundamental Change Company Notice</w:t>
      </w:r>
      <w:r>
        <w:rPr>
          <w:rFonts w:ascii="Times New Roman;Times;serif" w:hAnsi="Times New Roman;Times;serif"/>
          <w:sz w:val="20"/>
        </w:rPr>
        <w:t>”) of the occurrence of the effective date of the Fundamental Change and of the repurchase right at the option of the Holders arising as a result thereof. In the case of Physical Notes, such notice shall be by first class mail or, in the case of Global Notes, such notice shall be delivered in accordance with the applicable procedures of the Depositary. Simultaneously with providing such notice, the Company shall publish a notice containing the information set forth in the Fundamental Change Company Notice in a newspaper of general circulation in The City of New York or publish such information on the Company’s website or through such other public medium as the Company may use at that time. Each Fundamental Change Company Notice shall specify: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events causing the Fundamental Change and whether such events also constitute a Make-Whole Fundamental Change;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the effective date of the Fundamental Change;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the last date on which a Holder may exercise the repurchase right pursuant to this Article 15;</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the Fundamental Change Repurchase Price;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the Fundamental Change Repurchase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the name and address of the Trustee, the Paying Agent, the Conversion Agent or any other agent appointed for repurchase, if applicable;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w:t>
      </w:r>
      <w:r>
        <w:rPr>
          <w:rFonts w:ascii="Times New Roman;Times;serif" w:hAnsi="Times New Roman;Times;serif"/>
          <w:sz w:val="20"/>
        </w:rPr>
        <w:t>if applicable, the Conversion Rate and any adjustments to the Conversion Rate as a result of such Fundamental Change if it is a Make-Whole Fundamental Change;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(viii)</w:t>
      </w:r>
      <w:r>
        <w:rPr>
          <w:rFonts w:ascii="Times New Roman;Times;serif" w:hAnsi="Times New Roman;Times;serif"/>
          <w:sz w:val="20"/>
        </w:rPr>
        <w:t>if applicable, that the Notes with respect to which a Fundamental Change Repurchase Notice has been delivered by a Holder may be converted only if the Holder withdraws the Fundamental Change Repurchase Notice in accordance with the terms of this Indenture;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(ix)</w:t>
      </w:r>
      <w:r>
        <w:rPr>
          <w:rFonts w:ascii="Times New Roman;Times;serif" w:hAnsi="Times New Roman;Times;serif"/>
          <w:sz w:val="20"/>
        </w:rPr>
        <w:t>the procedures that Holders must follow to require the Company to repurchase their Notes.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failure of the Company to give the foregoing notices and no defect therein shall limit the Holders’ repurchase rights or affect the validity of the proceedings for the repurchase of the Notes pursuant to this Section 15.02.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At the Company’s request, the Trustee shall give such notice in the Company’s name and at the Company’s expense;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in all cases, the text of such Fundamental Change Company Notice shall be prepared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Trustee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procedures of the Depositary shall be deemed to have been cancelled, and, upon such return or cancellation, as the case may be, the Fundamental Change Repurchase Notice with respect thereto shall be deemed to have been withdrawn.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15.03 </w:t>
      </w:r>
      <w:r>
        <w:rPr>
          <w:rFonts w:ascii="Times New Roman;Times;serif" w:hAnsi="Times New Roman;Times;serif"/>
          <w:i/>
          <w:sz w:val="20"/>
        </w:rPr>
        <w:t>Withdrawal of Repurchase Notice or Fundamental Change Repurchase Notice</w:t>
      </w:r>
      <w:r>
        <w:rPr>
          <w:rFonts w:ascii="Times New Roman;Times;serif" w:hAnsi="Times New Roman;Times;serif"/>
          <w:sz w:val="20"/>
        </w:rPr>
        <w:t>. (a) A Repurchase Notice or Fundamental Change Repurchase Notice may be withdrawn (in whole or in part) by means of a duly completed written notice of withdrawal delivered to the Trustee (or other agent appointed for such purpose) in accordance with this Section 15.03 at any time prior to the close of business on the second Business Day immediately preceding the Repurchase Date or prior to the close of business on the second Business Day immediately preceding the Fundamental Change Repurchase Date, as the case may be, specifying:</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principal amount of the Notes with respect to which such notice of withdrawal is being submitted,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if Physical Notes have been issued, the certificate number of the Note in respect of which such notice of withdrawal is being submitted,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the principal amount, if any, of such Note that remains subject to the original Repurchase Notice or Fundamental Change Repurchase Notice, as the case may be, which portion must be in principal amounts of US$1,000 or an integral multiple of US$1,000;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if the Notes are Global Notes, the notice must comply with appropriate procedures of the Depositary.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15.04 </w:t>
      </w:r>
      <w:r>
        <w:rPr>
          <w:rFonts w:ascii="Times New Roman;Times;serif" w:hAnsi="Times New Roman;Times;serif"/>
          <w:i/>
          <w:sz w:val="20"/>
        </w:rPr>
        <w:t>Deposit of Repurchase Price or Fundamental Change Repurchase Price</w:t>
      </w:r>
      <w:r>
        <w:rPr>
          <w:rFonts w:ascii="Times New Roman;Times;serif" w:hAnsi="Times New Roman;Times;serif"/>
          <w:sz w:val="20"/>
        </w:rPr>
        <w:t>. (a) The Company will deposit with the Paying Agent (or any other agent appointed for this purpose by the Company) (or if the Company is acting as its own Paying Agent, set aside, segregate and hold in trust as provided in Section 4.04) on or prior to 10:00 a.m., New York City time, on the Repurchase Date or Fundamental Change Repurchase Date, as the case may be, an amount of money sufficient to repurchase all of the Notes to be repurchased at the appropriate Repurchase Price or Fundamental Change Repurchase Price. Subject to receipt of funds and/or Notes by the Paying Agent (or other agent appointed for this purpose by the Company) and the Trustee, as applicable, payment for Notes surrendered for repurchase (and not withdrawn in accordance with Section 15.03) will be made on the later of (i) the Repurchase Date or Fundamental Change Repurchase Date, as the case may be, (</w:t>
      </w:r>
      <w:r>
        <w:rPr>
          <w:rFonts w:ascii="Times New Roman;Times;serif" w:hAnsi="Times New Roman;Times;serif"/>
          <w:i/>
          <w:sz w:val="20"/>
        </w:rPr>
        <w:t xml:space="preserve">provided </w:t>
      </w:r>
      <w:r>
        <w:rPr>
          <w:rFonts w:ascii="Times New Roman;Times;serif" w:hAnsi="Times New Roman;Times;serif"/>
          <w:sz w:val="20"/>
        </w:rPr>
        <w:t xml:space="preserve">the Holder has satisfied the conditions in Section 15.01 or Section 15.02, as the case may be) and (ii) the time of book- entry transfer or the delivery of such Note to the Trustee (or other agent appointed by the Company) by the Holder thereof in the manner required by Section 15.01 or Section 15.02, as applicable, by mailing checks for the amount payable to the Holders of such Notes entitled thereto as they shall appear in the Note Register;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payments to the Depositary shall be made by wire transfer of immediately available funds to the account of the Depositary or its nominee. The Paying Agent (or other agent appointed for this purpose by the Company) shall, promptly after such payment and upon written demand by the Company, return to the Company any funds in excess of the Repurchase Price or Fundamental Change Repurchase Price,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by 10:00 a.m., New York City time, on the Repurchase Date or Fundamental Change Repurchase Date, as the case may be, the Paying Agent (or other agent appointed for this purpose by the Company) holds money sufficient to make payment on all the Notes or portions thereof that are to be repurchased on such Repurchase Date or Fundamental Change Repurchase Date, as the case may be, then, with respect to the Notes that have been properly surrendered for repurchase to the Trustee (or other agent appointed for such purpose) and not validly withdrawn, on such Repurchase Date or Fundamental Change Repurchase Date, as the case may be, (i) such Notes will cease to be outstanding, (ii) interest will cease to accrue on such Notes (whether or not book-entry transfer of the Notes has been made or the Notes have been delivered to the Trustee) and (iii) all other rights of the Holders of such Notes will terminate (other than the right to receive the Repurchase Price or Fundamental Change Repurchase Price, as the case may be,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and the right of the Holder on the applicable Regular Record Date to receive previously accrued and unpaid interest, if any, upon delivery or transfer of the Notes to the extent not included in the Repurchase Price or Fundamental Change Repurchase Price,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Upon surrender of a Note that is to be repurchased in part pursuant to Section 15.01 or Section 15.02, the Company shall execute and the Trustee, upon receipt of a Company Order, shall authenticate and deliver to the Holder a new Note in an authorized denomination equal in principal amount to the unrepurchased portion of the Note surrendered.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15.05 </w:t>
      </w:r>
      <w:r>
        <w:rPr>
          <w:rFonts w:ascii="Times New Roman;Times;serif" w:hAnsi="Times New Roman;Times;serif"/>
          <w:i/>
          <w:sz w:val="20"/>
        </w:rPr>
        <w:t>Covenant to Comply with Applicable Laws Upon Repurchase of Notes</w:t>
      </w:r>
      <w:r>
        <w:rPr>
          <w:rFonts w:ascii="Times New Roman;Times;serif" w:hAnsi="Times New Roman;Times;serif"/>
          <w:sz w:val="20"/>
        </w:rPr>
        <w:t>. In connection with any repurchase offer, the Company will, if required: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comply with the provisions of Rule 13e-4, Rule 14e-1 and any other tender offer rules under the Exchange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file a Schedule TO or other required schedule under the Exchange Act;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otherwise comply with (x) all federal and state securities laws and (y) laws and regulations applicable to the Company due to the Listed Equity being listed on a Permitted Exchange, in each case, in connection with any offer by the Company to repurchase the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each case, so as to permit the rights and obligations under this Article 15 to be exercised in the time and in the manner specified in this Article 15.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Notwithstanding anything to the contrary in this Indenture, the Company shall not be required to repurchase, or to make an offer to repurchase, the Notes upon a Fundamental Change if a third party makes such an offer in the same manner, at the same time, for the same or greater price and otherwise in compliance with the requirements for an offer made by the Company as set forth above in this Section 15.05, and such third party purchases all Notes properly surrendered and not validly withdrawn under its offer in the same manner, at the same time, for the same or greater price and otherwise in compliance with the requirements for an offer made by the Company as set forth above in this Section 15.05 (including the requirement to pay the Fundamental Change Repurchase Price on the later of the applicable Fundamental Change Repurchase Date and the time of book-entry transfer or delivery of the relevant Notes); </w:t>
      </w:r>
      <w:r>
        <w:rPr>
          <w:rFonts w:ascii="Times New Roman;Times;serif" w:hAnsi="Times New Roman;Times;serif"/>
          <w:i/>
          <w:sz w:val="20"/>
        </w:rPr>
        <w:t xml:space="preserve">provided </w:t>
      </w:r>
      <w:r>
        <w:rPr>
          <w:rFonts w:ascii="Times New Roman;Times;serif" w:hAnsi="Times New Roman;Times;serif"/>
          <w:sz w:val="20"/>
        </w:rPr>
        <w:t>that the Company will continue to be obligated to (i) deliver the applicable Fundamental Change notice to the holders (which Fundamental Change notice will state that such third party will make such an offer to purchase the Notes), (ii) comply with applicable securities laws as set forth in this Section 15.05 in connection with any such purchase and (iii) pay the applicable Fundamental Change Repurchase Price on the later of the applicable Fundamental Change Repurchase Date and the time of book-entry transfer or delivery of the relevant Notes in the event such third party fails to make such payment in such amount at such time.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Notwithstanding anything to the contrary in this Indenture, to the extent that the provisions of any federal or state securities laws or other applicable laws or regulations adopted after the date on which the Notes are first issued conflict with the provisions of this Indenture relating to the Company’s obligations to repurchase the Notes upon a Fundamental Change, the Company shall comply with the applicable securities laws and regulations and shall not be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deemed to have breached its obligations under such provisions of this Indenture by virtue of such conflict.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ARTICLE 16</w:t>
        <w:br/>
        <w:t>OPTIONAL REDEMPTION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16.01 </w:t>
      </w:r>
      <w:r>
        <w:rPr>
          <w:rFonts w:ascii="Times New Roman;Times;serif" w:hAnsi="Times New Roman;Times;serif"/>
          <w:i/>
          <w:sz w:val="20"/>
        </w:rPr>
        <w:t>Optional Redemption for Changes in the Tax Law of the Relevant Jurisdiction</w:t>
      </w:r>
      <w:r>
        <w:rPr>
          <w:rFonts w:ascii="Times New Roman;Times;serif" w:hAnsi="Times New Roman;Times;serif"/>
          <w:sz w:val="20"/>
        </w:rPr>
        <w:t xml:space="preserve">. Other than as described in this Article 16, the Notes may not be redeemed by the Company at its option prior to maturity. If the Company has, or on the next Interest Payment Date would, become obligated to pay to the Holder of any Note Additional Amounts that are more than a </w:t>
      </w:r>
      <w:r>
        <w:rPr>
          <w:rFonts w:ascii="Times New Roman;Times;serif" w:hAnsi="Times New Roman;Times;serif"/>
          <w:i/>
          <w:sz w:val="20"/>
        </w:rPr>
        <w:t xml:space="preserve">de minimis </w:t>
      </w:r>
      <w:r>
        <w:rPr>
          <w:rFonts w:ascii="Times New Roman;Times;serif" w:hAnsi="Times New Roman;Times;serif"/>
          <w:sz w:val="20"/>
        </w:rPr>
        <w:t>amount, as a result 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any change or amendment that is publicly announced and becomes effective on or after September 19, 2023 (or, in the case of a jurisdiction that becomes a Relevant Jurisdiction after such date, after such later date) in the laws or any rules or regulations of a Relevant Jurisdiction;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change that is publicly announced and becomes effective on or after September 19, 2023 (or, in the case of a jurisdiction that becomes a Relevant Jurisdiction after such date, after such later date) in an interpretation, administration or application of such laws, rules or regulations by any legislative body, court, governmental agency, taxing authority or regulatory or administrative authority of such Relevant Jurisdiction (including the enactment of any legislation and the announcement or publication of any judicial decision or regulatory or administrative interpretation or determination);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(each, a “</w:t>
      </w:r>
      <w:r>
        <w:rPr>
          <w:rFonts w:ascii="Times New Roman;Times;serif" w:hAnsi="Times New Roman;Times;serif"/>
          <w:b/>
          <w:sz w:val="20"/>
        </w:rPr>
        <w:t>Change in Tax Law</w:t>
      </w:r>
      <w:r>
        <w:rPr>
          <w:rFonts w:ascii="Times New Roman;Times;serif" w:hAnsi="Times New Roman;Times;serif"/>
          <w:sz w:val="20"/>
        </w:rPr>
        <w:t>”), the Company may, at its option, redeem all but not part of the Notes (except in respect of certain Holders that elect otherwise as described below) at a redemption price equal to 100% of the principal amount thereof (the “</w:t>
      </w:r>
      <w:r>
        <w:rPr>
          <w:rFonts w:ascii="Times New Roman;Times;serif" w:hAnsi="Times New Roman;Times;serif"/>
          <w:b/>
          <w:sz w:val="20"/>
        </w:rPr>
        <w:t>Tax Redemption Price</w:t>
      </w:r>
      <w:r>
        <w:rPr>
          <w:rFonts w:ascii="Times New Roman;Times;serif" w:hAnsi="Times New Roman;Times;serif"/>
          <w:sz w:val="20"/>
        </w:rPr>
        <w:t>”), plus accrued and unpaid interest, if any, to, but excluding the date fixed by the Company for redemption, which shall be prior to the 20</w:t>
      </w:r>
      <w:r>
        <w:rPr>
          <w:rFonts w:ascii="Times New Roman;Times;serif" w:hAnsi="Times New Roman;Times;serif"/>
          <w:sz w:val="15"/>
        </w:rPr>
        <w:t>th</w:t>
      </w:r>
      <w:r>
        <w:rPr>
          <w:rFonts w:ascii="Times New Roman;Times;serif" w:hAnsi="Times New Roman;Times;serif"/>
          <w:sz w:val="20"/>
        </w:rPr>
        <w:t xml:space="preserve"> Scheduled Trading Day immediately before the Maturity Date (the “</w:t>
      </w:r>
      <w:r>
        <w:rPr>
          <w:rFonts w:ascii="Times New Roman;Times;serif" w:hAnsi="Times New Roman;Times;serif"/>
          <w:b/>
          <w:sz w:val="20"/>
        </w:rPr>
        <w:t>Tax Redemption Date</w:t>
      </w:r>
      <w:r>
        <w:rPr>
          <w:rFonts w:ascii="Times New Roman;Times;serif" w:hAnsi="Times New Roman;Times;serif"/>
          <w:sz w:val="20"/>
        </w:rPr>
        <w:t>”) (such redemption, a “</w:t>
      </w:r>
      <w:r>
        <w:rPr>
          <w:rFonts w:ascii="Times New Roman;Times;serif" w:hAnsi="Times New Roman;Times;serif"/>
          <w:b/>
          <w:sz w:val="20"/>
        </w:rPr>
        <w:t>Tax Redemption</w:t>
      </w:r>
      <w:r>
        <w:rPr>
          <w:rFonts w:ascii="Times New Roman;Times;serif" w:hAnsi="Times New Roman;Times;serif"/>
          <w:sz w:val="20"/>
        </w:rPr>
        <w:t xml:space="preserve">”), including, for the avoidance of doubt, any Additional Amounts with respect to such Redemption Price; </w:t>
      </w:r>
      <w:r>
        <w:rPr>
          <w:rFonts w:ascii="Times New Roman;Times;serif" w:hAnsi="Times New Roman;Times;serif"/>
          <w:i/>
          <w:sz w:val="20"/>
        </w:rPr>
        <w:t xml:space="preserve">provided </w:t>
      </w:r>
      <w:r>
        <w:rPr>
          <w:rFonts w:ascii="Times New Roman;Times;serif" w:hAnsi="Times New Roman;Times;serif"/>
          <w:sz w:val="20"/>
        </w:rPr>
        <w:t>that the Company may only redeem the Notes if: (i) the Company cannot avoid such obligations by taking commercially reasonable measures available to the Company (</w:t>
      </w:r>
      <w:r>
        <w:rPr>
          <w:rFonts w:ascii="Times New Roman;Times;serif" w:hAnsi="Times New Roman;Times;serif"/>
          <w:i/>
          <w:sz w:val="20"/>
        </w:rPr>
        <w:t xml:space="preserve">provided </w:t>
      </w:r>
      <w:r>
        <w:rPr>
          <w:rFonts w:ascii="Times New Roman;Times;serif" w:hAnsi="Times New Roman;Times;serif"/>
          <w:sz w:val="20"/>
        </w:rPr>
        <w:t>that changing the jurisdiction of incorporation of the Company shall be deemed not to be a commercially reasonable measure); and (ii) the Company delivers to the Trustee an opinion of outside legal counsel of recognized standing in the Relevant Jurisdiction and an Officers’ Certificate attesting to such Change in Tax Law and obligation to pay Additional Amounts. The Trustee shall and is entitled to rely upon such opinion and Officers’ Certificate (without further investigation and enquiry) and it shall be conclusive and binding on the 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Notwithstanding anything to the contrary in this Article 16, neither the Company nor any successor Person may redeem any of the Notes in the case that Additional Amounts are payable in respect of PRC deduction or withholding tax and any other tax collected at source at the Applicable PRC Rate or less solely as a result of the Company or its successor Person being considered a PRC tax resident under the PRC Enterprise Income Tax law.</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the Tax Redemption Date occurs after a Regular Record Date and on or prior to the corresponding Interest Payment Date, the Company shall pay or cause the Paying Agent to pay, on or at its election, before such Interest Payment Date, pay the full amount of accrued and unpaid interest, if any, and any Additional Amounts with respect to such interest, due on such Interest Payment Date to the record holder of the Notes on the Regular Record Date corresponding to such Interest Payment Date, and the Redemption Price payable to any Holder (other than a Holder that elects to not have its Notes redeemed pursuant to the provisions described below) shall be equal to 100% of the principal amount of such Note to be redeemed, including, for the avoidance of doubt, any Additional Amounts with respect to such Redemption Price. The Company shall notify the Trustee in writing of its election and the date on which such interest and any Additional Amounts with respect to such interest shall be paid at the time the Company provides notice of such redemption.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shall give the Trustee and Holders of Notes not less than 30 Scheduled Trading Days’ but no more than 40 Scheduled Trading Days’ notice of redemption (a “</w:t>
      </w:r>
      <w:r>
        <w:rPr>
          <w:rFonts w:ascii="Times New Roman;Times;serif" w:hAnsi="Times New Roman;Times;serif"/>
          <w:b/>
          <w:sz w:val="20"/>
        </w:rPr>
        <w:t>Tax Redemption Notice</w:t>
      </w:r>
      <w:r>
        <w:rPr>
          <w:rFonts w:ascii="Times New Roman;Times;serif" w:hAnsi="Times New Roman;Times;serif"/>
          <w:sz w:val="20"/>
        </w:rPr>
        <w:t>”) prior to the Tax Redemption Date, which will include the Redemption Price, the Tax Redemption Date and the Settlement Method that will apply to all conversions with a Conversion Date that occurs on or after the date the Company sends such Tax Redemption Notice and before the close of business on the second Scheduled Trading Day immediately before the related Tax Redemption Date. Simultaneously with providing such notice, which will include the Redemption Price, the Tax Redemption Date and the Settlement Method that will apply to all conversions with a Conversion Date that occurs on or after the date the Company sends such notice of redemption and before the close of business on the second Scheduled Trading Day immediately before the related Tax Redemption Date, the Company shall publish a notice containing this information in a newspaper of general circulation in The City of New York or publish the information on the Company’s website or through such other public medium as the Company may use at that time. The Tax Redemption Date must be a Business Day.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Upon receiving such notice of redemption, each Holder shall have the right to elect to not have its Notes redeemed, </w:t>
      </w:r>
      <w:r>
        <w:rPr>
          <w:rFonts w:ascii="Times New Roman;Times;serif" w:hAnsi="Times New Roman;Times;serif"/>
          <w:i/>
          <w:sz w:val="20"/>
        </w:rPr>
        <w:t xml:space="preserve">provided </w:t>
      </w:r>
      <w:r>
        <w:rPr>
          <w:rFonts w:ascii="Times New Roman;Times;serif" w:hAnsi="Times New Roman;Times;serif"/>
          <w:sz w:val="20"/>
        </w:rPr>
        <w:t xml:space="preserve">that (i) the Company shall not be obligated to pay any Additional Amounts on any payment with respect to such Notes solely as a result of such Change in Tax Law that resulted in the obligation to pay such Additional Amounts (whether upon conversion, required repurchase in connection with a Fundamental Change or on the Repurchase Date, at maturity or otherwise, and whether in cash, ADSs, or a combination thereof, Reference Property or otherwise) after the Tax Redemption Date (or, if the Company fails to pay the Redemption Price on the Tax Redemption Date, such later date on which the Company pays the Redemption Price), and (ii) all future payments with respect to such Notes shall be subject to the deduction or withholding of such Relevant Taxing Jurisdiction and taxes required by law to be deducted or withheld as a result of such Change in Tax Law; </w:t>
      </w:r>
      <w:r>
        <w:rPr>
          <w:rFonts w:ascii="Times New Roman;Times;serif" w:hAnsi="Times New Roman;Times;serif"/>
          <w:i/>
          <w:sz w:val="20"/>
        </w:rPr>
        <w:t xml:space="preserve">provided further </w:t>
      </w:r>
      <w:r>
        <w:rPr>
          <w:rFonts w:ascii="Times New Roman;Times;serif" w:hAnsi="Times New Roman;Times;serif"/>
          <w:sz w:val="20"/>
        </w:rPr>
        <w:t>that, notwithstanding the foregoing, if a Holder electing not to have its Notes redeemed converts its Notes in connection with the Company’s election to redeem the Notes in respect of such Change in Tax Law pursuant to Section 14.03(g), the Company shall be obligated to pay Additional Amounts, if any, with respect to such conversion.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Subject to the applicable procedures of DTC in the case of Global Notes, a Holder electing to not have its Notes redeemed must deliver to the Paying Agent a written notice of election so as to be received by the Paying Agent no later than the close of business on the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second Scheduled Trading Day immediately preceding the Tax Redemption Date; </w:t>
      </w:r>
      <w:r>
        <w:rPr>
          <w:rFonts w:ascii="Times New Roman;Times;serif" w:hAnsi="Times New Roman;Times;serif"/>
          <w:i/>
          <w:sz w:val="20"/>
        </w:rPr>
        <w:t xml:space="preserve">provided </w:t>
      </w:r>
      <w:r>
        <w:rPr>
          <w:rFonts w:ascii="Times New Roman;Times;serif" w:hAnsi="Times New Roman;Times;serif"/>
          <w:sz w:val="20"/>
        </w:rPr>
        <w:t>that, a Holder that complies with the requirements for conversion in Section 14.02(b) shall be deemed to have delivered a notice of its election to not have its Notes so redeemed. A Holder may withdraw any notice of election (other than such a deemed notice of election in connection with a conversion) by delivering to the Paying Agent a written notice of withdrawal prior to the close of business on the second Scheduled Trading Day immediately preceding the Tax Redemption Date (or, if the Company fails to pay the Redemption Price on the Tax Redemption Date, such later date on which the Company pays the Redemption Price). If no election is made or deemed to have been made, the Holder shall have its Notes redeemed without any further action.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Notes may be redeemed by the Company or its successor if the principal amount of the Notes has been accelerated, and such acceleration has not been rescinded, on or prior to the Tax Redemption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16.02 </w:t>
      </w:r>
      <w:r>
        <w:rPr>
          <w:rFonts w:ascii="Times New Roman;Times;serif" w:hAnsi="Times New Roman;Times;serif"/>
          <w:i/>
          <w:sz w:val="20"/>
        </w:rPr>
        <w:t>Optional Redemption by the Company</w:t>
      </w:r>
      <w:r>
        <w:rPr>
          <w:rFonts w:ascii="Times New Roman;Times;serif" w:hAnsi="Times New Roman;Times;serif"/>
          <w:sz w:val="20"/>
        </w:rPr>
        <w:t>. The Company may not redeem the Notes prior to October 22, 2028, except under the circumstances described in Section 16.01 and Section 16.03.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On or after October 22, 2028 and prior to the 20</w:t>
      </w:r>
      <w:r>
        <w:rPr>
          <w:rFonts w:ascii="Times New Roman;Times;serif" w:hAnsi="Times New Roman;Times;serif"/>
          <w:sz w:val="15"/>
        </w:rPr>
        <w:t>th</w:t>
      </w:r>
      <w:r>
        <w:rPr>
          <w:rFonts w:ascii="Times New Roman;Times;serif" w:hAnsi="Times New Roman;Times;serif"/>
          <w:sz w:val="20"/>
        </w:rPr>
        <w:t xml:space="preserve"> Scheduled Trading Day immediately prior to the Maturity Date, the Company may redeem for cash all or part of the Notes, at its option (such redemption, an “</w:t>
      </w:r>
      <w:r>
        <w:rPr>
          <w:rFonts w:ascii="Times New Roman;Times;serif" w:hAnsi="Times New Roman;Times;serif"/>
          <w:b/>
          <w:sz w:val="20"/>
        </w:rPr>
        <w:t>Optional Redemption</w:t>
      </w:r>
      <w:r>
        <w:rPr>
          <w:rFonts w:ascii="Times New Roman;Times;serif" w:hAnsi="Times New Roman;Times;serif"/>
          <w:sz w:val="20"/>
        </w:rPr>
        <w:t>”), if the Last Reported Sale Price of the ADSs has been at least 130% of the Conversion Price then in effect on (i) each of at least 20 Trading Days (whether or not consecutive) during the period of 30 consecutive Trading Days ending on, and including, the Trading Day immediately prior to the date the Company provides notice of redemption and (ii) the Trading Day immediately preceding the date the Company sends such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In case the Company exercises its option to redeem all or, as the case may be, any part of the Note, it shall fix a date for redemption (the “</w:t>
      </w:r>
      <w:r>
        <w:rPr>
          <w:rFonts w:ascii="Times New Roman;Times;serif" w:hAnsi="Times New Roman;Times;serif"/>
          <w:b/>
          <w:sz w:val="20"/>
        </w:rPr>
        <w:t>Optional Redemption Date</w:t>
      </w:r>
      <w:r>
        <w:rPr>
          <w:rFonts w:ascii="Times New Roman;Times;serif" w:hAnsi="Times New Roman;Times;serif"/>
          <w:sz w:val="20"/>
        </w:rPr>
        <w:t>”) and shall give the Holders, Trustee, Conversion Agent, Paying Agent and each Holder of the Notes not less than 30 Scheduled Trading Days’ but no more than 40 Scheduled Trading Days’ notice (an “</w:t>
      </w:r>
      <w:r>
        <w:rPr>
          <w:rFonts w:ascii="Times New Roman;Times;serif" w:hAnsi="Times New Roman;Times;serif"/>
          <w:b/>
          <w:sz w:val="20"/>
        </w:rPr>
        <w:t>Optional Redemption Notice</w:t>
      </w:r>
      <w:r>
        <w:rPr>
          <w:rFonts w:ascii="Times New Roman;Times;serif" w:hAnsi="Times New Roman;Times;serif"/>
          <w:sz w:val="20"/>
        </w:rPr>
        <w:t>”) prior to the Optional Redemption Date, and the redemption price will be equal to 100% of the principal amount of the Notes to be redeemed (the “</w:t>
      </w:r>
      <w:r>
        <w:rPr>
          <w:rFonts w:ascii="Times New Roman;Times;serif" w:hAnsi="Times New Roman;Times;serif"/>
          <w:b/>
          <w:sz w:val="20"/>
        </w:rPr>
        <w:t>Optional Redemption Price</w:t>
      </w:r>
      <w:r>
        <w:rPr>
          <w:rFonts w:ascii="Times New Roman;Times;serif" w:hAnsi="Times New Roman;Times;serif"/>
          <w:sz w:val="20"/>
        </w:rPr>
        <w:t>”), plus accrued and unpaid interest, if any, to, but excluding, the Optional Redemption Date (unless the Optional Redemption Date falls after a Regular Record Date but on or prior to the immediately succeeding Interest Payment Date, in which case the Company shall pay on the Interest Payment Date the full amount of accrued and unpaid interest, if any, to the holder of record as of the close of business on such Regular Record Date, and the Optional Redemption Price shall be equal to 100% of the principal amount of the Notes to be redeemed). The Optional Redemption Date must be a Business Day. The Company shall send to each Holder (with a copy to the Trustee and the Conversion Agent (if other than the Trustee)) a written Optional Redemption Notice containing certain information set forth in this Indenture, including:</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Optional Redemption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the Optional Redemption Price;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the Settlement Method that will apply to all conversions with a Conversion Date that occurs on or after the date the Company sends such Optional Redemption Notice and before the close of business on the second Scheduled Trading Day immediately before the related Optional Redemption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that on the Optional Redemption Date, the Optional Redemption Price will become due and payable for each Note to be redeemed, and that interest thereon, if any, shall cease to accrue on and after the Optional Redemption Date unless the Company defaults in the payment of the Optional Redemption Price;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the place or places where the Notes subject to such redemption are to be surrendered for payment of the Optional Redemption Price;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that Holders may surrender Notes for conversion at any time prior to the close of business on the second Scheduled Trading Day prior to the Optional Redemption Date (unless the Company fails to pay the Optional Redemption Price, in which case a Holder of Notes may convert such Notes until the Scheduled Trading Day immediately preceding the date on which the Optional Redemption Price has been paid or duly provided for);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w:t>
      </w:r>
      <w:r>
        <w:rPr>
          <w:rFonts w:ascii="Times New Roman;Times;serif" w:hAnsi="Times New Roman;Times;serif"/>
          <w:sz w:val="20"/>
        </w:rPr>
        <w:t>the Conversion Rate and, if applicable, the number of Additional ADSs added to the Conversion Rate in accordance with Section 14.03;</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(viii)</w:t>
      </w:r>
      <w:r>
        <w:rPr>
          <w:rFonts w:ascii="Times New Roman;Times;serif" w:hAnsi="Times New Roman;Times;serif"/>
          <w:sz w:val="20"/>
        </w:rPr>
        <w:t>the CUSIP, ISIN or other similar numbers, if any, assigned to such Notes and that no representation is made as to the correctness or accuracy of the CUSIP or ISIN number listed in such notice or printed on the Notes;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(ix)</w:t>
      </w:r>
      <w:r>
        <w:rPr>
          <w:rFonts w:ascii="Times New Roman;Times;serif" w:hAnsi="Times New Roman;Times;serif"/>
          <w:sz w:val="20"/>
        </w:rPr>
        <w:t>in case any Note is to be redeemed in part only, the portion of the principal amount thereof to be redeemed, and that upon surrender of such Note, a new Note in principal amount equal to the unredeemed portion thereof shall be issued.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An Optional Redemption Notice shall be irrevocable. At the Company’s prior written request, the Trustee shall give the Optional Redemption Notice in the Company’s name and at its expense;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the Company shall have delivered to the Trustee not later than the close of business five Scheduled Trading Day prior to the date the Optional Redemption Notice is to be sent (unless a shorter period shall be satisfactory to the Trustee), an Officer’s Certificate and a Company Order requesting that the Trustee give such Optional Redemption Notice together with the Optional Redemption Notice to be given setting forth the information to be stated therein as provided in the preceding paragraph. The Optional Redemption Notice, if given in the manner herein provided, shall be conclusively presumed to have been duly given, whether or not the Holder receives such notice. In any case, failure to give such Optional Redemption Notice or any defect in the Optional Redemption Notice to the Holder of any Note designated for redemption as a whole or in part shall not affect the validity of the proceedings for the Optional Redemption of any other Note.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the Company decides to redeem fewer than all of the outstanding Notes, the Notes to be redeemed will be selected (x) in the case of a certificated Note, by the Trustee (in principal amounts of $1,000 or multiples thereof) by lot, on a pro rata basis or by another method the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Trustee considers to be appropriate and, (y) in the case of a Global Note, in accordance with, and subject to, DTC’s applicable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 portion of a Holder’s Notes is selected for partial redemption and such Holder converts a portion of such Notes, the converted portion shall be deemed to be from the portion selected for redemption. In the event of any redemption in part, the Company shall not be required to register the transfer of or exchange any Note so selected for redemption, in whole or in part, except the unredeemed portion of any such Note being redeemed in part.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Notes may be redeemed if the principal amount of the Notes has been accelerated, and such acceleration has not been rescinded, on or prior to the Optional Redemption Date (except in the case of an acceleration resulting from a default by the Company in the payment of the Redemption Price with respect to such Notes).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16.03 </w:t>
      </w:r>
      <w:r>
        <w:rPr>
          <w:rFonts w:ascii="Times New Roman;Times;serif" w:hAnsi="Times New Roman;Times;serif"/>
          <w:i/>
          <w:sz w:val="20"/>
        </w:rPr>
        <w:t>Cleanup Redemption</w:t>
      </w:r>
      <w:r>
        <w:rPr>
          <w:rFonts w:ascii="Times New Roman;Times;serif" w:hAnsi="Times New Roman;Times;serif"/>
          <w:sz w:val="20"/>
        </w:rPr>
        <w:t>. (a) The Company may redeem for cash all but not part of the Notes at any time, on a redemption date (the “</w:t>
      </w:r>
      <w:r>
        <w:rPr>
          <w:rFonts w:ascii="Times New Roman;Times;serif" w:hAnsi="Times New Roman;Times;serif"/>
          <w:b/>
          <w:sz w:val="20"/>
        </w:rPr>
        <w:t>Cleanup Redemption Date</w:t>
      </w:r>
      <w:r>
        <w:rPr>
          <w:rFonts w:ascii="Times New Roman;Times;serif" w:hAnsi="Times New Roman;Times;serif"/>
          <w:sz w:val="20"/>
        </w:rPr>
        <w:t>”) at any time, if less than 10% of the aggregate principal amount of Notes originally issued remains outstanding at such time (including, for the avoidance of doubt, all Notes previously surrendered to the Company pursuant to Section 14.13 (</w:t>
      </w:r>
      <w:r>
        <w:rPr>
          <w:rFonts w:ascii="Times New Roman;Times;serif" w:hAnsi="Times New Roman;Times;serif"/>
          <w:i/>
          <w:sz w:val="20"/>
        </w:rPr>
        <w:t>Exchange In Lieu of Conversion</w:t>
      </w:r>
      <w:r>
        <w:rPr>
          <w:rFonts w:ascii="Times New Roman;Times;serif" w:hAnsi="Times New Roman;Times;serif"/>
          <w:sz w:val="20"/>
        </w:rPr>
        <w:t>) (such redemption, a “</w:t>
      </w:r>
      <w:r>
        <w:rPr>
          <w:rFonts w:ascii="Times New Roman;Times;serif" w:hAnsi="Times New Roman;Times;serif"/>
          <w:b/>
          <w:sz w:val="20"/>
        </w:rPr>
        <w:t>Cleanup Redemption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In the case of any Cleanup Redemption, the Company shall give the Trustee, the Conversion Agent (if other than the Trustee) and each Holder of the Notes not less than 30 Scheduled Trading Days’ but no more than 40 Scheduled Trading Days’ written notice (a “</w:t>
      </w:r>
      <w:r>
        <w:rPr>
          <w:rFonts w:ascii="Times New Roman;Times;serif" w:hAnsi="Times New Roman;Times;serif"/>
          <w:b/>
          <w:sz w:val="20"/>
        </w:rPr>
        <w:t>Cleanup Redemption Notice</w:t>
      </w:r>
      <w:r>
        <w:rPr>
          <w:rFonts w:ascii="Times New Roman;Times;serif" w:hAnsi="Times New Roman;Times;serif"/>
          <w:sz w:val="20"/>
        </w:rPr>
        <w:t>”) prior to the Cleanup Redemption Date, and the Redemption Price will be equal to 100% of the principal amount of the Notes to be redeemed (the “</w:t>
      </w:r>
      <w:r>
        <w:rPr>
          <w:rFonts w:ascii="Times New Roman;Times;serif" w:hAnsi="Times New Roman;Times;serif"/>
          <w:b/>
          <w:sz w:val="20"/>
        </w:rPr>
        <w:t>Cleanup Redemption Price</w:t>
      </w:r>
      <w:r>
        <w:rPr>
          <w:rFonts w:ascii="Times New Roman;Times;serif" w:hAnsi="Times New Roman;Times;serif"/>
          <w:sz w:val="20"/>
        </w:rPr>
        <w:t>”), plus accrued and unpaid interest, if any, to, but excluding, the Cleanup Redemption Date (unless the Cleanup Redemption Date falls after a Regular Record Date but on or prior to the immediately succeeding Interest Payment Date, in which case the Company shall pay on the Interest Payment Date the full amount of accrued and unpaid interest, if any, to the holder of record as of the close of business on such Regular Record Date, and the Redemption Price shall be equal to 100% of the principal amount of the Notes to be redeemed). The Cleanup Redemption Date must be a Business Day. The Company shall send to each Holder, the Trustee and the Conversion Agent (if other than the Trustee) a written Cleanup Redemption Notice containing certain information set forth in this Indenture, including:</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Cleanup Redemption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the Redemption Price;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the Settlement Method that will apply to all conversions with a Conversion Date that occurs on or after the date the Company sends such Cleanup Redemption Notice and before the close of business on the second Scheduled Trading Day immediately before the related Cleanup Redemption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that on the Cleanup Redemption Date, the Redemption Price will become due and payable for each Note to be redeemed, and that interest thereon, if any, shall</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cease to accrue on and after the Cleanup Redemption Date unless the Company defaults in the payment of the Redemption Price;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the place or places where the Notes subject to such redemption are to be surrendered for payment of the Redemption Price;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that Holders may surrender Notes for conversion at any time prior to the close of business on the second Scheduled Trading Day prior to the Cleanup Redemption Date (unless the Company fails to pay the Redemption Price, in which case a Holder of Notes may convert such Notes until the Scheduled Trading Day immediately preceding the date on which the Redemption Price has been paid or duly provided for);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w:t>
      </w:r>
      <w:r>
        <w:rPr>
          <w:rFonts w:ascii="Times New Roman;Times;serif" w:hAnsi="Times New Roman;Times;serif"/>
          <w:sz w:val="20"/>
        </w:rPr>
        <w:t>the Conversion Rate and, if applicable, the number of Additional ADSs added to the Conversion Rate in accordance with Section 14.03;</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(viii)</w:t>
      </w:r>
      <w:r>
        <w:rPr>
          <w:rFonts w:ascii="Times New Roman;Times;serif" w:hAnsi="Times New Roman;Times;serif"/>
          <w:sz w:val="20"/>
        </w:rPr>
        <w:t>the CUSIP, ISIN or other similar numbers, if any, assigned to such Notes and that no representation is made as to the correctness or accuracy of the CUSIP or ISIN number listed in such notice or printed on the Notes;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(ix)</w:t>
      </w:r>
      <w:r>
        <w:rPr>
          <w:rFonts w:ascii="Times New Roman;Times;serif" w:hAnsi="Times New Roman;Times;serif"/>
          <w:sz w:val="20"/>
        </w:rPr>
        <w:t>in case any Note is to be redeemed in part only, the portion of the principal amount thereof to be redeemed, and that upon surrender of such Note, a new Note in principal amount equal to the unredeemed portion thereof shall be issued.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 Cleanup Redemption Notice shall be irrevocable. At the Company’s prior written request, the Trustee shall give the Cleanup Redemption Notice in the Company’s name and at its expense;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the Company shall have delivered to the Trustee not later than the close of business five Scheduled Trading Day prior to the date the Cleanup Redemption Notice is to be sent (unless a shorter period shall be satisfactory to the Trustee), an Officer’s Certificate and a Company Order requesting that the Trustee give such Cleanup Redemption Notice together with the Cleanup Redemption Notice to be given setting forth the information to be stated therein as provided in the preceding paragraph. The Cleanup Redemption Notice, if given in the manner herein provided, shall be conclusively presumed to have been duly given, whether or not the Holder receives such notice. In any case, failure to give such Cleanup Redemption Notice or any defect in the Cleanup Redemption Notice to the Holder of any Note designated for redemption as a whole or in part shall not affect the validity of the proceedings for the Cleanup Redemption of any other Note.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Notes may be redeemed if the principal amount of the Notes has been accelerated, and such acceleration has not been rescinded, on or prior to the Cleanup Redemption Date (except in the case of an acceleration resulting from a default by the Company in the payment of the Redemption Price with respect to such Notes).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ARTICLE 17</w:t>
        <w:br/>
        <w:t>MISCELLANEOUS PROVISIONS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17.01 </w:t>
      </w:r>
      <w:r>
        <w:rPr>
          <w:rFonts w:ascii="Times New Roman;Times;serif" w:hAnsi="Times New Roman;Times;serif"/>
          <w:i/>
          <w:sz w:val="20"/>
        </w:rPr>
        <w:t>Provisions Binding on Company’s Successors</w:t>
      </w:r>
      <w:r>
        <w:rPr>
          <w:rFonts w:ascii="Times New Roman;Times;serif" w:hAnsi="Times New Roman;Times;serif"/>
          <w:sz w:val="20"/>
        </w:rPr>
        <w:t>. All the covenants, stipulations, promises and agreements of the Company contained in this Indenture shall bind its successors and assigns whether so expressed or not.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17.02 </w:t>
      </w:r>
      <w:r>
        <w:rPr>
          <w:rFonts w:ascii="Times New Roman;Times;serif" w:hAnsi="Times New Roman;Times;serif"/>
          <w:i/>
          <w:sz w:val="20"/>
        </w:rPr>
        <w:t>Official Acts by Successor Corporation</w:t>
      </w:r>
      <w:r>
        <w:rPr>
          <w:rFonts w:ascii="Times New Roman;Times;serif" w:hAnsi="Times New Roman;Times;serif"/>
          <w:sz w:val="20"/>
        </w:rPr>
        <w:t>.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17.03 </w:t>
      </w:r>
      <w:r>
        <w:rPr>
          <w:rFonts w:ascii="Times New Roman;Times;serif" w:hAnsi="Times New Roman;Times;serif"/>
          <w:i/>
          <w:sz w:val="20"/>
        </w:rPr>
        <w:t xml:space="preserve">Addresses for Notices, Etc. </w:t>
      </w:r>
      <w:r>
        <w:rPr>
          <w:rFonts w:ascii="Times New Roman;Times;serif" w:hAnsi="Times New Roman;Times;serif"/>
          <w:sz w:val="20"/>
        </w:rPr>
        <w:t>Any notice or demand that by any provision of this Indenture is required or permitted to be given or served by the Trustee or by the Holders on the Company shall be deemed to have been sufficiently given or made, for all purposes if given or served by being deposited postage prepaid by registered or certified mail in a post office letter box addressed (until another address is filed by the Company with the Trustee) to Building 20, No. 56 AnTuo Road, Jiading District, Shanghai, 201804, People’s Republic of China, Facsimile No.: +86 (21) 3913 0192. Any notice, direction, request or demand hereunder to or upon the Trustee shall be given or served by being deposited postage prepaid by registered or certified mail in a post office letter box addressed to Deutsche Bank Trust Company Americas, Trust and Agency Services, 1 Columbus Circle , 17th Floor, Mail Stop: NYC01-1710, New York, New York 10019, Attn: Corporates Team, NIO INC. Deal ID AA5802, Facsimile: (732) 578-4635.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notices and other communications under this Indenture shall be in writing in English.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So long as and to the extent that the Notes are represented by Global Notes and such Global Notes are held by DTC, notices to owners of beneficial interests in the Global Notes may be given by delivery of the relevant notice to DTC for communication by it to entitled account holders in accordance with DTC’s applicable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hereby acknowledges that it is fully aware of the risks associated with transmitting instructions via electronic methods (including facsimile), and being aware of these risks, authorizes the Trustee to accept and act upon any instruction sent to it or any Paying Agent, Transfer Agent, Conversion Agent or Note Registrar in the Company’s name or in the name of one or more appropriate authorized signers of the Company via electronic methods (including facsimile). The Trustee shall be entitled to rely on Section 7.06 of this Indenture when accepting or acting upon any instructions, communications or documents transmitted by facsimile, and shall not be liable in the event any facsimile transmission is not received, or is mutilated, illegible, interrupted, duplicated, incomplete, unauthorized or delayed for any reason, including (but not limited to) electronic or telecommunications failure.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notwithstanding the above, if any Trustee receives information or instructions delivered by electronic mail, other electronic method or other unsecured method of communication believed by it to be genuine and to have been sent by the proper person or persons, the Trustee or any Paying Agent, Transfer Agent, Conversion Agent or Note Registrar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shall have (i) no duty or obligation to verify or confirm that the person who sent such instructions is in fact a person authorized to give instructions or directions on behalf of the Company and (ii) absent its or their gross negligence or willful misconduct, no liability for any losses, liabilities, costs or expenses incurred or sustained by any holder, the Company or any other person as a result of such reliance on or compliance with such information or instructions.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Trustee, by notice to the Company, may designate additional or different addresses for subsequent notices or communications.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notice or communication mailed to a Holder shall be mailed to it by first class mail, postage prepaid, at its address as it appears on the Note Register and shall be sufficiently given to it if so mailed within the time prescribed.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Failure to mail a notice or communication to a Holder or any defect in it shall not affect its sufficiency with respect to other Holders. If a notice or communication is mailed in the manner provided above, it is duly given, whether or not the addressee receives it.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17.04 </w:t>
      </w:r>
      <w:r>
        <w:rPr>
          <w:rFonts w:ascii="Times New Roman;Times;serif" w:hAnsi="Times New Roman;Times;serif"/>
          <w:i/>
          <w:sz w:val="20"/>
        </w:rPr>
        <w:t>Governing Law; Jurisdiction</w:t>
      </w:r>
      <w:r>
        <w:rPr>
          <w:rFonts w:ascii="Times New Roman;Times;serif" w:hAnsi="Times New Roman;Times;serif"/>
          <w:sz w:val="20"/>
        </w:rPr>
        <w:t>. THIS INDENTURE AND EACH NOTE, AND ANY CLAIM, CONTROVERSY OR DISPUTE ARISING UNDER OR RELATED TO THIS INDENTURE AND EACH NOTE, SHALL BE GOVERNED BY, AND CONSTRUED IN ACCORDANCE WITH, THE LAWS OF THE STATE OF NEW YORK.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Times New Roman;Times;serif" w:hAnsi="Times New Roman;Times;serif"/>
          <w:i/>
          <w:sz w:val="20"/>
        </w:rPr>
        <w:t>in personam</w:t>
      </w:r>
      <w:r>
        <w:rPr>
          <w:rFonts w:ascii="Times New Roman;Times;serif" w:hAnsi="Times New Roman;Times;serif"/>
          <w:sz w:val="20"/>
        </w:rPr>
        <w:t>, generally and unconditionally with respect to any action, suit or proceeding for itself in respect of its properties, assets and revenues.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17.05 </w:t>
      </w:r>
      <w:r>
        <w:rPr>
          <w:rFonts w:ascii="Times New Roman;Times;serif" w:hAnsi="Times New Roman;Times;serif"/>
          <w:i/>
          <w:sz w:val="20"/>
        </w:rPr>
        <w:t>Submission to Jurisdiction; Service of Process</w:t>
      </w:r>
      <w:r>
        <w:rPr>
          <w:rFonts w:ascii="Times New Roman;Times;serif" w:hAnsi="Times New Roman;Times;serif"/>
          <w:sz w:val="20"/>
        </w:rPr>
        <w:t>. The Company irrevocably appoints Cogency Global Inc.as its authorized agent in the Borough of Manhattan in the City of New York upon which process may be served in any such suit or proceeding, and agrees that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service of process upon such agent, and written notice of said service to the Company by the person serving the same to Building 20, No. 56 AnTuo Road, Jiading District, Shanghai, 201804, People’s Republic of China, Facsimile No. +86 (21) 3913 0192, shall be deemed in every respect effective service of process upon the Company in any such suit or proceeding. The Company further agrees to take any and all action as may be necessary to maintain such designation and appointment of such agent in full force and effect for a period of eight years from the date of this Indenture. If for any reason such agent shall cease to be such agent for service of process, the Company shall forthwith appoint a new agent of recognized standing for service of process in the State of New York and deliver to the Trustee a copy of the new agent’s acceptance of that appointment within ten Business Days of such acceptance. Nothing herein shall affect the right of the Trustee, any Agent or any Holder to serve process in any other manner permitted by law or to commence legal proceedings or otherwise proceed against the Company in any other court of competent jurisdiction. To the extent that the Company has or hereafter may acquire any sovereign or other immunity from jurisdiction of any court or from any legal process with respect to itself or its property, the Company irrevocably waives such immunity in respect of its obligations hereunder or under any Note.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17.06 </w:t>
      </w:r>
      <w:r>
        <w:rPr>
          <w:rFonts w:ascii="Times New Roman;Times;serif" w:hAnsi="Times New Roman;Times;serif"/>
          <w:i/>
          <w:sz w:val="20"/>
        </w:rPr>
        <w:t>Evidence of Compliance with Conditions Precedent; Certificates and Opinions of Counsel to Trustee</w:t>
      </w:r>
      <w:r>
        <w:rPr>
          <w:rFonts w:ascii="Times New Roman;Times;serif" w:hAnsi="Times New Roman;Times;serif"/>
          <w:sz w:val="20"/>
        </w:rPr>
        <w:t>. Upon any application or demand by the Company to the Trustee to take any action under any of the provisions of this Indenture, the Company shall, if requested by the Trustee, furnish to the Trustee an Officers’ Certificate and Opinion of Counsel stating that such action is permitted by the terms of this Indenture. For the avoidance of doubt, no Opinion of Counsel shall be delivered to the Trustee on the date of this Indenture in connection with the original issuance of the initial Global Notes.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Each Officers’ Certificate provided for, by or on behalf of the Company in this Indenture and delivered to the Trustee with respect to compliance with this Indenture (other than the Officers’ Certificates provided for in Section 4.09) shall include (a) a statement that the person making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17.07 </w:t>
      </w:r>
      <w:r>
        <w:rPr>
          <w:rFonts w:ascii="Times New Roman;Times;serif" w:hAnsi="Times New Roman;Times;serif"/>
          <w:i/>
          <w:sz w:val="20"/>
        </w:rPr>
        <w:t>Legal Holidays</w:t>
      </w:r>
      <w:r>
        <w:rPr>
          <w:rFonts w:ascii="Times New Roman;Times;serif" w:hAnsi="Times New Roman;Times;serif"/>
          <w:sz w:val="20"/>
        </w:rPr>
        <w:t>. In any case where any Interest Payment Date, Tax Redemption Date, Optional Redemption Date, Cleanup Redemption Date, Fundamental Change Repurchase Date, Conversion Date, Repurchase Date or Maturity Date is not a Business Day, then any action to be taken on such date need not be taken on such date, but may be taken on the next succeeding Business Day with the same force and effect as if taken on such date, and no interest shall accrue in respect of the delay.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17.08 </w:t>
      </w:r>
      <w:r>
        <w:rPr>
          <w:rFonts w:ascii="Times New Roman;Times;serif" w:hAnsi="Times New Roman;Times;serif"/>
          <w:i/>
          <w:sz w:val="20"/>
        </w:rPr>
        <w:t>No Security Interest Created</w:t>
      </w:r>
      <w:r>
        <w:rPr>
          <w:rFonts w:ascii="Times New Roman;Times;serif" w:hAnsi="Times New Roman;Times;serif"/>
          <w:sz w:val="20"/>
        </w:rPr>
        <w:t>. Nothing in this Indenture or in the Notes, expressed or implied, shall be construed to constitute a security interest under the Uniform Commercial Code or similar legislation, as now or hereafter enacted and in effect, in any jurisdiction.</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17.09 </w:t>
      </w:r>
      <w:r>
        <w:rPr>
          <w:rFonts w:ascii="Times New Roman;Times;serif" w:hAnsi="Times New Roman;Times;serif"/>
          <w:i/>
          <w:sz w:val="20"/>
        </w:rPr>
        <w:t>Benefits of Indenture</w:t>
      </w:r>
      <w:r>
        <w:rPr>
          <w:rFonts w:ascii="Times New Roman;Times;serif" w:hAnsi="Times New Roman;Times;serif"/>
          <w:sz w:val="20"/>
        </w:rPr>
        <w:t>. Nothing in this Indenture or in the Notes, expressed or implied, shall give to any Person, other than the Holders, the parties hereto, any Paying Agent, any Conversion Agent, any Note Registrar and their successors hereunder, any benefit or any legal or equitable right, remedy or claim under this Indenture.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17.10 </w:t>
      </w:r>
      <w:r>
        <w:rPr>
          <w:rFonts w:ascii="Times New Roman;Times;serif" w:hAnsi="Times New Roman;Times;serif"/>
          <w:i/>
          <w:sz w:val="20"/>
        </w:rPr>
        <w:t xml:space="preserve">Table of Contents, Headings, Etc. </w:t>
      </w:r>
      <w:r>
        <w:rPr>
          <w:rFonts w:ascii="Times New Roman;Times;serif" w:hAnsi="Times New Roman;Times;serif"/>
          <w:sz w:val="20"/>
        </w:rPr>
        <w:t>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17.11 </w:t>
      </w:r>
      <w:r>
        <w:rPr>
          <w:rFonts w:ascii="Times New Roman;Times;serif" w:hAnsi="Times New Roman;Times;serif"/>
          <w:i/>
          <w:sz w:val="20"/>
        </w:rPr>
        <w:t>Execution in Counterparts</w:t>
      </w:r>
      <w:r>
        <w:rPr>
          <w:rFonts w:ascii="Times New Roman;Times;serif" w:hAnsi="Times New Roman;Times;serif"/>
          <w:sz w:val="20"/>
        </w:rPr>
        <w:t>. This Indenture may be executed in any number of counterparts, each of which shall be an original, but such counterparts shall together constitute but one and the same instrument.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Facsimile, documents executed, scanned and transmitted electronically and electronic signatures, including those created or transmitted through a software platform or application, shall be deemed original signatures for purposes of this Indenture and all other related documents and all matters and agreements related thereto, with such facsimile, scanned and electronic signatures having the same legal effect as original signatures. The parties agree that this Indenture or any other related document or any instrument, agreement or document necessary for the consummation of the transactions contemplated by this Indenture or the other related documents or related hereto or thereto (including, without limitation, addendums, amendments, notices, instructions, communications with respect to the delivery of securities or the wire transfer of funds or other communications) (“</w:t>
      </w:r>
      <w:r>
        <w:rPr>
          <w:rFonts w:ascii="Times New Roman;Times;serif" w:hAnsi="Times New Roman;Times;serif"/>
          <w:b/>
          <w:sz w:val="20"/>
        </w:rPr>
        <w:t>Executed Documentation</w:t>
      </w:r>
      <w:r>
        <w:rPr>
          <w:rFonts w:ascii="Times New Roman;Times;serif" w:hAnsi="Times New Roman;Times;serif"/>
          <w:sz w:val="20"/>
        </w:rPr>
        <w:t>”) may be accepted, executed or agreed to through the use of an electronic signature in accordance with applicable laws, rules and regulations in effect from time to time applicable to the effectiveness and enforceability of electronic signatures. Any Executed Documentation accepted, executed or agreed to in conformity with such laws, rules and regulations will be binding on all parties hereto to the same extent as if it were physically executed and each party hereby consents to the use of any third party electronic signature capture service providers as may be reasonably chosen by a signatory hereto or thereto. When the Trustee or an Agent acts on any Executed Documentation sent by electronic transmission, the Trustee or Agent will not be responsible or liable for any losses, costs or expenses arising directly or indirectly from its reliance upon and compliance with such Executed Documentation, notwithstanding that such Executed Documentation (a) may not be an authorized or authentic communication of the party involved or in the form such party sent or intended to send (whether due to fraud, distortion or otherwise) or (b) may conflict with, or be inconsistent with, a subsequent written instruction or communication; it being understood and agreed that the Trustee and each Agent shall conclusively presume that Executed Documentation that purports to have been sent by an authorized officer of a Person has been sent by an authorized officer of such Person. The party providing Executed Documentation through electronic transmission or otherwise with electronic signatures agrees to assume all risks arising out of such electronic methods, including, without limitation, the risk of the Trustee or an Agent acting on unauthorized instructions and the risk of interception and misuse by third parties.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17.12 </w:t>
      </w:r>
      <w:r>
        <w:rPr>
          <w:rFonts w:ascii="Times New Roman;Times;serif" w:hAnsi="Times New Roman;Times;serif"/>
          <w:i/>
          <w:sz w:val="20"/>
        </w:rPr>
        <w:t>Severability</w:t>
      </w:r>
      <w:r>
        <w:rPr>
          <w:rFonts w:ascii="Times New Roman;Times;serif" w:hAnsi="Times New Roman;Times;serif"/>
          <w:sz w:val="20"/>
        </w:rPr>
        <w:t>. In the event any provision of this Indenture or in the Notes shall be invalid, illegal or unenforceable, then (to the extent permitted by law) the validity,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legality or enforceability of the remaining provisions shall not in any way be affected or impaired.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17.13 </w:t>
      </w:r>
      <w:r>
        <w:rPr>
          <w:rFonts w:ascii="Times New Roman;Times;serif" w:hAnsi="Times New Roman;Times;serif"/>
          <w:i/>
          <w:sz w:val="20"/>
        </w:rPr>
        <w:t>Waiver of Jury Trial</w:t>
      </w:r>
      <w:r>
        <w:rPr>
          <w:rFonts w:ascii="Times New Roman;Times;serif" w:hAnsi="Times New Roman;Times;serif"/>
          <w:sz w:val="20"/>
        </w:rPr>
        <w:t>. EACH OF THE COMPANY AND THE TRUSTEE HEREBY IRREVOCABLY WAIVES, AND EACH HOLDER, BY ITS ACCEPTANCE OF A NOTE OR A BENEFICIAL INTEREST IN A GLOBAL NOTE, AS APPLICABLE, SHALL BE DEEMED TO HAVE WAIVED, TO THE FULLEST EXTENT PERMITTED BY APPLICABLE LAW, ANY AND ALL RIGHT TO TRIAL BY JURY IN ANY LEGAL PROCEEDING ARISING OUT OF OR RELATING TO THIS INDENTURE, THE NOTES OR THE TRANSACTIONS CONTEMPLATED HEREBY.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17.14 </w:t>
      </w:r>
      <w:r>
        <w:rPr>
          <w:rFonts w:ascii="Times New Roman;Times;serif" w:hAnsi="Times New Roman;Times;serif"/>
          <w:i/>
          <w:sz w:val="20"/>
        </w:rPr>
        <w:t>Force Majeure</w:t>
      </w:r>
      <w:r>
        <w:rPr>
          <w:rFonts w:ascii="Times New Roman;Times;serif" w:hAnsi="Times New Roman;Times;serif"/>
          <w:sz w:val="20"/>
        </w:rPr>
        <w:t>. In no event shall the Trustee or the Agents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pandemics, epidemics and wide spread health crisis, or acts of God, and interruptions, loss or malfunctions of utilities, communications or computer (software and hardware) services; it being understood that the Trustee or the Agents, as the case may be, shall use reasonable efforts that are consistent with accepted practices in the banking industry to resume performance as soon as practicable under the circumstances.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17.15 </w:t>
      </w:r>
      <w:r>
        <w:rPr>
          <w:rFonts w:ascii="Times New Roman;Times;serif" w:hAnsi="Times New Roman;Times;serif"/>
          <w:i/>
          <w:sz w:val="20"/>
        </w:rPr>
        <w:t>Calculations</w:t>
      </w:r>
      <w:r>
        <w:rPr>
          <w:rFonts w:ascii="Times New Roman;Times;serif" w:hAnsi="Times New Roman;Times;serif"/>
          <w:sz w:val="20"/>
        </w:rPr>
        <w:t>. Except as otherwise provided herein, the Company shall be responsible for making all calculations called for under the Notes or in connection with a conversion. These calculations include, but are not limited to, determinations of the Last Reported Sale Prices of the ADSs, the Daily VWAPs, the Daily Conversion Values, the Daily Settlement Amounts, any accrued interest, if any, payable on the Notes, the number of Additional ADSs to be added to the Conversion Rate upon a Make-Whole Fundamental Change, if any, the Conversion Rate of the Notes and any adjustments thereto. The Company shall make all these calculations in good faith and, absent manifest error, the Company’s calculations shall be final and binding on Holders. The Company shall provide a schedule of its calculations to each of the Trustee, the Paying Agent and the Conversion Agent, and each of the Trustee, the Paying Agent and the Conversion Agent is entitled to rely conclusively and without liability upon the accuracy of the Company’s calculations without independent verification. The Trustee will forward the Company’s calculations to any registered Holder of Notes upon the prior written request of that Holder at the sole cost and expense of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17.16 </w:t>
      </w:r>
      <w:r>
        <w:rPr>
          <w:rFonts w:ascii="Times New Roman;Times;serif" w:hAnsi="Times New Roman;Times;serif"/>
          <w:i/>
          <w:sz w:val="20"/>
        </w:rPr>
        <w:t>Patriot Act</w:t>
      </w:r>
      <w:r>
        <w:rPr>
          <w:rFonts w:ascii="Times New Roman;Times;serif" w:hAnsi="Times New Roman;Times;serif"/>
          <w:sz w:val="20"/>
        </w:rPr>
        <w:t>. 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(“Applicable Law”), the Trustee is are required to obtain, verify, record and update certain information relating to individuals and entities which maintain a business relationship with the Trustee. Accordingly, each of the parties agree to provide to the Trustee, upon their request from time to time such identifying information and documentation as may be available for such party in order to enable the Trustee to comply with Applicable Law.</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Remainder of page intentionally left blank</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parties hereto have caused this Indenture to be duly executed as of the date first above written.</w:t>
      </w:r>
    </w:p>
    <w:tbl>
      <w:tblPr>
        <w:tblW w:w="6457" w:type="dxa"/>
        <w:jc w:val="left"/>
        <w:tblInd w:w="0" w:type="dxa"/>
        <w:tblLayout w:type="fixed"/>
        <w:tblCellMar>
          <w:top w:w="0" w:type="dxa"/>
          <w:left w:w="0" w:type="dxa"/>
          <w:bottom w:w="0" w:type="dxa"/>
          <w:right w:w="0" w:type="dxa"/>
        </w:tblCellMar>
      </w:tblPr>
      <w:tblGrid>
        <w:gridCol w:w="124"/>
        <w:gridCol w:w="406"/>
        <w:gridCol w:w="631"/>
        <w:gridCol w:w="5296"/>
      </w:tblGrid>
      <w:tr>
        <w:trPr/>
        <w:tc>
          <w:tcPr>
            <w:tcW w:w="124" w:type="dxa"/>
            <w:tcBorders/>
            <w:vAlign w:val="center"/>
          </w:tcPr>
          <w:p>
            <w:pPr>
              <w:pStyle w:val="TableContents"/>
              <w:bidi w:val="0"/>
              <w:spacing w:before="0" w:after="0"/>
              <w:ind w:left="0" w:right="0" w:hanging="0"/>
              <w:jc w:val="left"/>
              <w:rPr/>
            </w:pPr>
            <w:r>
              <w:rPr/>
              <w:t>​</w:t>
            </w:r>
          </w:p>
        </w:tc>
        <w:tc>
          <w:tcPr>
            <w:tcW w:w="6333"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NIO INC.</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92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92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Bin Li</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52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Bin Li</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 and 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Indenture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529" w:type="dxa"/>
        <w:jc w:val="left"/>
        <w:tblInd w:w="0" w:type="dxa"/>
        <w:tblLayout w:type="fixed"/>
        <w:tblCellMar>
          <w:top w:w="0" w:type="dxa"/>
          <w:left w:w="0" w:type="dxa"/>
          <w:bottom w:w="0" w:type="dxa"/>
          <w:right w:w="0" w:type="dxa"/>
        </w:tblCellMar>
      </w:tblPr>
      <w:tblGrid>
        <w:gridCol w:w="124"/>
        <w:gridCol w:w="482"/>
        <w:gridCol w:w="2923"/>
      </w:tblGrid>
      <w:tr>
        <w:trPr/>
        <w:tc>
          <w:tcPr>
            <w:tcW w:w="124"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DEUTSCHE BANK TRUST COMPANY</w:t>
            </w:r>
          </w:p>
        </w:tc>
      </w:tr>
      <w:tr>
        <w:trPr/>
        <w:tc>
          <w:tcPr>
            <w:tcW w:w="124"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AMERICAS, as Trustee</w:t>
            </w:r>
          </w:p>
        </w:tc>
      </w:tr>
      <w:tr>
        <w:trPr/>
        <w:tc>
          <w:tcPr>
            <w:tcW w:w="124" w:type="dxa"/>
            <w:tcBorders/>
            <w:vAlign w:val="center"/>
          </w:tcPr>
          <w:p>
            <w:pPr>
              <w:pStyle w:val="TableContents"/>
              <w:bidi w:val="0"/>
              <w:spacing w:before="0" w:after="0"/>
              <w:ind w:left="0" w:right="0" w:hanging="0"/>
              <w:jc w:val="left"/>
              <w:rPr/>
            </w:pPr>
            <w:r>
              <w:rPr/>
              <w:t>​</w:t>
            </w:r>
          </w:p>
        </w:tc>
        <w:tc>
          <w:tcPr>
            <w:tcW w:w="482" w:type="dxa"/>
            <w:tcBorders/>
            <w:vAlign w:val="center"/>
          </w:tcPr>
          <w:p>
            <w:pPr>
              <w:pStyle w:val="TableContents"/>
              <w:bidi w:val="0"/>
              <w:spacing w:before="0" w:after="0"/>
              <w:ind w:left="0" w:right="0" w:hanging="0"/>
              <w:jc w:val="left"/>
              <w:rPr/>
            </w:pPr>
            <w:r>
              <w:rPr/>
              <w:t>​</w:t>
            </w:r>
          </w:p>
        </w:tc>
        <w:tc>
          <w:tcPr>
            <w:tcW w:w="2923"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92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Peschler</w:t>
            </w:r>
          </w:p>
        </w:tc>
      </w:tr>
      <w:tr>
        <w:trPr/>
        <w:tc>
          <w:tcPr>
            <w:tcW w:w="124" w:type="dxa"/>
            <w:tcBorders/>
            <w:vAlign w:val="center"/>
          </w:tcPr>
          <w:p>
            <w:pPr>
              <w:pStyle w:val="TableContents"/>
              <w:bidi w:val="0"/>
              <w:spacing w:before="0" w:after="0"/>
              <w:ind w:left="0" w:right="0" w:hanging="0"/>
              <w:jc w:val="left"/>
              <w:rPr/>
            </w:pPr>
            <w:r>
              <w:rPr/>
              <w:t>​</w:t>
            </w:r>
          </w:p>
        </w:tc>
        <w:tc>
          <w:tcPr>
            <w:tcW w:w="482" w:type="dxa"/>
            <w:tcBorders/>
            <w:vAlign w:val="center"/>
          </w:tcPr>
          <w:p>
            <w:pPr>
              <w:pStyle w:val="TableContents"/>
              <w:bidi w:val="0"/>
              <w:spacing w:before="0" w:after="0"/>
              <w:ind w:left="0" w:right="0" w:hanging="0"/>
              <w:jc w:val="left"/>
              <w:rPr/>
            </w:pPr>
            <w:r>
              <w:rPr/>
              <w:t>​</w:t>
            </w:r>
          </w:p>
        </w:tc>
        <w:tc>
          <w:tcPr>
            <w:tcW w:w="292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Robert Peschler</w:t>
            </w:r>
          </w:p>
        </w:tc>
      </w:tr>
      <w:tr>
        <w:trPr/>
        <w:tc>
          <w:tcPr>
            <w:tcW w:w="124" w:type="dxa"/>
            <w:tcBorders/>
            <w:vAlign w:val="center"/>
          </w:tcPr>
          <w:p>
            <w:pPr>
              <w:pStyle w:val="TableContents"/>
              <w:bidi w:val="0"/>
              <w:spacing w:before="0" w:after="0"/>
              <w:ind w:left="0" w:right="0" w:hanging="0"/>
              <w:jc w:val="left"/>
              <w:rPr/>
            </w:pPr>
            <w:r>
              <w:rPr/>
              <w:t>​</w:t>
            </w:r>
          </w:p>
        </w:tc>
        <w:tc>
          <w:tcPr>
            <w:tcW w:w="482" w:type="dxa"/>
            <w:tcBorders/>
            <w:vAlign w:val="center"/>
          </w:tcPr>
          <w:p>
            <w:pPr>
              <w:pStyle w:val="TableContents"/>
              <w:bidi w:val="0"/>
              <w:spacing w:before="0" w:after="0"/>
              <w:ind w:left="0" w:right="0" w:hanging="0"/>
              <w:jc w:val="left"/>
              <w:rPr/>
            </w:pPr>
            <w:r>
              <w:rPr/>
              <w:t>​</w:t>
            </w:r>
          </w:p>
        </w:tc>
        <w:tc>
          <w:tcPr>
            <w:tcW w:w="29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Vice President</w:t>
            </w:r>
          </w:p>
        </w:tc>
      </w:tr>
      <w:tr>
        <w:trPr/>
        <w:tc>
          <w:tcPr>
            <w:tcW w:w="124" w:type="dxa"/>
            <w:tcBorders/>
            <w:vAlign w:val="center"/>
          </w:tcPr>
          <w:p>
            <w:pPr>
              <w:pStyle w:val="TableContents"/>
              <w:bidi w:val="0"/>
              <w:spacing w:before="0" w:after="0"/>
              <w:ind w:left="0" w:right="0" w:hanging="0"/>
              <w:jc w:val="left"/>
              <w:rPr/>
            </w:pPr>
            <w:r>
              <w:rPr/>
              <w:t>​</w:t>
            </w:r>
          </w:p>
        </w:tc>
        <w:tc>
          <w:tcPr>
            <w:tcW w:w="482" w:type="dxa"/>
            <w:tcBorders/>
            <w:vAlign w:val="center"/>
          </w:tcPr>
          <w:p>
            <w:pPr>
              <w:pStyle w:val="TableContents"/>
              <w:bidi w:val="0"/>
              <w:spacing w:before="0" w:after="0"/>
              <w:ind w:left="0" w:right="0" w:hanging="0"/>
              <w:jc w:val="left"/>
              <w:rPr/>
            </w:pPr>
            <w:r>
              <w:rPr/>
              <w:t>​</w:t>
            </w:r>
          </w:p>
        </w:tc>
        <w:tc>
          <w:tcPr>
            <w:tcW w:w="2923"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92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Irina Golovashchuk</w:t>
            </w:r>
          </w:p>
        </w:tc>
      </w:tr>
      <w:tr>
        <w:trPr/>
        <w:tc>
          <w:tcPr>
            <w:tcW w:w="124" w:type="dxa"/>
            <w:tcBorders/>
            <w:vAlign w:val="center"/>
          </w:tcPr>
          <w:p>
            <w:pPr>
              <w:pStyle w:val="TableContents"/>
              <w:bidi w:val="0"/>
              <w:spacing w:before="0" w:after="0"/>
              <w:ind w:left="0" w:right="0" w:hanging="0"/>
              <w:jc w:val="left"/>
              <w:rPr/>
            </w:pPr>
            <w:r>
              <w:rPr/>
              <w:t>​</w:t>
            </w:r>
          </w:p>
        </w:tc>
        <w:tc>
          <w:tcPr>
            <w:tcW w:w="482" w:type="dxa"/>
            <w:tcBorders/>
            <w:vAlign w:val="center"/>
          </w:tcPr>
          <w:p>
            <w:pPr>
              <w:pStyle w:val="TableContents"/>
              <w:bidi w:val="0"/>
              <w:spacing w:before="0" w:after="0"/>
              <w:ind w:left="0" w:right="0" w:hanging="0"/>
              <w:jc w:val="left"/>
              <w:rPr/>
            </w:pPr>
            <w:r>
              <w:rPr/>
              <w:t>​</w:t>
            </w:r>
          </w:p>
        </w:tc>
        <w:tc>
          <w:tcPr>
            <w:tcW w:w="292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Irina Golovashchuk</w:t>
            </w:r>
          </w:p>
        </w:tc>
      </w:tr>
      <w:tr>
        <w:trPr/>
        <w:tc>
          <w:tcPr>
            <w:tcW w:w="124" w:type="dxa"/>
            <w:tcBorders/>
            <w:vAlign w:val="center"/>
          </w:tcPr>
          <w:p>
            <w:pPr>
              <w:pStyle w:val="TableContents"/>
              <w:bidi w:val="0"/>
              <w:spacing w:before="0" w:after="0"/>
              <w:ind w:left="0" w:right="0" w:hanging="0"/>
              <w:jc w:val="left"/>
              <w:rPr/>
            </w:pPr>
            <w:r>
              <w:rPr/>
              <w:t>​</w:t>
            </w:r>
          </w:p>
        </w:tc>
        <w:tc>
          <w:tcPr>
            <w:tcW w:w="482" w:type="dxa"/>
            <w:tcBorders/>
            <w:vAlign w:val="center"/>
          </w:tcPr>
          <w:p>
            <w:pPr>
              <w:pStyle w:val="TableContents"/>
              <w:bidi w:val="0"/>
              <w:spacing w:before="0" w:after="0"/>
              <w:ind w:left="0" w:right="0" w:hanging="0"/>
              <w:jc w:val="left"/>
              <w:rPr/>
            </w:pPr>
            <w:r>
              <w:rPr/>
              <w:t>​</w:t>
            </w:r>
          </w:p>
        </w:tc>
        <w:tc>
          <w:tcPr>
            <w:tcW w:w="29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Vice President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Indenture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A</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[FORM OF FACE OF NOTE]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[INCLUDE FOLLOWING LEGEND IF A GLOBAL NOTE]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[INCLUDE FOLLOWING LEGEND IF A RESTRICTED SECURITY]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SECURITY, THE AMERICAN DEPOSITARY SHARES DELIVERABLE UPON CONVERSION OF THIS SECURITY, IF ANY, AND THE CLASS A ORDINARY SHARES REPRESENTED THEREBY HAVE NOT BEEN REGISTERED UNDER THE SECURITIES ACT OF 1933, AS AMENDED (THE “SECURITIES ACT”), ARE “RESTRICTED SECURITIES” WITHIN THE MEANING OF RULE 144 UNDER THE SECURITIES ACT, AND MAY NOT BE OFFERED, SOLD, PLEDGED OR OTHERWISE TRANSFERRED EXCEPT IN ACCORDANCE WITH THE FOLLOWING SENTENCE. BY ITS ACQUISITION HEREOF OR OF A BENEFICIAL INTEREST HEREIN, THE ACQUIRER: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REPRESENTS THAT IT AND ANY ACCOUNT FOR WHICH IT IS ACTING IS A “QUALIFIED INSTITUTIONAL BUYER” (WITHIN THE MEANING OF RULE 144A UNDER THE SECURITIES ACT) AND THAT IT EXERCISES SOLE INVESTMENT DISCRETION WITH RESPECT TO EACH SUCH ACCOUNT AND THAT IT AND ANY SUCH ACCOUNT IS NOT, AND HAS NOT BEEN FOR THE IMMEDIATELY PRECEDING THREE MONTHS, AN AFFILIATE OF NIO INC. (THE “</w:t>
      </w:r>
      <w:r>
        <w:rPr>
          <w:rFonts w:ascii="Times New Roman;Times;serif" w:hAnsi="Times New Roman;Times;serif"/>
          <w:b/>
          <w:sz w:val="20"/>
        </w:rPr>
        <w:t>COMPANY</w:t>
      </w:r>
      <w:r>
        <w:rPr>
          <w:rFonts w:ascii="Times New Roman;Times;serif" w:hAnsi="Times New Roman;Times;serif"/>
          <w:sz w:val="20"/>
        </w:rPr>
        <w: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AGREES FOR THE BENEFIT OF THE COMPANY THAT IT WILL NOT OFFER, SELL, PLEDGE OR OTHERWISE TRANSFER THIS SECURITY, THE AMERICAN DEPOSITARY SHARES DELIVERABLE UPON CONVERSION OF THIS SECURITY (IF ANY) AND THE CLASS A ORDINARY SHARES REPRESENTED THEREBY OR ANY BENEFICIAL INTEREST HEREIN OR THEREIN PRIOR TO THE</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TO THE COMPANY OR ANY SUBSIDIARY THEREOF,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PURSUANT TO A REGISTRATION STATEMENT WHICH HAS BECOME OR BEEN DECLARED EFFECTIVE UNDER THE SECURITIES ACT AND THAT CONTINUES TO BE EFFECTIVE AT THE TIME OF SUCH TRANSFER,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TO A QUALIFIED INSTITUTIONAL BUYER IN COMPLIANCE WITH RULE 144A UNDER THE SECURITIES ACT,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PURSUANT TO AN EXEMPTION FROM REGISTRATION PROVIDED BY RULE 144 UNDER THE SECURITIES ACT (IF AVAILABLE),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PURSUANT TO ANY OTHER EXEMPTION FROM, OR IN A TRANSACTION NOT SUBJECT TO, THE REGISTRATION REQUIREMENTS OF THE SECURITIES 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PRIOR TO THE REGISTRATION OF ANY TRANSFER IN ACCORDANCE WITH (2)(E) ABOVE, THE COMPANY, THE DEPOSITARY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AFFILIATE (AS DEFINED IN RULE 144 UNDER THE SECURITIES ACT) OF THE COMPANY OR PERSON THAT HAS BEEN AN AFFILIATE (AS DEFINED IN RULE 144 UNDER THE SECURITIES ACT) OF THE COMPANY DURING THE THREE IMMEDIATELY PRECEDING MONTHS MAY PURCHASE, OTHERWISE ACQUIRE OR OWN THIS NOTE, THE AMERICAN DEPOSITARY SHARES DELIVERABLE UPON CONVERSION HEREOF (IF ANY) AND THE CLASS A ORDINARY SHARES REPRESENTED THEREBY OR A BENEFICIAL INTEREST HEREIN OR THEREIN.]</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NIO INC.</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4.625% Convertible Senior Note due 2030</w:t>
      </w:r>
    </w:p>
    <w:tbl>
      <w:tblPr>
        <w:tblW w:w="3092" w:type="dxa"/>
        <w:jc w:val="left"/>
        <w:tblInd w:w="0" w:type="dxa"/>
        <w:tblLayout w:type="fixed"/>
        <w:tblCellMar>
          <w:top w:w="0" w:type="dxa"/>
          <w:left w:w="0" w:type="dxa"/>
          <w:bottom w:w="0" w:type="dxa"/>
          <w:right w:w="0" w:type="dxa"/>
        </w:tblCellMar>
      </w:tblPr>
      <w:tblGrid>
        <w:gridCol w:w="1111"/>
        <w:gridCol w:w="1981"/>
      </w:tblGrid>
      <w:tr>
        <w:trPr/>
        <w:tc>
          <w:tcPr>
            <w:tcW w:w="1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w:t>
            </w:r>
            <w:r>
              <w:rPr>
                <w:rFonts w:ascii="Times New Roman;Times;serif" w:hAnsi="Times New Roman;Times;serif"/>
                <w:sz w:val="20"/>
                <w:u w:val="single"/>
              </w:rPr>
              <w:t>            </w:t>
            </w:r>
            <w:r>
              <w:rPr>
                <w:rFonts w:ascii="Times New Roman;Times;serif" w:hAnsi="Times New Roman;Times;serif"/>
                <w:sz w:val="20"/>
              </w:rPr>
              <w:t>]</w:t>
            </w:r>
          </w:p>
        </w:tc>
        <w:tc>
          <w:tcPr>
            <w:tcW w:w="1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[Initially]</w:t>
            </w:r>
            <w:r>
              <w:rPr>
                <w:rFonts w:ascii="Times New Roman;Times;serif" w:hAnsi="Times New Roman;Times;serif"/>
                <w:sz w:val="15"/>
              </w:rPr>
              <w:t xml:space="preserve">1 </w:t>
            </w:r>
            <w:r>
              <w:rPr>
                <w:rFonts w:ascii="Times New Roman;Times;serif" w:hAnsi="Times New Roman;Times;serif"/>
                <w:sz w:val="20"/>
              </w:rPr>
              <w:t xml:space="preserve">US$ </w:t>
            </w:r>
            <w:r>
              <w:rPr>
                <w:rFonts w:ascii="Times New Roman;Times;serif" w:hAnsi="Times New Roman;Times;serif"/>
                <w:sz w:val="20"/>
                <w:u w:val="single"/>
              </w:rPr>
              <w:t>            </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CUSIP No. 62914V AH9</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NIO Inc., a company duly organized and validly existing under the laws of the Cayman Islands (the “</w:t>
      </w:r>
      <w:r>
        <w:rPr>
          <w:rFonts w:ascii="Times New Roman;Times;serif" w:hAnsi="Times New Roman;Times;serif"/>
          <w:b/>
          <w:sz w:val="20"/>
        </w:rPr>
        <w:t>Company</w:t>
      </w:r>
      <w:r>
        <w:rPr>
          <w:rFonts w:ascii="Times New Roman;Times;serif" w:hAnsi="Times New Roman;Times;serif"/>
          <w:sz w:val="20"/>
        </w:rPr>
        <w:t>,” which term includes any successor company or corporation or other entity under the Indenture referred to on the reverse hereof), for value received hereby promises to pay to [CEDE &amp; CO.]</w:t>
      </w:r>
      <w:r>
        <w:rPr>
          <w:rFonts w:ascii="Times New Roman;Times;serif" w:hAnsi="Times New Roman;Times;serif"/>
          <w:sz w:val="15"/>
        </w:rPr>
        <w:t>2</w:t>
      </w:r>
      <w:r>
        <w:rPr>
          <w:rFonts w:ascii="Times New Roman;Times;serif" w:hAnsi="Times New Roman;Times;serif"/>
          <w:sz w:val="20"/>
        </w:rPr>
        <w:t xml:space="preserve"> [</w:t>
      </w:r>
      <w:r>
        <w:rPr>
          <w:rFonts w:ascii="Times New Roman;Times;serif" w:hAnsi="Times New Roman;Times;serif"/>
          <w:sz w:val="20"/>
          <w:u w:val="single"/>
        </w:rPr>
        <w:t>​ ​</w:t>
      </w:r>
      <w:r>
        <w:rPr>
          <w:rFonts w:ascii="Times New Roman;Times;serif" w:hAnsi="Times New Roman;Times;serif"/>
          <w:sz w:val="20"/>
        </w:rPr>
        <w:t>]</w:t>
      </w:r>
      <w:r>
        <w:rPr>
          <w:rFonts w:ascii="Times New Roman;Times;serif" w:hAnsi="Times New Roman;Times;serif"/>
          <w:sz w:val="15"/>
        </w:rPr>
        <w:t>3</w:t>
      </w:r>
      <w:r>
        <w:rPr>
          <w:rFonts w:ascii="Times New Roman;Times;serif" w:hAnsi="Times New Roman;Times;serif"/>
          <w:sz w:val="20"/>
        </w:rPr>
        <w:t>, or registered assigns, the principal sum [as set forth in the “Schedule of Exchanges of Notes” attached hereto]</w:t>
      </w:r>
      <w:r>
        <w:rPr>
          <w:rFonts w:ascii="Times New Roman;Times;serif" w:hAnsi="Times New Roman;Times;serif"/>
          <w:sz w:val="15"/>
        </w:rPr>
        <w:t>4</w:t>
      </w:r>
      <w:r>
        <w:rPr>
          <w:rFonts w:ascii="Times New Roman;Times;serif" w:hAnsi="Times New Roman;Times;serif"/>
          <w:sz w:val="20"/>
        </w:rPr>
        <w:t xml:space="preserve"> [of US$[</w:t>
      </w:r>
      <w:r>
        <w:rPr>
          <w:rFonts w:ascii="Times New Roman;Times;serif" w:hAnsi="Times New Roman;Times;serif"/>
          <w:sz w:val="20"/>
          <w:u w:val="single"/>
        </w:rPr>
        <w:t>​ ​</w:t>
      </w:r>
      <w:r>
        <w:rPr>
          <w:rFonts w:ascii="Times New Roman;Times;serif" w:hAnsi="Times New Roman;Times;serif"/>
          <w:sz w:val="20"/>
        </w:rPr>
        <w:t>]]</w:t>
      </w:r>
      <w:r>
        <w:rPr>
          <w:rFonts w:ascii="Times New Roman;Times;serif" w:hAnsi="Times New Roman;Times;serif"/>
          <w:sz w:val="15"/>
        </w:rPr>
        <w:t>5</w:t>
      </w:r>
      <w:r>
        <w:rPr>
          <w:rFonts w:ascii="Times New Roman;Times;serif" w:hAnsi="Times New Roman;Times;serif"/>
          <w:sz w:val="20"/>
        </w:rPr>
        <w:t>, which amount, taken together with the principal amounts of all other outstanding Notes, shall not, unless permitted by the Indenture, exceed US$500,000,000 in aggregate at any time (or US$575,000,000 if the Initial Purchasers exercise their option to purchase additional Notes in full as set forth in the Purchase Agreement), in accordance with the rules and procedures of the Depositary, on October 15, 2030, and interest thereon as set forth below.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Note shall bear cash interest at the rate of 4.625% per year from, and including October 15, 2023, or from, and including, the most recent date to which interest had been paid or provided for to, but excluding, the next scheduled Interest Payment Date until October 15, 2030. Interest is payable semi-annually in arrears on each April 15 and October 15, commencing on April 15, 2024, to Holders of record at the close of business on the preceding April 1 and October 1 (whether or not such day is a Business Day), respectively. Additional Interest, if any, will be payable as set forth in Section 4.06(d), Section 4.06(e) and Section 6.03 of the within- mentioned Indenture, and any reference to interest on, or in respect of, any Note therein shall be deemed to include Additional Interest if, in such context, Additional Interest is, was or would be payable pursuant to any of such Section 4.06(d), Section 4.06(e) and Section 6.03, and any express mention of the payment of Additional Interest, if any, in any provision therein shall not be construed as excluding Additional Interest in those provisions thereof where such express mention is not made.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Any Defaulted Amounts shall accrue interest per annum at the rate per annum borne by the Notes </w:t>
      </w:r>
      <w:r>
        <w:rPr>
          <w:rFonts w:ascii="Times New Roman;Times;serif" w:hAnsi="Times New Roman;Times;serif"/>
          <w:i/>
          <w:sz w:val="20"/>
        </w:rPr>
        <w:t xml:space="preserve">plus </w:t>
      </w:r>
      <w:r>
        <w:rPr>
          <w:rFonts w:ascii="Times New Roman;Times;serif" w:hAnsi="Times New Roman;Times;serif"/>
          <w:sz w:val="20"/>
        </w:rPr>
        <w:t>one percent, subject to the enforceability thereof under applicable law, from, and including, the relevant payment date to, but excluding, the date on which such Defaulted Amounts shall have been paid by the Company, at its election, in accordance with Section 2.03(c) of the Indenture.</w:t>
      </w:r>
    </w:p>
    <w:p>
      <w:pPr>
        <w:pStyle w:val="HorizontalLine"/>
        <w:pBdr>
          <w:bottom w:val="single" w:sz="6" w:space="0" w:color="000000"/>
        </w:pBdr>
        <w:bidi w:val="0"/>
        <w:spacing w:before="0" w:after="0"/>
        <w:ind w:left="0" w:right="7654" w:hanging="0"/>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Include if a Global Note.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 xml:space="preserve"> Include if a Global Note.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 xml:space="preserve"> Include if a Physical Note.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15"/>
        </w:rPr>
        <w:t>4</w:t>
      </w:r>
      <w:r>
        <w:rPr>
          <w:rFonts w:ascii="Times New Roman;Times;serif" w:hAnsi="Times New Roman;Times;serif"/>
          <w:sz w:val="20"/>
        </w:rPr>
        <w:t xml:space="preserve"> Include if a Global Note.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15"/>
        </w:rPr>
        <w:t>5</w:t>
      </w:r>
      <w:r>
        <w:rPr>
          <w:rFonts w:ascii="Times New Roman;Times;serif" w:hAnsi="Times New Roman;Times;serif"/>
          <w:sz w:val="20"/>
        </w:rPr>
        <w:t xml:space="preserve"> Include if a Physical Note.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shall pay or cause the Paying Agent to pay the principal of and interest on this Note, so long as such Note is a Global Note,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Deutsche Bank Trust Company Americas as its Paying Agent, Conversion Agent and Note Registrar in respect of the Notes and its agency in the Borough of Manhattan, The City of New York, as a place where Notes may be presented for payment or for registration of transfer.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Reference is made to the further provisions of this Note set forth on the reverse hereof, including, without limitation, provisions giving the Holder of this Note the right to convert this Note into cash, ADSs or a combination of cash and ADSs, as applicable, on the terms and subject to the limitations set forth in the Indenture. Such further provisions shall for all purposes have the same effect as though fully set forth at this place.</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sz w:val="20"/>
        </w:rPr>
        <w:t>This Note, and any claim, controversy or dispute arising under or related to this Note, shall be construed in accordance with and governed by the laws of the State of New York (without regard to the conflicts of laws provisions thereof).</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case of any conflict between this Note and the Indenture, the provisions of the Indenture shall control and govern.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Note shall not be valid or become obligatory for any purpose until the certificate of authentication hereon shall have been signed manually or electronically by the Trustee under the Indenture.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Remainder of page intentionally left blank</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WITNESS WHEREOF, the Company has caused this Note to be duly executed.</w:t>
      </w:r>
    </w:p>
    <w:tbl>
      <w:tblPr>
        <w:tblW w:w="1206" w:type="dxa"/>
        <w:jc w:val="left"/>
        <w:tblInd w:w="0" w:type="dxa"/>
        <w:tblLayout w:type="fixed"/>
        <w:tblCellMar>
          <w:top w:w="0" w:type="dxa"/>
          <w:left w:w="0" w:type="dxa"/>
          <w:bottom w:w="0" w:type="dxa"/>
          <w:right w:w="0" w:type="dxa"/>
        </w:tblCellMar>
      </w:tblPr>
      <w:tblGrid>
        <w:gridCol w:w="124"/>
        <w:gridCol w:w="406"/>
        <w:gridCol w:w="676"/>
      </w:tblGrid>
      <w:tr>
        <w:trPr/>
        <w:tc>
          <w:tcPr>
            <w:tcW w:w="124" w:type="dxa"/>
            <w:tcBorders/>
            <w:vAlign w:val="center"/>
          </w:tcPr>
          <w:p>
            <w:pPr>
              <w:pStyle w:val="TableContents"/>
              <w:bidi w:val="0"/>
              <w:spacing w:before="0" w:after="0"/>
              <w:ind w:left="0" w:right="0" w:hanging="0"/>
              <w:jc w:val="left"/>
              <w:rPr/>
            </w:pPr>
            <w:r>
              <w:rPr/>
              <w:t>​</w:t>
            </w:r>
          </w:p>
        </w:tc>
        <w:tc>
          <w:tcPr>
            <w:tcW w:w="108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NIO INC.</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TRUSTEE’S CERTIFICATE OF AUTHENTICATION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DEUTSCHE BANK TRUST COMPANY AMERICAS</w:t>
        <w:br/>
        <w:t>as Trustee, certifies that this is one of the Notes described</w:t>
        <w:br/>
        <w:t>in the within-named Indenture.</w:t>
      </w:r>
    </w:p>
    <w:tbl>
      <w:tblPr>
        <w:tblW w:w="1206" w:type="dxa"/>
        <w:jc w:val="left"/>
        <w:tblInd w:w="0" w:type="dxa"/>
        <w:tblLayout w:type="fixed"/>
        <w:tblCellMar>
          <w:top w:w="0" w:type="dxa"/>
          <w:left w:w="0" w:type="dxa"/>
          <w:bottom w:w="0" w:type="dxa"/>
          <w:right w:w="0" w:type="dxa"/>
        </w:tblCellMar>
      </w:tblPr>
      <w:tblGrid>
        <w:gridCol w:w="421"/>
        <w:gridCol w:w="631"/>
        <w:gridCol w:w="154"/>
      </w:tblGrid>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[FORM OF REVERSE OF NOTE]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NIO INC.</w:t>
        <w:br/>
        <w:t>4.625% Convertible Senior Note due 2030</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Note is one of a duly authorized issue of Notes of the Company, designated as its 4.625% Convertible Senior Notes due 2030 (the “</w:t>
      </w:r>
      <w:r>
        <w:rPr>
          <w:rFonts w:ascii="Times New Roman;Times;serif" w:hAnsi="Times New Roman;Times;serif"/>
          <w:b/>
          <w:sz w:val="20"/>
        </w:rPr>
        <w:t>Notes</w:t>
      </w:r>
      <w:r>
        <w:rPr>
          <w:rFonts w:ascii="Times New Roman;Times;serif" w:hAnsi="Times New Roman;Times;serif"/>
          <w:sz w:val="20"/>
        </w:rPr>
        <w:t>”), initially limited to the aggregate principal amount of US$500,000,000 (as increased by an amount equal to the aggregate principal amount of any additional Notes purchased by the Initial Purchasers pursuant to the exercise of their option to purchase additional Notes as set forth in the Purchase Agreement), subject to Section 2.10 of the Indenture, all issued or to be issued under and pursuant to an Indenture dated as of September 22, 2023 (the “</w:t>
      </w:r>
      <w:r>
        <w:rPr>
          <w:rFonts w:ascii="Times New Roman;Times;serif" w:hAnsi="Times New Roman;Times;serif"/>
          <w:b/>
          <w:sz w:val="20"/>
        </w:rPr>
        <w:t>Indenture</w:t>
      </w:r>
      <w:r>
        <w:rPr>
          <w:rFonts w:ascii="Times New Roman;Times;serif" w:hAnsi="Times New Roman;Times;serif"/>
          <w:sz w:val="20"/>
        </w:rPr>
        <w:t>”), between the Company and Deutsche Bank Trust Company Americas, as trustee (the “</w:t>
      </w:r>
      <w:r>
        <w:rPr>
          <w:rFonts w:ascii="Times New Roman;Times;serif" w:hAnsi="Times New Roman;Times;serif"/>
          <w:b/>
          <w:sz w:val="20"/>
        </w:rPr>
        <w:t>Trustee</w:t>
      </w:r>
      <w:r>
        <w:rPr>
          <w:rFonts w:ascii="Times New Roman;Times;serif" w:hAnsi="Times New Roman;Times;serif"/>
          <w:sz w:val="20"/>
        </w:rPr>
        <w:t>”), to which Indenture and all indentures supplemental thereto reference is hereby made for a description of the rights, limitations of rights, obligations, duties, indemnifications, privileges, disclaimers from liability and immunities thereunder of the Trustee, the Company and the Holders of the Notes. Additional Notes may be issued in an unlimited aggregate principal amount, subject to certain conditions specified in the Indenture.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case certain Events of Default, as defined in the Indenture,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 In the case certain Events of Default relating to a bankruptcy (or similar proceeding) with respect to the Company or a Significant Subsidiary of the Company shall have occurred, the principal of, and interest on, all Notes shall automatically become immediately due and payable, as set forth in the Indenture.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Subject to the terms and conditions of the Indenture, the Company will make or cause the Paying Agent to make all payments in respect of the principal amount on the Maturity Date, the Redemption Price, the Repurchase Price and the Fundamental Change Repurchase Price, as the case may be, to the Holder who surrenders a Note to collect such payments in respect of the Note. The Company will pay or cause the Paying Agent to pay cash amounts in money of the United States that at the time of payment is legal tender for payment of public and private debts.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Subject to the terms and conditions of the Indenture, Additional Amounts will be paid in connection with any payments made and deliveries caused to be made by the Company or any successor to the Company under or with respect to the Indenture and the Notes, including, but not limited to, payments of principal (including, if applicable, the Redemption Price, the Repurchase Price and the Fundamental Change Repurchase Price), premium, if any, payments of interest, including any additional interest and payments of cash and/or deliveries of ADSs or any other consideration due on conversion of a Note (together with payments of cash for any Fractional ADS or other consideration) to ensure that the net amount received by the beneficial owner of the Notes after any applicable withholding, deduction or reduction (and after deducting any taxes on the Additional Amounts) will equal the amounts that would have been received by such beneficial owner had no such withholding, deduction or reduction been required.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reference herein to the Indenture and no provision of this Note or of the Indenture shall alter or impair the obligation of the Company, which is absolute and unconditional, to pay or cause to be delivered, as the case may be, the principal (including the Redemption Price, the Repurchase Price and the Fundamental Change Repurchase Price, if applicable) of, accrued and unpaid interest on, and the consideration due upon conversion of, this Note at the place, at the respective times, at the rate and in the lawful money herein prescribed.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Notes are issuable in registered form without interest coupons in denominations of US$1,000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may not redeem the Notes prior to the Maturity Date, except in the event of certain Changes in Tax Law as described in Section 16.01 of the Indenture. The Notes shall be redeemable at the Company’s option in certain circumstances on or after October 22, 2028 in accordance with the terms and subject to the conditions specified in the Indenture. The Notes shall also be redeemable if less than 10% of the aggregate principal amount of the Notes originally issued remains outstanding at such time in accordance with the terms and subject to the conditions specified in the Indenture. No sinking fund is provided for the Notes.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Holder has the right, at such Holder’s option, to require the Company to repurchase for cash all of such Holder’s Notes or any portion thereof (in principal amounts of US$1,000 or integral multiples thereof) on the Repurchase Date at a price equal to the Repurchase Price.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Upon the occurrence of a Fundamental Change, the Holder has the right, at such Holder’s option, to require the Company to repurchase for cash all of such Holder’s Notes or any portion thereof (in principal amounts of US$1,000 or integral multiples thereof) on the Fundamental Change Repurchase Date at a price equal to the Fundamental Change Repurchase Price.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Subject to the provisions of the Indenture, the Holder hereof has the right, at its option, prior to the close of business on the second Scheduled Trading Day immediately preceding the Maturity Date, to convert any Notes or portion thereof that is US$1,000 principal amount of</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Notes or an integral multiple thereof, into cash, ADSs or a combination of cash and ADSs, as applicable, at the Conversion Rate specified in the Indenture, as adjusted from time to time as provided in the Indenture.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Terms used in this Note and defined in the Indenture are used herein as therein defined.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ABBREVIATIONS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abbreviations, when used in the inscription of the face of this Note, shall be construed as though they were written out in full according to applicable laws or regulations: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TEN COM = as tenants in common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UNIF GIFT MIN ACT = Uniform Gifts to Minors Act CUST = Custodian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TEN ENT = as tenants by the entireties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JT TEN = joint tenants with right of survivorship and not as tenants in common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 abbreviations may also be used though not in the above list.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sz w:val="20"/>
        </w:rPr>
      </w:pPr>
      <w:r>
        <w:rPr>
          <w:rFonts w:ascii="Times New Roman;Times;serif" w:hAnsi="Times New Roman;Times;serif"/>
          <w:b/>
          <w:sz w:val="20"/>
        </w:rPr>
        <w:t>SCHEDULE A</w:t>
      </w:r>
      <w:r>
        <w:rPr>
          <w:rFonts w:ascii="Times New Roman;Times;serif" w:hAnsi="Times New Roman;Times;serif"/>
          <w:b/>
          <w:sz w:val="15"/>
        </w:rPr>
        <w:t>6</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SCHEDULE OF EXCHANGES OF NOTES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NIO INC.</w:t>
        <w:br/>
        <w:t>4.625% Convertible Senior Notes due 2030</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initial principal amount of this Global Note is [</w:t>
      </w:r>
      <w:r>
        <w:rPr>
          <w:rFonts w:ascii="Times New Roman;Times;serif" w:hAnsi="Times New Roman;Times;serif"/>
          <w:sz w:val="20"/>
          <w:u w:val="single"/>
        </w:rPr>
        <w:t>                 </w:t>
      </w:r>
      <w:r>
        <w:rPr>
          <w:rFonts w:ascii="Times New Roman;Times;serif" w:hAnsi="Times New Roman;Times;serif"/>
          <w:sz w:val="20"/>
        </w:rPr>
        <w:t>] UNITED STATES DOLLARS (US$[</w:t>
      </w:r>
      <w:r>
        <w:rPr>
          <w:rFonts w:ascii="Times New Roman;Times;serif" w:hAnsi="Times New Roman;Times;serif"/>
          <w:sz w:val="20"/>
          <w:u w:val="single"/>
        </w:rPr>
        <w:t>                </w:t>
      </w:r>
      <w:r>
        <w:rPr>
          <w:rFonts w:ascii="Times New Roman;Times;serif" w:hAnsi="Times New Roman;Times;serif"/>
          <w:sz w:val="20"/>
        </w:rPr>
        <w:t>]). The following increases or decreases in this Global Note have been made:</w:t>
      </w:r>
    </w:p>
    <w:tbl>
      <w:tblPr>
        <w:tblW w:w="10205" w:type="dxa"/>
        <w:jc w:val="left"/>
        <w:tblInd w:w="0" w:type="dxa"/>
        <w:tblLayout w:type="fixed"/>
        <w:tblCellMar>
          <w:top w:w="0" w:type="dxa"/>
          <w:left w:w="0" w:type="dxa"/>
          <w:bottom w:w="0" w:type="dxa"/>
          <w:right w:w="0" w:type="dxa"/>
        </w:tblCellMar>
      </w:tblPr>
      <w:tblGrid>
        <w:gridCol w:w="1067"/>
        <w:gridCol w:w="326"/>
        <w:gridCol w:w="1928"/>
        <w:gridCol w:w="326"/>
        <w:gridCol w:w="1920"/>
        <w:gridCol w:w="326"/>
        <w:gridCol w:w="2249"/>
        <w:gridCol w:w="326"/>
        <w:gridCol w:w="1737"/>
      </w:tblGrid>
      <w:tr>
        <w:trPr/>
        <w:tc>
          <w:tcPr>
            <w:tcW w:w="10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677545" cy="175260"/>
                      <wp:effectExtent l="0" t="0" r="0" b="0"/>
                      <wp:wrapNone/>
                      <wp:docPr id="696" name="Frame687"/>
                      <a:graphic xmlns:a="http://schemas.openxmlformats.org/drawingml/2006/main">
                        <a:graphicData uri="http://schemas.microsoft.com/office/word/2010/wordprocessingShape">
                          <wps:wsp>
                            <wps:cNvSpPr txBox="1"/>
                            <wps:spPr>
                              <a:xfrm>
                                <a:off x="0" y="0"/>
                                <a:ext cx="677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1224280" cy="175260"/>
                      <wp:effectExtent l="0" t="0" r="0" b="0"/>
                      <wp:wrapNone/>
                      <wp:docPr id="697" name="Frame688"/>
                      <a:graphic xmlns:a="http://schemas.openxmlformats.org/drawingml/2006/main">
                        <a:graphicData uri="http://schemas.microsoft.com/office/word/2010/wordprocessingShape">
                          <wps:wsp>
                            <wps:cNvSpPr txBox="1"/>
                            <wps:spPr>
                              <a:xfrm>
                                <a:off x="0" y="0"/>
                                <a:ext cx="1224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1219200" cy="175260"/>
                      <wp:effectExtent l="0" t="0" r="0" b="0"/>
                      <wp:wrapNone/>
                      <wp:docPr id="698" name="Frame689"/>
                      <a:graphic xmlns:a="http://schemas.openxmlformats.org/drawingml/2006/main">
                        <a:graphicData uri="http://schemas.microsoft.com/office/word/2010/wordprocessingShape">
                          <wps:wsp>
                            <wps:cNvSpPr txBox="1"/>
                            <wps:spPr>
                              <a:xfrm>
                                <a:off x="0" y="0"/>
                                <a:ext cx="1219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1428115" cy="175260"/>
                      <wp:effectExtent l="0" t="0" r="0" b="0"/>
                      <wp:wrapNone/>
                      <wp:docPr id="699" name="Frame690"/>
                      <a:graphic xmlns:a="http://schemas.openxmlformats.org/drawingml/2006/main">
                        <a:graphicData uri="http://schemas.microsoft.com/office/word/2010/wordprocessingShape">
                          <wps:wsp>
                            <wps:cNvSpPr txBox="1"/>
                            <wps:spPr>
                              <a:xfrm>
                                <a:off x="0" y="0"/>
                                <a:ext cx="142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1102995" cy="175260"/>
                      <wp:effectExtent l="0" t="0" r="0" b="0"/>
                      <wp:wrapNone/>
                      <wp:docPr id="700" name="Frame691"/>
                      <a:graphic xmlns:a="http://schemas.openxmlformats.org/drawingml/2006/main">
                        <a:graphicData uri="http://schemas.microsoft.com/office/word/2010/wordprocessingShape">
                          <wps:wsp>
                            <wps:cNvSpPr txBox="1"/>
                            <wps:spPr>
                              <a:xfrm>
                                <a:off x="0" y="0"/>
                                <a:ext cx="1102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exchange</w:t>
            </w:r>
          </w:p>
        </w:tc>
        <w:tc>
          <w:tcPr>
            <w:tcW w:w="326" w:type="dxa"/>
            <w:tcBorders/>
            <w:vAlign w:val="center"/>
          </w:tcPr>
          <w:p>
            <w:pPr>
              <w:pStyle w:val="TableContents"/>
              <w:bidi w:val="0"/>
              <w:spacing w:before="0" w:after="0"/>
              <w:ind w:left="0" w:right="0" w:hanging="0"/>
              <w:jc w:val="left"/>
              <w:rPr/>
            </w:pPr>
            <w:r>
              <w:rPr/>
              <w:t>    </w:t>
            </w:r>
          </w:p>
        </w:tc>
        <w:tc>
          <w:tcPr>
            <w:tcW w:w="192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Amount of decrease in principal amount of this Global Note</w:t>
            </w:r>
          </w:p>
        </w:tc>
        <w:tc>
          <w:tcPr>
            <w:tcW w:w="326" w:type="dxa"/>
            <w:tcBorders/>
            <w:vAlign w:val="center"/>
          </w:tcPr>
          <w:p>
            <w:pPr>
              <w:pStyle w:val="TableContents"/>
              <w:bidi w:val="0"/>
              <w:spacing w:before="0" w:after="0"/>
              <w:ind w:left="0" w:right="0" w:hanging="0"/>
              <w:jc w:val="left"/>
              <w:rPr/>
            </w:pPr>
            <w:r>
              <w:rPr/>
              <w:t>    </w:t>
            </w:r>
          </w:p>
        </w:tc>
        <w:tc>
          <w:tcPr>
            <w:tcW w:w="19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Amount of increase in principal amount of this Global Note</w:t>
            </w:r>
          </w:p>
        </w:tc>
        <w:tc>
          <w:tcPr>
            <w:tcW w:w="326" w:type="dxa"/>
            <w:tcBorders/>
            <w:vAlign w:val="center"/>
          </w:tcPr>
          <w:p>
            <w:pPr>
              <w:pStyle w:val="TableContents"/>
              <w:bidi w:val="0"/>
              <w:spacing w:before="0" w:after="0"/>
              <w:ind w:left="0" w:right="0" w:hanging="0"/>
              <w:jc w:val="left"/>
              <w:rPr/>
            </w:pPr>
            <w:r>
              <w:rPr/>
              <w:t>    </w:t>
            </w:r>
          </w:p>
        </w:tc>
        <w:tc>
          <w:tcPr>
            <w:tcW w:w="224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amount of this Global Note following such decrease or increase</w:t>
            </w:r>
          </w:p>
        </w:tc>
        <w:tc>
          <w:tcPr>
            <w:tcW w:w="326" w:type="dxa"/>
            <w:tcBorders/>
            <w:vAlign w:val="center"/>
          </w:tcPr>
          <w:p>
            <w:pPr>
              <w:pStyle w:val="TableContents"/>
              <w:bidi w:val="0"/>
              <w:spacing w:before="0" w:after="0"/>
              <w:ind w:left="0" w:right="0" w:hanging="0"/>
              <w:jc w:val="left"/>
              <w:rPr/>
            </w:pPr>
            <w:r>
              <w:rPr/>
              <w:t>    </w:t>
            </w:r>
          </w:p>
        </w:tc>
        <w:tc>
          <w:tcPr>
            <w:tcW w:w="17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of authorized signatory of Trustee</w:t>
            </w:r>
          </w:p>
        </w:tc>
      </w:tr>
      <w:tr>
        <w:trPr/>
        <w:tc>
          <w:tcPr>
            <w:tcW w:w="106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3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06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3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06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3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06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3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06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3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06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3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06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3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06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3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06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3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06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3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06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3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06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3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06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3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06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3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06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3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06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3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06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3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06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3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06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3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15"/>
        </w:rPr>
        <w:t>6</w:t>
      </w:r>
      <w:r>
        <w:rPr>
          <w:rFonts w:ascii="Times New Roman;Times;serif" w:hAnsi="Times New Roman;Times;serif"/>
          <w:sz w:val="20"/>
        </w:rPr>
        <w:t xml:space="preserve"> Include if a Global Note.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ATTACHMENT 1</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[FORM OF NOTICE OF CONVERSION]</w:t>
      </w:r>
    </w:p>
    <w:tbl>
      <w:tblPr>
        <w:tblW w:w="6647" w:type="dxa"/>
        <w:jc w:val="left"/>
        <w:tblInd w:w="0" w:type="dxa"/>
        <w:tblLayout w:type="fixed"/>
        <w:tblCellMar>
          <w:top w:w="0" w:type="dxa"/>
          <w:left w:w="0" w:type="dxa"/>
          <w:bottom w:w="0" w:type="dxa"/>
          <w:right w:w="0" w:type="dxa"/>
        </w:tblCellMar>
      </w:tblPr>
      <w:tblGrid>
        <w:gridCol w:w="406"/>
        <w:gridCol w:w="6241"/>
      </w:tblGrid>
      <w:tr>
        <w:trPr/>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NIO INC.</w:t>
            </w:r>
          </w:p>
        </w:tc>
      </w:tr>
      <w:tr>
        <w:trPr/>
        <w:tc>
          <w:tcPr>
            <w:tcW w:w="40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 [</w:t>
            </w:r>
            <w:r>
              <w:rPr>
                <w:rFonts w:ascii="Times New Roman;Times;serif" w:hAnsi="Times New Roman;Times;serif"/>
                <w:sz w:val="20"/>
                <w:u w:val="single"/>
              </w:rPr>
              <w:t>                     </w:t>
            </w:r>
            <w:r>
              <w:rPr>
                <w:rFonts w:ascii="Times New Roman;Times;serif" w:hAnsi="Times New Roman;Times;serif"/>
                <w:sz w:val="20"/>
              </w:rPr>
              <w:t>]</w:t>
            </w:r>
          </w:p>
        </w:tc>
      </w:tr>
      <w:tr>
        <w:trPr/>
        <w:tc>
          <w:tcPr>
            <w:tcW w:w="40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w:t>
            </w:r>
            <w:r>
              <w:rPr>
                <w:rFonts w:ascii="Times New Roman;Times;serif" w:hAnsi="Times New Roman;Times;serif"/>
                <w:sz w:val="20"/>
                <w:u w:val="single"/>
              </w:rPr>
              <w:t>                     </w:t>
            </w:r>
            <w:r>
              <w:rPr>
                <w:rFonts w:ascii="Times New Roman;Times;serif" w:hAnsi="Times New Roman;Times;serif"/>
                <w:sz w:val="20"/>
              </w:rPr>
              <w:t>]</w:t>
            </w:r>
          </w:p>
        </w:tc>
      </w:tr>
      <w:tr>
        <w:trPr/>
        <w:tc>
          <w:tcPr>
            <w:tcW w:w="40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pPr>
            <w:r>
              <w:rPr/>
              <w:t>​</w:t>
            </w:r>
          </w:p>
        </w:tc>
      </w:tr>
      <w:tr>
        <w:trPr/>
        <w:tc>
          <w:tcPr>
            <w:tcW w:w="40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DEUTSCHE BANK TRUST COMPANY AMERICAS, as Conversion Agent</w:t>
            </w:r>
          </w:p>
        </w:tc>
      </w:tr>
      <w:tr>
        <w:trPr/>
        <w:tc>
          <w:tcPr>
            <w:tcW w:w="40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 DB Services Americas, Inc., Attn: Reorg Dept.,</w:t>
            </w:r>
          </w:p>
        </w:tc>
      </w:tr>
      <w:tr>
        <w:trPr/>
        <w:tc>
          <w:tcPr>
            <w:tcW w:w="40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5022 Gate Parkway, Suite 200, Jacksonville, FL 32256</w:t>
            </w:r>
          </w:p>
        </w:tc>
      </w:tr>
      <w:tr>
        <w:trPr/>
        <w:tc>
          <w:tcPr>
            <w:tcW w:w="40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Ref: CUSIP: </w:t>
            </w:r>
            <w:r>
              <w:rPr>
                <w:rFonts w:ascii="Times New Roman;Times;serif" w:hAnsi="Times New Roman;Times;serif"/>
                <w:sz w:val="20"/>
                <w:u w:val="single"/>
              </w:rPr>
              <w:t>           </w:t>
            </w:r>
            <w:r>
              <w:rPr>
                <w:rFonts w:ascii="Times New Roman;Times;serif" w:hAnsi="Times New Roman;Times;serif"/>
                <w:sz w:val="20"/>
              </w:rPr>
              <w:t>, AA5802       , NIO Inc</w:t>
            </w:r>
          </w:p>
        </w:tc>
      </w:tr>
      <w:tr>
        <w:trPr/>
        <w:tc>
          <w:tcPr>
            <w:tcW w:w="40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 877-843-9767,</w:t>
            </w:r>
          </w:p>
        </w:tc>
      </w:tr>
      <w:tr>
        <w:trPr/>
        <w:tc>
          <w:tcPr>
            <w:tcW w:w="40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db.reorg@db.com</w:t>
            </w:r>
          </w:p>
        </w:tc>
      </w:tr>
      <w:tr>
        <w:trPr/>
        <w:tc>
          <w:tcPr>
            <w:tcW w:w="40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pPr>
            <w:r>
              <w:rPr/>
              <w:t>​</w:t>
            </w:r>
          </w:p>
        </w:tc>
      </w:tr>
      <w:tr>
        <w:trPr/>
        <w:tc>
          <w:tcPr>
            <w:tcW w:w="40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DEUTSCHE BANK TRUST COMPANY AMERICAS, as ADS Depositary</w:t>
            </w:r>
          </w:p>
        </w:tc>
      </w:tr>
      <w:tr>
        <w:trPr/>
        <w:tc>
          <w:tcPr>
            <w:tcW w:w="40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Columbus Circle,</w:t>
            </w:r>
          </w:p>
        </w:tc>
      </w:tr>
      <w:tr>
        <w:trPr/>
        <w:tc>
          <w:tcPr>
            <w:tcW w:w="40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York, NY 10019,</w:t>
            </w:r>
          </w:p>
        </w:tc>
      </w:tr>
      <w:tr>
        <w:trPr/>
        <w:tc>
          <w:tcPr>
            <w:tcW w:w="40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 of America</w:t>
            </w:r>
          </w:p>
        </w:tc>
      </w:tr>
      <w:tr>
        <w:trPr/>
        <w:tc>
          <w:tcPr>
            <w:tcW w:w="40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Fax: +1-732-544-6346</w:t>
            </w:r>
          </w:p>
        </w:tc>
      </w:tr>
      <w:tr>
        <w:trPr/>
        <w:tc>
          <w:tcPr>
            <w:tcW w:w="40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adr@db.com</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undersigned registered holder of this Note (bearing CUSIP: </w:t>
      </w:r>
      <w:r>
        <w:rPr>
          <w:rFonts w:ascii="Times New Roman;Times;serif" w:hAnsi="Times New Roman;Times;serif"/>
          <w:sz w:val="20"/>
          <w:u w:val="single"/>
        </w:rPr>
        <w:t>               </w:t>
      </w:r>
      <w:r>
        <w:rPr>
          <w:rFonts w:ascii="Times New Roman;Times;serif" w:hAnsi="Times New Roman;Times;serif"/>
          <w:sz w:val="20"/>
        </w:rPr>
        <w:t xml:space="preserve"> and ISIN: </w:t>
      </w:r>
      <w:r>
        <w:rPr>
          <w:rFonts w:ascii="Times New Roman;Times;serif" w:hAnsi="Times New Roman;Times;serif"/>
          <w:sz w:val="20"/>
          <w:u w:val="single"/>
        </w:rPr>
        <w:t>           </w:t>
      </w:r>
      <w:r>
        <w:rPr>
          <w:rFonts w:ascii="Times New Roman;Times;serif" w:hAnsi="Times New Roman;Times;serif"/>
          <w:sz w:val="20"/>
        </w:rPr>
        <w:t>) hereby exercises the option to convert that Note, or the portion thereof (that is US$1,000 principal amount or an integral multiple thereof) below designated, into cash, ADSs or a combination of cash and ADSs in accordance with the terms of the Indenture referred to in this Note, and directs that any cash payable and ADSs deliverable upon such conversion, together with any cash payable for any Fractional ADS, and any Notes representing any unconverted principal amount hereof, be issued and delivered to the registered Holder hereof unless a different name has been indicated below. Terms defined in the Unrestricted Deposit Agreement, the Restricted Deposit Agreement or the Indenture referred to in this Notice are used herein as so defined. If any ADSs or any portion of this Note not converted are to be issued in the name of a Person other than the undersigned, the undersigned will pay all documentary, stamp, issue, transfer or similar taxes, if any, in accordance with Section 14.02(c) and Section 14.02(e) of the Indenture. Any amount required to be paid to the undersigned on account of interest accompanies this Notice.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conversion of this Note, or the portion hereof below designated, the undersigned acknowledges, represents to the Company and the ADS Depositary that the undersigned is not an “affiliate” (as defined in Rule 144 under the Securities Act of 1933) of the Company and has not been an “affiliate” (as defined in Rule 144 under the Securities Act of 1933) of the Company during the three months immediately preceding the date hereof.</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further certifies: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undersigned acknowledges (and if the undersigned is acting for the account of another person, that person has confirmed that it acknowledges) that the Restricted Securities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received upon conversion of this Note (or securities represented thereby) have not been and are not expected to be registered under the Securities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undersigned further certifies that the undersigned is a qualified institutional buyer (as defined in Rule 144A under the Securities Act) acting for its own account or for the account of one or more qualified institutional buyers and the undersigned is (or such account or accounts are) the sole beneficial owner(s) of the ADSs to be received upon conversion of the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The undersigned acknowledges that the undersigned (and any such other account) may not continue to hold or retain any interest in Restricted Securities received upon conversion of this Note if the undersigned (or such other account) becomes an Affiliate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undersigned agrees (and if the undersigned is acting for the account of another person, that person has confirmed that it agrees) that, prior to the Resale Restriction Termination Date, the undersigned (and such other account) will not offer, sell, pledge or otherwise transfer the Restricted Security (or securities represented by such Restricted Security) except in accordance with the restrictions set forth in that legend and any applicable securities laws of the United States and any state thereof.]</w:t>
      </w:r>
      <w:r>
        <w:rPr>
          <w:rFonts w:ascii="Times New Roman;Times;serif" w:hAnsi="Times New Roman;Times;serif"/>
          <w:sz w:val="15"/>
        </w:rPr>
        <w:t>7</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hereby instructs the ADS Depositary to register the ADSs in the name of:</w:t>
      </w:r>
    </w:p>
    <w:tbl>
      <w:tblPr>
        <w:tblW w:w="5031" w:type="dxa"/>
        <w:jc w:val="left"/>
        <w:tblInd w:w="0" w:type="dxa"/>
        <w:tblLayout w:type="fixed"/>
        <w:tblCellMar>
          <w:top w:w="0" w:type="dxa"/>
          <w:left w:w="0" w:type="dxa"/>
          <w:bottom w:w="0" w:type="dxa"/>
          <w:right w:w="0" w:type="dxa"/>
        </w:tblCellMar>
      </w:tblPr>
      <w:tblGrid>
        <w:gridCol w:w="271"/>
        <w:gridCol w:w="4606"/>
        <w:gridCol w:w="154"/>
      </w:tblGrid>
      <w:tr>
        <w:trPr/>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172085" cy="175260"/>
                      <wp:effectExtent l="0" t="0" r="0" b="0"/>
                      <wp:wrapNone/>
                      <wp:docPr id="701" name="Frame69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2924810" cy="175260"/>
                      <wp:effectExtent l="0" t="0" r="0" b="0"/>
                      <wp:wrapNone/>
                      <wp:docPr id="702" name="Frame693"/>
                      <a:graphic xmlns:a="http://schemas.openxmlformats.org/drawingml/2006/main">
                        <a:graphicData uri="http://schemas.microsoft.com/office/word/2010/wordprocessingShape">
                          <wps:wsp>
                            <wps:cNvSpPr txBox="1"/>
                            <wps:spPr>
                              <a:xfrm>
                                <a:off x="0" y="0"/>
                                <a:ext cx="2924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of Beneficial Owner to receive ADSs (English):</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 of Beneficial Owner to receive ADSs (English):</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of Registered Holder of the Deposited Shares:</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Deposited Shares:</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ADSs to be issued:</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Beneficial Owner’s Tax ID Number:</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w:t>
            </w:r>
          </w:p>
        </w:tc>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Contact Name and Tel No/email address:]</w:t>
            </w:r>
            <w:r>
              <w:rPr>
                <w:rFonts w:ascii="Times New Roman;Times;serif" w:hAnsi="Times New Roman;Times;serif"/>
                <w:sz w:val="15"/>
              </w:rPr>
              <w:t>8</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undersigned instructs the Depositary to deliver the ADRs representing the ADSs to the following account: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ADS Receiving Broker ( * are mandatory fields):</w:t>
      </w:r>
    </w:p>
    <w:tbl>
      <w:tblPr>
        <w:tblW w:w="4581" w:type="dxa"/>
        <w:jc w:val="left"/>
        <w:tblInd w:w="0" w:type="dxa"/>
        <w:tblLayout w:type="fixed"/>
        <w:tblCellMar>
          <w:top w:w="0" w:type="dxa"/>
          <w:left w:w="0" w:type="dxa"/>
          <w:bottom w:w="0" w:type="dxa"/>
          <w:right w:w="0" w:type="dxa"/>
        </w:tblCellMar>
      </w:tblPr>
      <w:tblGrid>
        <w:gridCol w:w="286"/>
        <w:gridCol w:w="4141"/>
        <w:gridCol w:w="154"/>
      </w:tblGrid>
      <w:tr>
        <w:trPr/>
        <w:tc>
          <w:tcPr>
            <w:tcW w:w="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DTC Broker Name*:</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DTC Broker’s Participant Account with DTC *:</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DTC Broker Contact Name:</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DTC Broker Contact Tel No/email:</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Beneficial Owner’s Account # with DTC Broker*:</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15"/>
        </w:rPr>
        <w:t>7</w:t>
      </w:r>
      <w:r>
        <w:rPr>
          <w:rFonts w:ascii="Times New Roman;Times;serif" w:hAnsi="Times New Roman;Times;serif"/>
          <w:sz w:val="20"/>
        </w:rPr>
        <w:t xml:space="preserve"> Include if a Restricted Security.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15"/>
        </w:rPr>
        <w:t>8</w:t>
      </w:r>
      <w:r>
        <w:rPr>
          <w:rFonts w:ascii="Times New Roman;Times;serif" w:hAnsi="Times New Roman;Times;serif"/>
          <w:sz w:val="20"/>
        </w:rPr>
        <w:t xml:space="preserve"> Include if a Restricted Security.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OR</w:t>
      </w:r>
    </w:p>
    <w:tbl>
      <w:tblPr>
        <w:tblW w:w="4956" w:type="dxa"/>
        <w:jc w:val="left"/>
        <w:tblInd w:w="0" w:type="dxa"/>
        <w:tblLayout w:type="fixed"/>
        <w:tblCellMar>
          <w:top w:w="0" w:type="dxa"/>
          <w:left w:w="0" w:type="dxa"/>
          <w:bottom w:w="0" w:type="dxa"/>
          <w:right w:w="0" w:type="dxa"/>
        </w:tblCellMar>
      </w:tblPr>
      <w:tblGrid>
        <w:gridCol w:w="271"/>
        <w:gridCol w:w="4531"/>
        <w:gridCol w:w="154"/>
      </w:tblGrid>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w:t>
            </w:r>
          </w:p>
        </w:tc>
        <w:tc>
          <w:tcPr>
            <w:tcW w:w="4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Local Broker Name (have account with DTC Broker)*:</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8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Local Broker Sub-Account # with DTC Broker*:</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48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Local Broker Contact Name:</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48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Local Broker Contact Tel No/email:</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ADS Delivering Party:</w:t>
      </w:r>
    </w:p>
    <w:tbl>
      <w:tblPr>
        <w:tblW w:w="4127" w:type="dxa"/>
        <w:jc w:val="left"/>
        <w:tblInd w:w="0" w:type="dxa"/>
        <w:tblLayout w:type="fixed"/>
        <w:tblCellMar>
          <w:top w:w="0" w:type="dxa"/>
          <w:left w:w="0" w:type="dxa"/>
          <w:bottom w:w="0" w:type="dxa"/>
          <w:right w:w="0" w:type="dxa"/>
        </w:tblCellMar>
      </w:tblPr>
      <w:tblGrid>
        <w:gridCol w:w="646"/>
        <w:gridCol w:w="3481"/>
      </w:tblGrid>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Deutsche Bank Trust Company Americas</w:t>
            </w:r>
          </w:p>
        </w:tc>
      </w:tr>
      <w:tr>
        <w:trPr/>
        <w:tc>
          <w:tcPr>
            <w:tcW w:w="64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DTC Account: #2655]</w:t>
            </w:r>
            <w:r>
              <w:rPr>
                <w:rFonts w:ascii="Times New Roman;Times;serif" w:hAnsi="Times New Roman;Times;serif"/>
                <w:sz w:val="15"/>
              </w:rPr>
              <w:t>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any ADS settlement inquiries, please contact DBTCA Broker Desk: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Tel: +1-212-250-9100 (New York) / +44-207-547-6500 (London)</w:t>
        <w:br/>
        <w:t xml:space="preserve">Email: </w:t>
      </w:r>
      <w:r>
        <w:rPr>
          <w:rFonts w:ascii="Times New Roman;Times;serif" w:hAnsi="Times New Roman;Times;serif"/>
          <w:sz w:val="20"/>
          <w:u w:val="single"/>
        </w:rPr>
        <w:t>adr@db.com</w:t>
      </w:r>
    </w:p>
    <w:p>
      <w:pPr>
        <w:pStyle w:val="HorizontalLine"/>
        <w:pBdr>
          <w:bottom w:val="single" w:sz="6" w:space="0" w:color="000000"/>
        </w:pBdr>
        <w:bidi w:val="0"/>
        <w:spacing w:before="0" w:after="0"/>
        <w:ind w:left="0" w:right="7654" w:hanging="0"/>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15"/>
        </w:rPr>
        <w:t xml:space="preserve">9 </w:t>
      </w:r>
      <w:r>
        <w:rPr>
          <w:rFonts w:ascii="Times New Roman;Times;serif" w:hAnsi="Times New Roman;Times;serif"/>
          <w:sz w:val="20"/>
        </w:rPr>
        <w:t>Include bracketed language in the conversion Notice if the Note being converted is not a Restricted Security.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195"/>
        <w:gridCol w:w="917"/>
        <w:gridCol w:w="326"/>
        <w:gridCol w:w="3767"/>
      </w:tblGrid>
      <w:tr>
        <w:trPr/>
        <w:tc>
          <w:tcPr>
            <w:tcW w:w="5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3298825" cy="175260"/>
                      <wp:effectExtent l="0" t="0" r="0" b="0"/>
                      <wp:wrapNone/>
                      <wp:docPr id="703" name="Frame694"/>
                      <a:graphic xmlns:a="http://schemas.openxmlformats.org/drawingml/2006/main">
                        <a:graphicData uri="http://schemas.microsoft.com/office/word/2010/wordprocessingShape">
                          <wps:wsp>
                            <wps:cNvSpPr txBox="1"/>
                            <wps:spPr>
                              <a:xfrm>
                                <a:off x="0" y="0"/>
                                <a:ext cx="3298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582295" cy="175260"/>
                      <wp:effectExtent l="0" t="0" r="0" b="0"/>
                      <wp:wrapNone/>
                      <wp:docPr id="704" name="Frame695"/>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3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2392045" cy="175260"/>
                      <wp:effectExtent l="0" t="0" r="0" b="0"/>
                      <wp:wrapNone/>
                      <wp:docPr id="705" name="Frame696"/>
                      <a:graphic xmlns:a="http://schemas.openxmlformats.org/drawingml/2006/main">
                        <a:graphicData uri="http://schemas.microsoft.com/office/word/2010/wordprocessingShape">
                          <wps:wsp>
                            <wps:cNvSpPr txBox="1"/>
                            <wps:spPr>
                              <a:xfrm>
                                <a:off x="0" y="0"/>
                                <a:ext cx="2392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7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11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6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611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Signature(s)</w:t>
            </w:r>
          </w:p>
        </w:tc>
      </w:tr>
      <w:tr>
        <w:trPr/>
        <w:tc>
          <w:tcPr>
            <w:tcW w:w="611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67" w:type="dxa"/>
            <w:tcBorders/>
            <w:vAlign w:val="center"/>
          </w:tcPr>
          <w:p>
            <w:pPr>
              <w:pStyle w:val="TableContents"/>
              <w:bidi w:val="0"/>
              <w:spacing w:before="0" w:after="0"/>
              <w:ind w:left="0" w:right="0" w:hanging="0"/>
              <w:jc w:val="left"/>
              <w:rPr/>
            </w:pPr>
            <w:r>
              <w:rPr/>
              <w:t>​</w:t>
            </w:r>
          </w:p>
        </w:tc>
      </w:tr>
      <w:tr>
        <w:trPr/>
        <w:tc>
          <w:tcPr>
            <w:tcW w:w="6112"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67" w:type="dxa"/>
            <w:tcBorders/>
            <w:vAlign w:val="center"/>
          </w:tcPr>
          <w:p>
            <w:pPr>
              <w:pStyle w:val="TableContents"/>
              <w:bidi w:val="0"/>
              <w:spacing w:before="0" w:after="0"/>
              <w:ind w:left="0" w:right="0" w:hanging="0"/>
              <w:jc w:val="left"/>
              <w:rPr/>
            </w:pPr>
            <w:r>
              <w:rPr/>
              <w:t>​</w:t>
            </w:r>
          </w:p>
        </w:tc>
      </w:tr>
      <w:tr>
        <w:trPr/>
        <w:tc>
          <w:tcPr>
            <w:tcW w:w="6112"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 Guarantee</w:t>
            </w:r>
          </w:p>
        </w:tc>
        <w:tc>
          <w:tcPr>
            <w:tcW w:w="326" w:type="dxa"/>
            <w:tcBorders/>
            <w:vAlign w:val="center"/>
          </w:tcPr>
          <w:p>
            <w:pPr>
              <w:pStyle w:val="TableContents"/>
              <w:bidi w:val="0"/>
              <w:spacing w:before="0" w:after="0"/>
              <w:ind w:left="0" w:right="0" w:hanging="0"/>
              <w:jc w:val="left"/>
              <w:rPr/>
            </w:pPr>
            <w:r>
              <w:rPr/>
              <w:t>​</w:t>
            </w:r>
          </w:p>
        </w:tc>
        <w:tc>
          <w:tcPr>
            <w:tcW w:w="3767" w:type="dxa"/>
            <w:tcBorders/>
            <w:vAlign w:val="center"/>
          </w:tcPr>
          <w:p>
            <w:pPr>
              <w:pStyle w:val="TableContents"/>
              <w:bidi w:val="0"/>
              <w:spacing w:before="0" w:after="0"/>
              <w:ind w:left="0" w:right="0" w:hanging="0"/>
              <w:jc w:val="left"/>
              <w:rPr/>
            </w:pPr>
            <w:r>
              <w:rPr/>
              <w:t>​</w:t>
            </w:r>
          </w:p>
        </w:tc>
      </w:tr>
      <w:tr>
        <w:trPr/>
        <w:tc>
          <w:tcPr>
            <w:tcW w:w="611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67" w:type="dxa"/>
            <w:tcBorders/>
            <w:vAlign w:val="center"/>
          </w:tcPr>
          <w:p>
            <w:pPr>
              <w:pStyle w:val="TableContents"/>
              <w:bidi w:val="0"/>
              <w:spacing w:before="0" w:after="0"/>
              <w:ind w:left="0" w:right="0" w:hanging="0"/>
              <w:jc w:val="left"/>
              <w:rPr/>
            </w:pPr>
            <w:r>
              <w:rPr/>
              <w:t>​</w:t>
            </w:r>
          </w:p>
        </w:tc>
      </w:tr>
      <w:tr>
        <w:trPr/>
        <w:tc>
          <w:tcPr>
            <w:tcW w:w="611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Signature(s) must be guaranteed by an eligible Guarantor Institution (banks, stock brokers, savings and loan associations and credit unions) with membership in an approved signature guarantee medallion program pursuant to Securities and Exchange Commission Rule 17Ad-15 if ADSs are to be issued, or Notes are to be delivered, other than to and in the name of the registered holder.</w:t>
            </w:r>
          </w:p>
        </w:tc>
        <w:tc>
          <w:tcPr>
            <w:tcW w:w="326" w:type="dxa"/>
            <w:tcBorders/>
            <w:vAlign w:val="center"/>
          </w:tcPr>
          <w:p>
            <w:pPr>
              <w:pStyle w:val="TableContents"/>
              <w:bidi w:val="0"/>
              <w:spacing w:before="0" w:after="0"/>
              <w:ind w:left="0" w:right="0" w:hanging="0"/>
              <w:jc w:val="left"/>
              <w:rPr/>
            </w:pPr>
            <w:r>
              <w:rPr/>
              <w:t>​</w:t>
            </w:r>
          </w:p>
        </w:tc>
        <w:tc>
          <w:tcPr>
            <w:tcW w:w="3767" w:type="dxa"/>
            <w:tcBorders/>
            <w:vAlign w:val="center"/>
          </w:tcPr>
          <w:p>
            <w:pPr>
              <w:pStyle w:val="TableContents"/>
              <w:bidi w:val="0"/>
              <w:spacing w:before="0" w:after="0"/>
              <w:ind w:left="0" w:right="0" w:hanging="0"/>
              <w:jc w:val="left"/>
              <w:rPr/>
            </w:pPr>
            <w:r>
              <w:rPr/>
              <w:t>​</w:t>
            </w:r>
          </w:p>
        </w:tc>
      </w:tr>
      <w:tr>
        <w:trPr/>
        <w:tc>
          <w:tcPr>
            <w:tcW w:w="611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67" w:type="dxa"/>
            <w:tcBorders/>
            <w:vAlign w:val="center"/>
          </w:tcPr>
          <w:p>
            <w:pPr>
              <w:pStyle w:val="TableContents"/>
              <w:bidi w:val="0"/>
              <w:spacing w:before="0" w:after="0"/>
              <w:ind w:left="0" w:right="0" w:hanging="0"/>
              <w:jc w:val="left"/>
              <w:rPr/>
            </w:pPr>
            <w:r>
              <w:rPr/>
              <w:t>​</w:t>
            </w:r>
          </w:p>
        </w:tc>
      </w:tr>
      <w:tr>
        <w:trPr/>
        <w:tc>
          <w:tcPr>
            <w:tcW w:w="611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Fill in for registration of ADSs if to be issued, and Notes if to be delivered, other than to and in the name of the registered holder:</w:t>
            </w:r>
          </w:p>
        </w:tc>
        <w:tc>
          <w:tcPr>
            <w:tcW w:w="326" w:type="dxa"/>
            <w:tcBorders/>
            <w:vAlign w:val="center"/>
          </w:tcPr>
          <w:p>
            <w:pPr>
              <w:pStyle w:val="TableContents"/>
              <w:bidi w:val="0"/>
              <w:spacing w:before="0" w:after="0"/>
              <w:ind w:left="0" w:right="0" w:hanging="0"/>
              <w:jc w:val="left"/>
              <w:rPr/>
            </w:pPr>
            <w:r>
              <w:rPr/>
              <w:t>​</w:t>
            </w:r>
          </w:p>
        </w:tc>
        <w:tc>
          <w:tcPr>
            <w:tcW w:w="3767" w:type="dxa"/>
            <w:tcBorders/>
            <w:vAlign w:val="center"/>
          </w:tcPr>
          <w:p>
            <w:pPr>
              <w:pStyle w:val="TableContents"/>
              <w:bidi w:val="0"/>
              <w:spacing w:before="0" w:after="0"/>
              <w:ind w:left="0" w:right="0" w:hanging="0"/>
              <w:jc w:val="left"/>
              <w:rPr/>
            </w:pPr>
            <w:r>
              <w:rPr/>
              <w:t>​</w:t>
            </w:r>
          </w:p>
        </w:tc>
      </w:tr>
      <w:tr>
        <w:trPr/>
        <w:tc>
          <w:tcPr>
            <w:tcW w:w="611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67" w:type="dxa"/>
            <w:tcBorders/>
            <w:vAlign w:val="center"/>
          </w:tcPr>
          <w:p>
            <w:pPr>
              <w:pStyle w:val="TableContents"/>
              <w:bidi w:val="0"/>
              <w:spacing w:before="0" w:after="0"/>
              <w:ind w:left="0" w:right="0" w:hanging="0"/>
              <w:jc w:val="left"/>
              <w:rPr/>
            </w:pPr>
            <w:r>
              <w:rPr/>
              <w:t>​</w:t>
            </w:r>
          </w:p>
        </w:tc>
      </w:tr>
      <w:tr>
        <w:trPr/>
        <w:tc>
          <w:tcPr>
            <w:tcW w:w="6112"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67" w:type="dxa"/>
            <w:tcBorders/>
            <w:vAlign w:val="center"/>
          </w:tcPr>
          <w:p>
            <w:pPr>
              <w:pStyle w:val="TableContents"/>
              <w:bidi w:val="0"/>
              <w:spacing w:before="0" w:after="0"/>
              <w:ind w:left="0" w:right="0" w:hanging="0"/>
              <w:jc w:val="left"/>
              <w:rPr/>
            </w:pPr>
            <w:r>
              <w:rPr/>
              <w:t>​</w:t>
            </w:r>
          </w:p>
        </w:tc>
      </w:tr>
      <w:tr>
        <w:trPr/>
        <w:tc>
          <w:tcPr>
            <w:tcW w:w="6112"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6" w:type="dxa"/>
            <w:tcBorders/>
            <w:vAlign w:val="center"/>
          </w:tcPr>
          <w:p>
            <w:pPr>
              <w:pStyle w:val="TableContents"/>
              <w:bidi w:val="0"/>
              <w:spacing w:before="0" w:after="0"/>
              <w:ind w:left="0" w:right="0" w:hanging="0"/>
              <w:jc w:val="left"/>
              <w:rPr/>
            </w:pPr>
            <w:r>
              <w:rPr/>
              <w:t>​</w:t>
            </w:r>
          </w:p>
        </w:tc>
        <w:tc>
          <w:tcPr>
            <w:tcW w:w="3767" w:type="dxa"/>
            <w:tcBorders/>
            <w:vAlign w:val="center"/>
          </w:tcPr>
          <w:p>
            <w:pPr>
              <w:pStyle w:val="TableContents"/>
              <w:bidi w:val="0"/>
              <w:spacing w:before="0" w:after="0"/>
              <w:ind w:left="0" w:right="0" w:hanging="0"/>
              <w:jc w:val="left"/>
              <w:rPr/>
            </w:pPr>
            <w:r>
              <w:rPr/>
              <w:t>​</w:t>
            </w:r>
          </w:p>
        </w:tc>
      </w:tr>
      <w:tr>
        <w:trPr/>
        <w:tc>
          <w:tcPr>
            <w:tcW w:w="611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67" w:type="dxa"/>
            <w:tcBorders/>
            <w:vAlign w:val="center"/>
          </w:tcPr>
          <w:p>
            <w:pPr>
              <w:pStyle w:val="TableContents"/>
              <w:bidi w:val="0"/>
              <w:spacing w:before="0" w:after="0"/>
              <w:ind w:left="0" w:right="0" w:hanging="0"/>
              <w:jc w:val="left"/>
              <w:rPr/>
            </w:pPr>
            <w:r>
              <w:rPr/>
              <w:t>​</w:t>
            </w:r>
          </w:p>
        </w:tc>
      </w:tr>
      <w:tr>
        <w:trPr/>
        <w:tc>
          <w:tcPr>
            <w:tcW w:w="6112"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67" w:type="dxa"/>
            <w:tcBorders/>
            <w:vAlign w:val="center"/>
          </w:tcPr>
          <w:p>
            <w:pPr>
              <w:pStyle w:val="TableContents"/>
              <w:bidi w:val="0"/>
              <w:spacing w:before="0" w:after="0"/>
              <w:ind w:left="0" w:right="0" w:hanging="0"/>
              <w:jc w:val="left"/>
              <w:rPr/>
            </w:pPr>
            <w:r>
              <w:rPr/>
              <w:t>​</w:t>
            </w:r>
          </w:p>
        </w:tc>
      </w:tr>
      <w:tr>
        <w:trPr/>
        <w:tc>
          <w:tcPr>
            <w:tcW w:w="6112"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(Street Address)</w:t>
            </w:r>
          </w:p>
        </w:tc>
        <w:tc>
          <w:tcPr>
            <w:tcW w:w="326" w:type="dxa"/>
            <w:tcBorders/>
            <w:vAlign w:val="center"/>
          </w:tcPr>
          <w:p>
            <w:pPr>
              <w:pStyle w:val="TableContents"/>
              <w:bidi w:val="0"/>
              <w:spacing w:before="0" w:after="0"/>
              <w:ind w:left="0" w:right="0" w:hanging="0"/>
              <w:jc w:val="left"/>
              <w:rPr/>
            </w:pPr>
            <w:r>
              <w:rPr/>
              <w:t>​</w:t>
            </w:r>
          </w:p>
        </w:tc>
        <w:tc>
          <w:tcPr>
            <w:tcW w:w="3767" w:type="dxa"/>
            <w:tcBorders/>
            <w:vAlign w:val="center"/>
          </w:tcPr>
          <w:p>
            <w:pPr>
              <w:pStyle w:val="TableContents"/>
              <w:bidi w:val="0"/>
              <w:spacing w:before="0" w:after="0"/>
              <w:ind w:left="0" w:right="0" w:hanging="0"/>
              <w:jc w:val="left"/>
              <w:rPr/>
            </w:pPr>
            <w:r>
              <w:rPr/>
              <w:t>​</w:t>
            </w:r>
          </w:p>
        </w:tc>
      </w:tr>
      <w:tr>
        <w:trPr/>
        <w:tc>
          <w:tcPr>
            <w:tcW w:w="611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67" w:type="dxa"/>
            <w:tcBorders/>
            <w:vAlign w:val="center"/>
          </w:tcPr>
          <w:p>
            <w:pPr>
              <w:pStyle w:val="TableContents"/>
              <w:bidi w:val="0"/>
              <w:spacing w:before="0" w:after="0"/>
              <w:ind w:left="0" w:right="0" w:hanging="0"/>
              <w:jc w:val="left"/>
              <w:rPr/>
            </w:pPr>
            <w:r>
              <w:rPr/>
              <w:t>​</w:t>
            </w:r>
          </w:p>
        </w:tc>
      </w:tr>
      <w:tr>
        <w:trPr/>
        <w:tc>
          <w:tcPr>
            <w:tcW w:w="6112"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67" w:type="dxa"/>
            <w:tcBorders/>
            <w:vAlign w:val="center"/>
          </w:tcPr>
          <w:p>
            <w:pPr>
              <w:pStyle w:val="TableContents"/>
              <w:bidi w:val="0"/>
              <w:spacing w:before="0" w:after="0"/>
              <w:ind w:left="0" w:right="0" w:hanging="0"/>
              <w:jc w:val="left"/>
              <w:rPr/>
            </w:pPr>
            <w:r>
              <w:rPr/>
              <w:t>​</w:t>
            </w:r>
          </w:p>
        </w:tc>
      </w:tr>
      <w:tr>
        <w:trPr/>
        <w:tc>
          <w:tcPr>
            <w:tcW w:w="6112"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(City, State and Zip Code)</w:t>
            </w:r>
          </w:p>
        </w:tc>
        <w:tc>
          <w:tcPr>
            <w:tcW w:w="326" w:type="dxa"/>
            <w:tcBorders/>
            <w:vAlign w:val="center"/>
          </w:tcPr>
          <w:p>
            <w:pPr>
              <w:pStyle w:val="TableContents"/>
              <w:bidi w:val="0"/>
              <w:spacing w:before="0" w:after="0"/>
              <w:ind w:left="0" w:right="0" w:hanging="0"/>
              <w:jc w:val="left"/>
              <w:rPr/>
            </w:pPr>
            <w:r>
              <w:rPr/>
              <w:t>​</w:t>
            </w:r>
          </w:p>
        </w:tc>
        <w:tc>
          <w:tcPr>
            <w:tcW w:w="3767" w:type="dxa"/>
            <w:tcBorders/>
            <w:vAlign w:val="center"/>
          </w:tcPr>
          <w:p>
            <w:pPr>
              <w:pStyle w:val="TableContents"/>
              <w:bidi w:val="0"/>
              <w:spacing w:before="0" w:after="0"/>
              <w:ind w:left="0" w:right="0" w:hanging="0"/>
              <w:jc w:val="left"/>
              <w:rPr/>
            </w:pPr>
            <w:r>
              <w:rPr/>
              <w:t>​</w:t>
            </w:r>
          </w:p>
        </w:tc>
      </w:tr>
      <w:tr>
        <w:trPr/>
        <w:tc>
          <w:tcPr>
            <w:tcW w:w="611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Please print name and address</w:t>
            </w:r>
          </w:p>
        </w:tc>
        <w:tc>
          <w:tcPr>
            <w:tcW w:w="326" w:type="dxa"/>
            <w:tcBorders/>
            <w:vAlign w:val="center"/>
          </w:tcPr>
          <w:p>
            <w:pPr>
              <w:pStyle w:val="TableContents"/>
              <w:bidi w:val="0"/>
              <w:spacing w:before="0" w:after="0"/>
              <w:ind w:left="0" w:right="0" w:hanging="0"/>
              <w:jc w:val="left"/>
              <w:rPr/>
            </w:pPr>
            <w:r>
              <w:rPr/>
              <w:t>​</w:t>
            </w:r>
          </w:p>
        </w:tc>
        <w:tc>
          <w:tcPr>
            <w:tcW w:w="3767" w:type="dxa"/>
            <w:tcBorders/>
            <w:vAlign w:val="center"/>
          </w:tcPr>
          <w:p>
            <w:pPr>
              <w:pStyle w:val="TableContents"/>
              <w:bidi w:val="0"/>
              <w:spacing w:before="0" w:after="0"/>
              <w:ind w:left="0" w:right="0" w:hanging="0"/>
              <w:jc w:val="left"/>
              <w:rPr/>
            </w:pPr>
            <w:r>
              <w:rPr/>
              <w:t>​</w:t>
            </w:r>
          </w:p>
        </w:tc>
      </w:tr>
      <w:tr>
        <w:trPr/>
        <w:tc>
          <w:tcPr>
            <w:tcW w:w="611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67" w:type="dxa"/>
            <w:tcBorders/>
            <w:vAlign w:val="center"/>
          </w:tcPr>
          <w:p>
            <w:pPr>
              <w:pStyle w:val="TableContents"/>
              <w:bidi w:val="0"/>
              <w:spacing w:before="0" w:after="0"/>
              <w:ind w:left="0" w:right="0" w:hanging="0"/>
              <w:jc w:val="left"/>
              <w:rPr/>
            </w:pPr>
            <w:r>
              <w:rPr/>
              <w:t>​</w:t>
            </w:r>
          </w:p>
        </w:tc>
      </w:tr>
      <w:tr>
        <w:trPr/>
        <w:tc>
          <w:tcPr>
            <w:tcW w:w="611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amount to be converted (if less than all):</w:t>
            </w:r>
          </w:p>
        </w:tc>
      </w:tr>
      <w:tr>
        <w:trPr/>
        <w:tc>
          <w:tcPr>
            <w:tcW w:w="611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US$ </w:t>
            </w:r>
            <w:r>
              <w:rPr>
                <w:rFonts w:ascii="Times New Roman;Times;serif" w:hAnsi="Times New Roman;Times;serif"/>
                <w:sz w:val="20"/>
                <w:u w:val="single"/>
              </w:rPr>
              <w:t>            </w:t>
            </w:r>
            <w:r>
              <w:rPr>
                <w:rFonts w:ascii="Times New Roman;Times;serif" w:hAnsi="Times New Roman;Times;serif"/>
                <w:sz w:val="20"/>
              </w:rPr>
              <w:t>,000</w:t>
            </w:r>
          </w:p>
        </w:tc>
      </w:tr>
      <w:tr>
        <w:trPr/>
        <w:tc>
          <w:tcPr>
            <w:tcW w:w="611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67" w:type="dxa"/>
            <w:tcBorders/>
            <w:vAlign w:val="center"/>
          </w:tcPr>
          <w:p>
            <w:pPr>
              <w:pStyle w:val="TableContents"/>
              <w:bidi w:val="0"/>
              <w:spacing w:before="0" w:after="0"/>
              <w:ind w:left="0" w:right="0" w:hanging="0"/>
              <w:jc w:val="left"/>
              <w:rPr/>
            </w:pPr>
            <w:r>
              <w:rPr/>
              <w:t>​</w:t>
            </w:r>
          </w:p>
        </w:tc>
      </w:tr>
      <w:tr>
        <w:trPr/>
        <w:tc>
          <w:tcPr>
            <w:tcW w:w="611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 The above signature(s) of the Holder(s) hereof must correspond with the name as written upon the face of the Note in every particular without alteration or enlargement or any change whatever.</w:t>
            </w:r>
          </w:p>
        </w:tc>
      </w:tr>
      <w:tr>
        <w:trPr/>
        <w:tc>
          <w:tcPr>
            <w:tcW w:w="611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67" w:type="dxa"/>
            <w:tcBorders/>
            <w:vAlign w:val="center"/>
          </w:tcPr>
          <w:p>
            <w:pPr>
              <w:pStyle w:val="TableContents"/>
              <w:bidi w:val="0"/>
              <w:spacing w:before="0" w:after="0"/>
              <w:ind w:left="0" w:right="0" w:hanging="0"/>
              <w:jc w:val="left"/>
              <w:rPr/>
            </w:pPr>
            <w:r>
              <w:rPr/>
              <w:t>​</w:t>
            </w:r>
          </w:p>
        </w:tc>
      </w:tr>
      <w:tr>
        <w:trPr/>
        <w:tc>
          <w:tcPr>
            <w:tcW w:w="611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11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6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Social Security or Other Taxpayer</w:t>
            </w:r>
          </w:p>
        </w:tc>
      </w:tr>
      <w:tr>
        <w:trPr/>
        <w:tc>
          <w:tcPr>
            <w:tcW w:w="611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Identification Number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ATTACHMENT 2</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[FORM OF FUNDAMENTAL CHANGE REPURCHASE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To:</w:t>
      </w:r>
      <w:r>
        <w:rPr>
          <w:rFonts w:ascii="Times New Roman;Times;serif" w:hAnsi="Times New Roman;Times;serif"/>
          <w:sz w:val="20"/>
        </w:rPr>
        <w:t>NIO INC.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DEUTSCHE BANK TRUST COMPANY AMERICAS, as Trustee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registered owner of this Note hereby acknowledges receipt of a notice from NIO Inc. (the “</w:t>
      </w:r>
      <w:r>
        <w:rPr>
          <w:rFonts w:ascii="Times New Roman;Times;serif" w:hAnsi="Times New Roman;Times;serif"/>
          <w:b/>
          <w:sz w:val="20"/>
        </w:rPr>
        <w:t>Company</w:t>
      </w:r>
      <w:r>
        <w:rPr>
          <w:rFonts w:ascii="Times New Roman;Times;serif" w:hAnsi="Times New Roman;Times;serif"/>
          <w:sz w:val="20"/>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US$1,000 principal amount or an integral multiple thereof) below designated, 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(2) if such Fundamental Change Repurchase Date does not fall during the period after a Regular Record Date and on or prior to the corresponding Interest Payment Date, accrued and unpaid interest thereon to, but excluding, such Fundamental Change Repurchase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case of Physical Notes, the certificate numbers of the Notes to be repurchased are as set forth below: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Certificate Number(s): </w:t>
      </w:r>
      <w:r>
        <w:rPr>
          <w:rFonts w:ascii="Times New Roman;Times;serif" w:hAnsi="Times New Roman;Times;serif"/>
          <w:sz w:val="20"/>
          <w:u w:val="single"/>
        </w:rPr>
        <w:t>                                                           </w:t>
      </w:r>
    </w:p>
    <w:tbl>
      <w:tblPr>
        <w:tblW w:w="10205" w:type="dxa"/>
        <w:jc w:val="left"/>
        <w:tblInd w:w="0" w:type="dxa"/>
        <w:tblLayout w:type="fixed"/>
        <w:tblCellMar>
          <w:top w:w="0" w:type="dxa"/>
          <w:left w:w="0" w:type="dxa"/>
          <w:bottom w:w="0" w:type="dxa"/>
          <w:right w:w="0" w:type="dxa"/>
        </w:tblCellMar>
      </w:tblPr>
      <w:tblGrid>
        <w:gridCol w:w="632"/>
        <w:gridCol w:w="109"/>
        <w:gridCol w:w="326"/>
        <w:gridCol w:w="9138"/>
      </w:tblGrid>
      <w:tr>
        <w:trP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38" w:type="dxa"/>
            <w:tcBorders/>
            <w:vAlign w:val="center"/>
          </w:tcPr>
          <w:p>
            <w:pPr>
              <w:pStyle w:val="TableContents"/>
              <w:bidi w:val="0"/>
              <w:spacing w:before="0" w:after="0"/>
              <w:ind w:left="0" w:right="0" w:hanging="0"/>
              <w:jc w:val="left"/>
              <w:rPr/>
            </w:pPr>
            <w:r>
              <w:rPr/>
              <w:t>​</w:t>
            </w:r>
          </w:p>
        </w:tc>
      </w:tr>
      <w:tr>
        <w:trPr/>
        <w:tc>
          <w:tcPr>
            <w:tcW w:w="741"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41"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Signature(s)</w:t>
            </w:r>
          </w:p>
        </w:tc>
      </w:tr>
      <w:tr>
        <w:trPr/>
        <w:tc>
          <w:tcPr>
            <w:tcW w:w="741"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38" w:type="dxa"/>
            <w:tcBorders/>
            <w:vAlign w:val="center"/>
          </w:tcPr>
          <w:p>
            <w:pPr>
              <w:pStyle w:val="TableContents"/>
              <w:bidi w:val="0"/>
              <w:spacing w:before="0" w:after="0"/>
              <w:ind w:left="0" w:right="0" w:hanging="0"/>
              <w:jc w:val="left"/>
              <w:rPr/>
            </w:pPr>
            <w:r>
              <w:rPr/>
              <w:t>​</w:t>
            </w:r>
          </w:p>
        </w:tc>
      </w:tr>
      <w:tr>
        <w:trPr/>
        <w:tc>
          <w:tcPr>
            <w:tcW w:w="741"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41"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3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Social Security or Other Taxpayer Identification Number</w:t>
            </w:r>
          </w:p>
        </w:tc>
      </w:tr>
      <w:tr>
        <w:trPr/>
        <w:tc>
          <w:tcPr>
            <w:tcW w:w="741"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38" w:type="dxa"/>
            <w:tcBorders/>
            <w:vAlign w:val="center"/>
          </w:tcPr>
          <w:p>
            <w:pPr>
              <w:pStyle w:val="TableContents"/>
              <w:bidi w:val="0"/>
              <w:spacing w:before="0" w:after="0"/>
              <w:ind w:left="0" w:right="0" w:hanging="0"/>
              <w:jc w:val="left"/>
              <w:rPr/>
            </w:pPr>
            <w:r>
              <w:rPr/>
              <w:t>​</w:t>
            </w:r>
          </w:p>
        </w:tc>
      </w:tr>
      <w:tr>
        <w:trPr/>
        <w:tc>
          <w:tcPr>
            <w:tcW w:w="741"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Principal amount to be repaid (if less than all): US$ </w:t>
            </w:r>
            <w:r>
              <w:rPr>
                <w:rFonts w:ascii="Times New Roman;Times;serif" w:hAnsi="Times New Roman;Times;serif"/>
                <w:sz w:val="20"/>
                <w:u w:val="single"/>
              </w:rPr>
              <w:t>            </w:t>
            </w:r>
            <w:r>
              <w:rPr>
                <w:rFonts w:ascii="Times New Roman;Times;serif" w:hAnsi="Times New Roman;Times;serif"/>
                <w:sz w:val="20"/>
              </w:rPr>
              <w:t>,000</w:t>
            </w:r>
          </w:p>
        </w:tc>
      </w:tr>
      <w:tr>
        <w:trPr/>
        <w:tc>
          <w:tcPr>
            <w:tcW w:w="741"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38" w:type="dxa"/>
            <w:tcBorders/>
            <w:vAlign w:val="center"/>
          </w:tcPr>
          <w:p>
            <w:pPr>
              <w:pStyle w:val="TableContents"/>
              <w:bidi w:val="0"/>
              <w:spacing w:before="0" w:after="0"/>
              <w:ind w:left="0" w:right="0" w:hanging="0"/>
              <w:jc w:val="left"/>
              <w:rPr/>
            </w:pPr>
            <w:r>
              <w:rPr/>
              <w:t>​</w:t>
            </w:r>
          </w:p>
        </w:tc>
      </w:tr>
      <w:tr>
        <w:trPr/>
        <w:tc>
          <w:tcPr>
            <w:tcW w:w="741"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 The above signature(s) of the Holder(s) hereof must correspond with the name as written upon the face of the Note in every particular without alteration or enlargement or any change whatever.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ATTACHMENT 3</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[FORM OF REPURCHASE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To:</w:t>
      </w:r>
      <w:r>
        <w:rPr>
          <w:rFonts w:ascii="Times New Roman;Times;serif" w:hAnsi="Times New Roman;Times;serif"/>
          <w:sz w:val="20"/>
        </w:rPr>
        <w:t>NIO INC.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DEUTSCHE BANK TRUST COMPANY AMERICAS, as Trustee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registered owner of this Note hereby acknowledges receipt of a notice from NIO Inc. (the “</w:t>
      </w:r>
      <w:r>
        <w:rPr>
          <w:rFonts w:ascii="Times New Roman;Times;serif" w:hAnsi="Times New Roman;Times;serif"/>
          <w:b/>
          <w:sz w:val="20"/>
        </w:rPr>
        <w:t>Company</w:t>
      </w:r>
      <w:r>
        <w:rPr>
          <w:rFonts w:ascii="Times New Roman;Times;serif" w:hAnsi="Times New Roman;Times;serif"/>
          <w:sz w:val="20"/>
        </w:rPr>
        <w:t>”) regarding the right of Holders to elect to require the Company to repurchase the entire principal amount of this Note, or the portion thereof (that is US$1,000 principal amount or an integral multiple thereof) below designated, in accordance with the applicable provisions of the Indenture referred to in this Note, at the Repurchase Price to the registered Holder hereof.</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case of certificated Notes, the certificate numbers of the Notes to be purchased are as set forth below: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Certificate Number(s): </w:t>
      </w:r>
      <w:r>
        <w:rPr>
          <w:rFonts w:ascii="Times New Roman;Times;serif" w:hAnsi="Times New Roman;Times;serif"/>
          <w:sz w:val="20"/>
          <w:u w:val="single"/>
        </w:rPr>
        <w:t>                                                           </w:t>
      </w:r>
    </w:p>
    <w:tbl>
      <w:tblPr>
        <w:tblW w:w="10205" w:type="dxa"/>
        <w:jc w:val="left"/>
        <w:tblInd w:w="0" w:type="dxa"/>
        <w:tblLayout w:type="fixed"/>
        <w:tblCellMar>
          <w:top w:w="0" w:type="dxa"/>
          <w:left w:w="0" w:type="dxa"/>
          <w:bottom w:w="0" w:type="dxa"/>
          <w:right w:w="0" w:type="dxa"/>
        </w:tblCellMar>
      </w:tblPr>
      <w:tblGrid>
        <w:gridCol w:w="632"/>
        <w:gridCol w:w="109"/>
        <w:gridCol w:w="326"/>
        <w:gridCol w:w="9138"/>
      </w:tblGrid>
      <w:tr>
        <w:trP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38" w:type="dxa"/>
            <w:tcBorders/>
            <w:vAlign w:val="center"/>
          </w:tcPr>
          <w:p>
            <w:pPr>
              <w:pStyle w:val="TableContents"/>
              <w:bidi w:val="0"/>
              <w:spacing w:before="0" w:after="0"/>
              <w:ind w:left="0" w:right="0" w:hanging="0"/>
              <w:jc w:val="left"/>
              <w:rPr/>
            </w:pPr>
            <w:r>
              <w:rPr/>
              <w:t>​</w:t>
            </w:r>
          </w:p>
        </w:tc>
      </w:tr>
      <w:tr>
        <w:trPr/>
        <w:tc>
          <w:tcPr>
            <w:tcW w:w="741"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41"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Signature(s)</w:t>
            </w:r>
          </w:p>
        </w:tc>
      </w:tr>
      <w:tr>
        <w:trPr/>
        <w:tc>
          <w:tcPr>
            <w:tcW w:w="741"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38" w:type="dxa"/>
            <w:tcBorders/>
            <w:vAlign w:val="center"/>
          </w:tcPr>
          <w:p>
            <w:pPr>
              <w:pStyle w:val="TableContents"/>
              <w:bidi w:val="0"/>
              <w:spacing w:before="0" w:after="0"/>
              <w:ind w:left="0" w:right="0" w:hanging="0"/>
              <w:jc w:val="left"/>
              <w:rPr/>
            </w:pPr>
            <w:r>
              <w:rPr/>
              <w:t>​</w:t>
            </w:r>
          </w:p>
        </w:tc>
      </w:tr>
      <w:tr>
        <w:trPr/>
        <w:tc>
          <w:tcPr>
            <w:tcW w:w="741"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41"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3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Social Security or Other Taxpayer Identification Number</w:t>
            </w:r>
          </w:p>
        </w:tc>
      </w:tr>
      <w:tr>
        <w:trPr/>
        <w:tc>
          <w:tcPr>
            <w:tcW w:w="741"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38" w:type="dxa"/>
            <w:tcBorders/>
            <w:vAlign w:val="center"/>
          </w:tcPr>
          <w:p>
            <w:pPr>
              <w:pStyle w:val="TableContents"/>
              <w:bidi w:val="0"/>
              <w:spacing w:before="0" w:after="0"/>
              <w:ind w:left="0" w:right="0" w:hanging="0"/>
              <w:jc w:val="left"/>
              <w:rPr/>
            </w:pPr>
            <w:r>
              <w:rPr/>
              <w:t>​</w:t>
            </w:r>
          </w:p>
        </w:tc>
      </w:tr>
      <w:tr>
        <w:trPr/>
        <w:tc>
          <w:tcPr>
            <w:tcW w:w="741"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Principal amount to be repaid (if less than all): US$ </w:t>
            </w:r>
            <w:r>
              <w:rPr>
                <w:rFonts w:ascii="Times New Roman;Times;serif" w:hAnsi="Times New Roman;Times;serif"/>
                <w:sz w:val="20"/>
                <w:u w:val="single"/>
              </w:rPr>
              <w:t>            </w:t>
            </w:r>
            <w:r>
              <w:rPr>
                <w:rFonts w:ascii="Times New Roman;Times;serif" w:hAnsi="Times New Roman;Times;serif"/>
                <w:sz w:val="20"/>
              </w:rPr>
              <w:t>,000</w:t>
            </w:r>
          </w:p>
        </w:tc>
      </w:tr>
      <w:tr>
        <w:trPr/>
        <w:tc>
          <w:tcPr>
            <w:tcW w:w="741"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38" w:type="dxa"/>
            <w:tcBorders/>
            <w:vAlign w:val="center"/>
          </w:tcPr>
          <w:p>
            <w:pPr>
              <w:pStyle w:val="TableContents"/>
              <w:bidi w:val="0"/>
              <w:spacing w:before="0" w:after="0"/>
              <w:ind w:left="0" w:right="0" w:hanging="0"/>
              <w:jc w:val="left"/>
              <w:rPr/>
            </w:pPr>
            <w:r>
              <w:rPr/>
              <w:t>​</w:t>
            </w:r>
          </w:p>
        </w:tc>
      </w:tr>
      <w:tr>
        <w:trPr/>
        <w:tc>
          <w:tcPr>
            <w:tcW w:w="741"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 The above signature(s) of the Holder(s) hereof must correspond with the name as written upon the face of the Note in every particular without alteration or enlargement or any change whatever.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ATTACHMENT 4</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[FORM OF ASSIGNMENT AND TRANSFER]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value received </w:t>
      </w:r>
      <w:r>
        <w:rPr>
          <w:rFonts w:ascii="Times New Roman;Times;serif" w:hAnsi="Times New Roman;Times;serif"/>
          <w:sz w:val="20"/>
          <w:u w:val="single"/>
        </w:rPr>
        <w:t>                    </w:t>
      </w:r>
      <w:r>
        <w:rPr>
          <w:rFonts w:ascii="Times New Roman;Times;serif" w:hAnsi="Times New Roman;Times;serif"/>
          <w:sz w:val="20"/>
        </w:rPr>
        <w:t xml:space="preserve"> hereby sell(s), assign(s) and transfer(s) unto </w:t>
      </w:r>
      <w:r>
        <w:rPr>
          <w:rFonts w:ascii="Times New Roman;Times;serif" w:hAnsi="Times New Roman;Times;serif"/>
          <w:sz w:val="20"/>
          <w:u w:val="single"/>
        </w:rPr>
        <w:t>                        </w:t>
      </w:r>
      <w:r>
        <w:rPr>
          <w:rFonts w:ascii="Times New Roman;Times;serif" w:hAnsi="Times New Roman;Times;serif"/>
          <w:sz w:val="20"/>
        </w:rPr>
        <w:t xml:space="preserve"> (Please insert social security or Taxpayer Identification Number of assignee) the within Note, and hereby irrevocably constitutes and appoints </w:t>
      </w:r>
      <w:r>
        <w:rPr>
          <w:rFonts w:ascii="Times New Roman;Times;serif" w:hAnsi="Times New Roman;Times;serif"/>
          <w:sz w:val="20"/>
          <w:u w:val="single"/>
        </w:rPr>
        <w:t>                          </w:t>
      </w:r>
      <w:r>
        <w:rPr>
          <w:rFonts w:ascii="Times New Roman;Times;serif" w:hAnsi="Times New Roman;Times;serif"/>
          <w:sz w:val="20"/>
        </w:rPr>
        <w:t xml:space="preserve"> attorney to transfer the said Note on the books of the Company, with full power of substitution in the premises.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any transfer of the within Note occurring prior to the Resale Restriction Termination Date, as defined in the Indenture governing such Note, the undersigned confirms that such Note is being transferred:</w:t>
      </w:r>
    </w:p>
    <w:p>
      <w:pPr>
        <w:pStyle w:val="TextBody"/>
        <w:bidi w:val="0"/>
        <w:spacing w:before="0" w:after="240"/>
        <w:ind w:left="0" w:right="0" w:hanging="0"/>
        <w:jc w:val="left"/>
        <w:rPr/>
      </w:pPr>
      <w:r>
        <w:rPr>
          <w:caps w:val="false"/>
          <w:smallCaps w:val="false"/>
        </w:rPr>
        <w:t>☐</w:t>
      </w:r>
      <w:r>
        <w:rPr>
          <w:rFonts w:ascii="Times New Roman;Times;serif" w:hAnsi="Times New Roman;Times;serif"/>
          <w:sz w:val="20"/>
        </w:rPr>
        <w:t>To NIO Inc. or a subsidiary thereof; or</w:t>
      </w:r>
    </w:p>
    <w:p>
      <w:pPr>
        <w:pStyle w:val="TextBody"/>
        <w:bidi w:val="0"/>
        <w:spacing w:before="0" w:after="240"/>
        <w:ind w:left="0" w:right="0" w:hanging="0"/>
        <w:jc w:val="left"/>
        <w:rPr/>
      </w:pPr>
      <w:r>
        <w:rPr>
          <w:caps w:val="false"/>
          <w:smallCaps w:val="false"/>
        </w:rPr>
        <w:t>☐</w:t>
      </w:r>
      <w:r>
        <w:rPr>
          <w:rFonts w:ascii="Times New Roman;Times;serif" w:hAnsi="Times New Roman;Times;serif"/>
          <w:sz w:val="20"/>
        </w:rPr>
        <w:t>Pursuant to a registration statement that has become or been declared effective under the Securities Act of 1933, as amended and continues to be effective at the time of such transfer; or</w:t>
      </w:r>
    </w:p>
    <w:p>
      <w:pPr>
        <w:pStyle w:val="TextBody"/>
        <w:bidi w:val="0"/>
        <w:spacing w:before="0" w:after="240"/>
        <w:ind w:left="0" w:right="0" w:hanging="0"/>
        <w:jc w:val="left"/>
        <w:rPr/>
      </w:pPr>
      <w:r>
        <w:rPr>
          <w:caps w:val="false"/>
          <w:smallCaps w:val="false"/>
        </w:rPr>
        <w:t>☐</w:t>
      </w:r>
      <w:r>
        <w:rPr>
          <w:rFonts w:ascii="Times New Roman;Times;serif" w:hAnsi="Times New Roman;Times;serif"/>
          <w:sz w:val="20"/>
        </w:rPr>
        <w:t>To a “Qualified Institutional Buyer” in compliance with Rule 144A under the Securities Act of 1933, as amended; or</w:t>
      </w:r>
    </w:p>
    <w:p>
      <w:pPr>
        <w:pStyle w:val="TextBody"/>
        <w:bidi w:val="0"/>
        <w:spacing w:before="0" w:after="240"/>
        <w:ind w:left="0" w:right="0" w:hanging="0"/>
        <w:jc w:val="left"/>
        <w:rPr/>
      </w:pPr>
      <w:r>
        <w:rPr>
          <w:caps w:val="false"/>
          <w:smallCaps w:val="false"/>
        </w:rPr>
        <w:t>☐</w:t>
      </w:r>
      <w:r>
        <w:rPr>
          <w:rFonts w:ascii="Times New Roman;Times;serif" w:hAnsi="Times New Roman;Times;serif"/>
          <w:sz w:val="20"/>
        </w:rPr>
        <w:t>Pursuant to and in compliance with Rule 144 under the Securities Act of 1933, as amended (if available); or</w:t>
      </w:r>
    </w:p>
    <w:p>
      <w:pPr>
        <w:pStyle w:val="TextBody"/>
        <w:bidi w:val="0"/>
        <w:spacing w:before="0" w:after="240"/>
        <w:ind w:left="0" w:right="0" w:hanging="0"/>
        <w:jc w:val="left"/>
        <w:rPr/>
      </w:pPr>
      <w:r>
        <w:rPr>
          <w:caps w:val="false"/>
          <w:smallCaps w:val="false"/>
        </w:rPr>
        <w:t>☐</w:t>
      </w:r>
      <w:r>
        <w:rPr>
          <w:rFonts w:ascii="Times New Roman;Times;serif" w:hAnsi="Times New Roman;Times;serif"/>
          <w:sz w:val="20"/>
        </w:rPr>
        <w:t>Pursuant to any other exemption from, or in a transaction not subject to, the registration requirements of the Securities Act of 1933, as amended.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254"/>
        <w:gridCol w:w="1470"/>
        <w:gridCol w:w="326"/>
        <w:gridCol w:w="155"/>
      </w:tblGrid>
      <w:tr>
        <w:trPr/>
        <w:tc>
          <w:tcPr>
            <w:tcW w:w="8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5241290" cy="175260"/>
                      <wp:effectExtent l="0" t="0" r="0" b="0"/>
                      <wp:wrapNone/>
                      <wp:docPr id="706" name="Frame697"/>
                      <a:graphic xmlns:a="http://schemas.openxmlformats.org/drawingml/2006/main">
                        <a:graphicData uri="http://schemas.microsoft.com/office/word/2010/wordprocessingShape">
                          <wps:wsp>
                            <wps:cNvSpPr txBox="1"/>
                            <wps:spPr>
                              <a:xfrm>
                                <a:off x="0" y="0"/>
                                <a:ext cx="524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933450" cy="175260"/>
                      <wp:effectExtent l="0" t="0" r="0" b="0"/>
                      <wp:wrapNone/>
                      <wp:docPr id="707" name="Frame698"/>
                      <a:graphic xmlns:a="http://schemas.openxmlformats.org/drawingml/2006/main">
                        <a:graphicData uri="http://schemas.microsoft.com/office/word/2010/wordprocessingShape">
                          <wps:wsp>
                            <wps:cNvSpPr txBox="1"/>
                            <wps:spPr>
                              <a:xfrm>
                                <a:off x="0" y="0"/>
                                <a:ext cx="933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98425" cy="175260"/>
                      <wp:effectExtent l="0" t="0" r="0" b="0"/>
                      <wp:wrapNone/>
                      <wp:docPr id="708" name="Frame699"/>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2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14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w:t>
            </w:r>
          </w:p>
        </w:tc>
      </w:tr>
      <w:tr>
        <w:trPr/>
        <w:tc>
          <w:tcPr>
            <w:tcW w:w="9724"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9724"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9724"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9724"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9724"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Signature(s)</w:t>
            </w:r>
          </w:p>
        </w:tc>
        <w:tc>
          <w:tcPr>
            <w:tcW w:w="326"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9724"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9724"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9724"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 Guarantee</w:t>
            </w:r>
          </w:p>
        </w:tc>
        <w:tc>
          <w:tcPr>
            <w:tcW w:w="326"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9724"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9724"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Signature(s) must be guaranteed by an eligible Guarantor Institution (banks, stock brokers, savings and loan associations and credit unions) with membership in an approved signature guarantee medallion program pursuant to Securities and Exchange Commission Rule 17Ad-15 if Notes are to be delivered, other than to and in the name of the registered holder.</w:t>
            </w:r>
          </w:p>
        </w:tc>
        <w:tc>
          <w:tcPr>
            <w:tcW w:w="326"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9724"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10205"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 The signature on the assignment must correspond with the name as written upon the face of the Note in every particular without alteration or enlargement or any change whatever.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B</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[FORM OF AUTHORIZATION CERTIFICATE]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[Name], [Title], acting on behalf of NIO Inc. (the “</w:t>
      </w:r>
      <w:r>
        <w:rPr>
          <w:rFonts w:ascii="Times New Roman;Times;serif" w:hAnsi="Times New Roman;Times;serif"/>
          <w:b/>
          <w:sz w:val="20"/>
        </w:rPr>
        <w:t>Company</w:t>
      </w:r>
      <w:r>
        <w:rPr>
          <w:rFonts w:ascii="Times New Roman;Times;serif" w:hAnsi="Times New Roman;Times;serif"/>
          <w:sz w:val="20"/>
        </w:rPr>
        <w:t>”) hereby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persons listed below are (i) authorized Officers of the Company for purposes of the Indenture (the “</w:t>
      </w:r>
      <w:r>
        <w:rPr>
          <w:rFonts w:ascii="Times New Roman;Times;serif" w:hAnsi="Times New Roman;Times;serif"/>
          <w:b/>
          <w:sz w:val="20"/>
        </w:rPr>
        <w:t>Indenture</w:t>
      </w:r>
      <w:r>
        <w:rPr>
          <w:rFonts w:ascii="Times New Roman;Times;serif" w:hAnsi="Times New Roman;Times;serif"/>
          <w:sz w:val="20"/>
        </w:rPr>
        <w:t>”) dated as of September 22, 2023 between the Company and Deutsche Bank Trust Company Americas, as trustee, in relation to the 4.625% Convertible Senior Notes due 2030 (the “</w:t>
      </w:r>
      <w:r>
        <w:rPr>
          <w:rFonts w:ascii="Times New Roman;Times;serif" w:hAnsi="Times New Roman;Times;serif"/>
          <w:b/>
          <w:sz w:val="20"/>
        </w:rPr>
        <w:t>Notes</w:t>
      </w:r>
      <w:r>
        <w:rPr>
          <w:rFonts w:ascii="Times New Roman;Times;serif" w:hAnsi="Times New Roman;Times;serif"/>
          <w:sz w:val="20"/>
        </w:rPr>
        <w:t>”), (ii) duly elected or appointed, qualified and acting as the holder of the respective office or offices set forth opposite their names and (iii) the duly authorized persons who executed or will execute the Indenture and the Notes issued pursuant to the Indenture by their manual or facsimile signatures and were at the time of such execution, duly elected or appointed, qualified and acting as the holder of the offices set forth opposite their names;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each of the individuals listed below have the authority to receive call backs at the telephone numbers noted below upon request of Deutsche Bank Trust Company Americas in connection with the Notes issued pursuant to the Indenture;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each signature appearing below is the person’s genuine signature;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attached hereto as Schedule I is a true, correct and complete specimen of the certificates representing the Notes.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WITNESS WHEREOF, I have hereunto executed and delivered this certificate on behalf of the Company as of the date indicated.</w:t>
      </w:r>
    </w:p>
    <w:tbl>
      <w:tblPr>
        <w:tblW w:w="1852" w:type="dxa"/>
        <w:jc w:val="left"/>
        <w:tblInd w:w="0" w:type="dxa"/>
        <w:tblLayout w:type="fixed"/>
        <w:tblCellMar>
          <w:top w:w="0" w:type="dxa"/>
          <w:left w:w="0" w:type="dxa"/>
          <w:bottom w:w="0" w:type="dxa"/>
          <w:right w:w="0" w:type="dxa"/>
        </w:tblCellMar>
      </w:tblPr>
      <w:tblGrid>
        <w:gridCol w:w="661"/>
        <w:gridCol w:w="109"/>
        <w:gridCol w:w="406"/>
        <w:gridCol w:w="676"/>
      </w:tblGrid>
      <w:tr>
        <w:trPr/>
        <w:tc>
          <w:tcPr>
            <w:tcW w:w="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661" w:type="dxa"/>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6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8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6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82" w:type="dxa"/>
            <w:gridSpan w:val="2"/>
            <w:tcBorders/>
            <w:vAlign w:val="center"/>
          </w:tcPr>
          <w:p>
            <w:pPr>
              <w:pStyle w:val="TableContents"/>
              <w:bidi w:val="0"/>
              <w:spacing w:before="0" w:after="0"/>
              <w:ind w:left="0" w:right="0" w:hanging="0"/>
              <w:jc w:val="left"/>
              <w:rPr/>
            </w:pPr>
            <w:r>
              <w:rPr/>
              <w:t>​</w:t>
            </w:r>
          </w:p>
        </w:tc>
      </w:tr>
      <w:tr>
        <w:trPr/>
        <w:tc>
          <w:tcPr>
            <w:tcW w:w="6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6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SCHEDULE I</w:t>
      </w:r>
    </w:p>
    <w:tbl>
      <w:tblPr>
        <w:tblW w:w="4987" w:type="dxa"/>
        <w:jc w:val="left"/>
        <w:tblInd w:w="0" w:type="dxa"/>
        <w:tblLayout w:type="fixed"/>
        <w:tblCellMar>
          <w:top w:w="0" w:type="dxa"/>
          <w:left w:w="0" w:type="dxa"/>
          <w:bottom w:w="28" w:type="dxa"/>
          <w:right w:w="0" w:type="dxa"/>
        </w:tblCellMar>
      </w:tblPr>
      <w:tblGrid>
        <w:gridCol w:w="586"/>
        <w:gridCol w:w="326"/>
        <w:gridCol w:w="1786"/>
        <w:gridCol w:w="326"/>
        <w:gridCol w:w="886"/>
        <w:gridCol w:w="326"/>
        <w:gridCol w:w="751"/>
      </w:tblGrid>
      <w:tr>
        <w:trPr/>
        <w:tc>
          <w:tcPr>
            <w:tcW w:w="58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178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Fax No., Email</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88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w:t>
            </w:r>
          </w:p>
        </w:tc>
        <w:tc>
          <w:tcPr>
            <w:tcW w:w="326" w:type="dxa"/>
            <w:tcBorders>
              <w:bottom w:val="single" w:sz="2" w:space="0" w:color="000000"/>
            </w:tcBorders>
            <w:vAlign w:val="center"/>
          </w:tcPr>
          <w:p>
            <w:pPr>
              <w:pStyle w:val="TableContents"/>
              <w:bidi w:val="0"/>
              <w:spacing w:before="0" w:after="0"/>
              <w:ind w:left="0" w:right="0" w:hanging="0"/>
              <w:jc w:val="center"/>
              <w:rPr/>
            </w:pPr>
            <w:r>
              <w:rPr/>
              <w:t>    </w:t>
            </w:r>
          </w:p>
        </w:tc>
        <w:tc>
          <w:tcPr>
            <w:tcW w:w="75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Tel No.</w:t>
            </w:r>
          </w:p>
        </w:tc>
      </w:tr>
      <w:tr>
        <w:trPr/>
        <w:tc>
          <w:tcPr>
            <w:tcW w:w="58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8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8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5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586" w:type="dxa"/>
            <w:tcBorders>
              <w:bottom w:val="single" w:sz="2" w:space="0" w:color="000000"/>
            </w:tcBorders>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86" w:type="dxa"/>
            <w:tcBorders>
              <w:bottom w:val="single" w:sz="2" w:space="0" w:color="000000"/>
            </w:tcBorders>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58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8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8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5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586" w:type="dxa"/>
            <w:tcBorders>
              <w:bottom w:val="single" w:sz="2" w:space="0" w:color="000000"/>
            </w:tcBorders>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86" w:type="dxa"/>
            <w:tcBorders>
              <w:bottom w:val="single" w:sz="2" w:space="0" w:color="000000"/>
            </w:tcBorders>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58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8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8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5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586" w:type="dxa"/>
            <w:tcBorders>
              <w:bottom w:val="single" w:sz="2" w:space="0" w:color="000000"/>
            </w:tcBorders>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86" w:type="dxa"/>
            <w:tcBorders>
              <w:bottom w:val="single" w:sz="2" w:space="0" w:color="000000"/>
            </w:tcBorders>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325" w:name="nio-20241231xex4d50.htm"/>
      <w:bookmarkStart w:id="2326" w:name="ksnio20241231xex4d50"/>
      <w:bookmarkEnd w:id="2325"/>
      <w:bookmarkEnd w:id="2326"/>
      <w:r>
        <w:rPr>
          <w:rFonts w:ascii="Times New Roman;Times;serif" w:hAnsi="Times New Roman;Times;serif"/>
          <w:b/>
          <w:sz w:val="20"/>
        </w:rPr>
        <w:t>Exhibit 4.50</w:t>
      </w:r>
      <w:r>
        <w:br w:type="page"/>
      </w:r>
    </w:p>
    <w:p>
      <w:pPr>
        <w:pStyle w:val="TextBody"/>
        <w:bidi w:val="0"/>
        <w:spacing w:before="0" w:after="0"/>
        <w:ind w:left="0" w:right="0" w:hanging="0"/>
        <w:jc w:val="right"/>
        <w:rPr/>
      </w:pPr>
      <w:r>
        <w:rPr/>
        <w:t>​</w:t>
      </w:r>
    </w:p>
    <w:p>
      <w:pPr>
        <w:pStyle w:val="HorizontalLine"/>
        <w:pBdr>
          <w:bottom w:val="single" w:sz="6" w:space="0" w:color="000000"/>
        </w:pBdr>
        <w:bidi w:val="0"/>
        <w:spacing w:before="0" w:after="0"/>
        <w:ind w:left="2551" w:right="2551" w:hanging="0"/>
        <w:jc w:val="left"/>
        <w:rPr/>
      </w:pPr>
      <w:r>
        <w:rPr/>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CHINA SERIES B INVESTMENT AGREEMENT</w:t>
      </w:r>
    </w:p>
    <w:p>
      <w:pPr>
        <w:pStyle w:val="TextBody"/>
        <w:bidi w:val="0"/>
        <w:spacing w:before="0" w:after="0"/>
        <w:ind w:left="0" w:right="0" w:hanging="0"/>
        <w:jc w:val="center"/>
        <w:rPr/>
      </w:pPr>
      <w:r>
        <w:rPr/>
        <w:t>​</w:t>
      </w:r>
    </w:p>
    <w:p>
      <w:pPr>
        <w:pStyle w:val="HorizontalLine"/>
        <w:pBdr>
          <w:bottom w:val="single" w:sz="6" w:space="0" w:color="000000"/>
        </w:pBdr>
        <w:bidi w:val="0"/>
        <w:spacing w:before="0" w:after="0"/>
        <w:ind w:left="2551" w:right="2551" w:hanging="0"/>
        <w:jc w:val="left"/>
        <w:rPr/>
      </w:pPr>
      <w:r>
        <w:rPr/>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BY AND AMONG</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HEFEI JIANHENG NEW ENERGY AUTOMOBILE INVESTMENT FUND PARTNERSHIP (LIMITED PARTNERSHIP)</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CMG-SDIC CAPITAL MANAGEMENT CO., LTD.</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ANHUI PROVINCIAL EMERGING INDUSTRY INVESTMENT CO., LTD.</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NIO INC.</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NIO NEXTEV LIMITED</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NIO USER ENTERPRISE LIMITED</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NIO POWER EXPRESS LIMITED</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AND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NIO HOLDING CO., LTD.</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Hefei, China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2024</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190"/>
        <w:ind w:left="0" w:right="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0"/>
        <w:ind w:left="0" w:right="0" w:hanging="0"/>
        <w:jc w:val="both"/>
        <w:rPr/>
      </w:pPr>
      <w:r>
        <w:rPr/>
        <w:t>​</w:t>
      </w:r>
    </w:p>
    <w:tbl>
      <w:tblPr>
        <w:tblW w:w="5598" w:type="dxa"/>
        <w:jc w:val="left"/>
        <w:tblInd w:w="0" w:type="dxa"/>
        <w:tblLayout w:type="fixed"/>
        <w:tblCellMar>
          <w:top w:w="0" w:type="dxa"/>
          <w:left w:w="0" w:type="dxa"/>
          <w:bottom w:w="0" w:type="dxa"/>
          <w:right w:w="0" w:type="dxa"/>
        </w:tblCellMar>
      </w:tblPr>
      <w:tblGrid>
        <w:gridCol w:w="331"/>
        <w:gridCol w:w="4906"/>
        <w:gridCol w:w="361"/>
      </w:tblGrid>
      <w:tr>
        <w:trPr/>
        <w:tc>
          <w:tcPr>
            <w:tcW w:w="3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49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DEFINITIONS AND INTERPRETATIONS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331"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4906"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THE TRANSACTION</w:t>
            </w:r>
          </w:p>
        </w:tc>
        <w:tc>
          <w:tcPr>
            <w:tcW w:w="361" w:type="dxa"/>
            <w:tcBorders/>
            <w:vAlign w:val="center"/>
          </w:tcPr>
          <w:p>
            <w:pPr>
              <w:pStyle w:val="TableContents"/>
              <w:bidi w:val="0"/>
              <w:spacing w:before="12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31"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4906"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PAYMENT OF CAPITAL INCREASE PRICE</w:t>
            </w:r>
          </w:p>
        </w:tc>
        <w:tc>
          <w:tcPr>
            <w:tcW w:w="361" w:type="dxa"/>
            <w:tcBorders/>
            <w:vAlign w:val="center"/>
          </w:tcPr>
          <w:p>
            <w:pPr>
              <w:pStyle w:val="TableContents"/>
              <w:bidi w:val="0"/>
              <w:spacing w:before="12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331"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4906"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CONDITIONS PRCEDENT TO CLOSING</w:t>
            </w:r>
          </w:p>
        </w:tc>
        <w:tc>
          <w:tcPr>
            <w:tcW w:w="361" w:type="dxa"/>
            <w:tcBorders/>
            <w:vAlign w:val="center"/>
          </w:tcPr>
          <w:p>
            <w:pPr>
              <w:pStyle w:val="TableContents"/>
              <w:bidi w:val="0"/>
              <w:spacing w:before="12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331"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4906"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TRANSITIONAL PERIOD</w:t>
            </w:r>
          </w:p>
        </w:tc>
        <w:tc>
          <w:tcPr>
            <w:tcW w:w="361" w:type="dxa"/>
            <w:tcBorders/>
            <w:vAlign w:val="center"/>
          </w:tcPr>
          <w:p>
            <w:pPr>
              <w:pStyle w:val="TableContents"/>
              <w:bidi w:val="0"/>
              <w:spacing w:before="12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331"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6</w:t>
            </w:r>
          </w:p>
        </w:tc>
        <w:tc>
          <w:tcPr>
            <w:tcW w:w="4906"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REPRESENTATIONS AND WARRANTIES</w:t>
            </w:r>
          </w:p>
        </w:tc>
        <w:tc>
          <w:tcPr>
            <w:tcW w:w="361" w:type="dxa"/>
            <w:tcBorders/>
            <w:vAlign w:val="center"/>
          </w:tcPr>
          <w:p>
            <w:pPr>
              <w:pStyle w:val="TableContents"/>
              <w:bidi w:val="0"/>
              <w:spacing w:before="12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331"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7</w:t>
            </w:r>
          </w:p>
        </w:tc>
        <w:tc>
          <w:tcPr>
            <w:tcW w:w="4906"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INDEMNIFICATION UNDERTAKINGS</w:t>
            </w:r>
          </w:p>
        </w:tc>
        <w:tc>
          <w:tcPr>
            <w:tcW w:w="361" w:type="dxa"/>
            <w:tcBorders/>
            <w:vAlign w:val="center"/>
          </w:tcPr>
          <w:p>
            <w:pPr>
              <w:pStyle w:val="TableContents"/>
              <w:bidi w:val="0"/>
              <w:spacing w:before="12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331"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8</w:t>
            </w:r>
          </w:p>
        </w:tc>
        <w:tc>
          <w:tcPr>
            <w:tcW w:w="4906"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POST CLOSING OBLIGATION</w:t>
            </w:r>
          </w:p>
        </w:tc>
        <w:tc>
          <w:tcPr>
            <w:tcW w:w="361" w:type="dxa"/>
            <w:tcBorders/>
            <w:vAlign w:val="center"/>
          </w:tcPr>
          <w:p>
            <w:pPr>
              <w:pStyle w:val="TableContents"/>
              <w:bidi w:val="0"/>
              <w:spacing w:before="12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331"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9</w:t>
            </w:r>
          </w:p>
        </w:tc>
        <w:tc>
          <w:tcPr>
            <w:tcW w:w="4906"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TRANSACTION EXPENSES</w:t>
            </w:r>
          </w:p>
        </w:tc>
        <w:tc>
          <w:tcPr>
            <w:tcW w:w="361" w:type="dxa"/>
            <w:tcBorders/>
            <w:vAlign w:val="center"/>
          </w:tcPr>
          <w:p>
            <w:pPr>
              <w:pStyle w:val="TableContents"/>
              <w:bidi w:val="0"/>
              <w:spacing w:before="12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331"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10</w:t>
            </w:r>
          </w:p>
        </w:tc>
        <w:tc>
          <w:tcPr>
            <w:tcW w:w="4906"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CONFIDENTIALITY</w:t>
            </w:r>
          </w:p>
        </w:tc>
        <w:tc>
          <w:tcPr>
            <w:tcW w:w="361" w:type="dxa"/>
            <w:tcBorders/>
            <w:vAlign w:val="center"/>
          </w:tcPr>
          <w:p>
            <w:pPr>
              <w:pStyle w:val="TableContents"/>
              <w:bidi w:val="0"/>
              <w:spacing w:before="12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331"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11</w:t>
            </w:r>
          </w:p>
        </w:tc>
        <w:tc>
          <w:tcPr>
            <w:tcW w:w="4906"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FORCE MAJEURE</w:t>
            </w:r>
          </w:p>
        </w:tc>
        <w:tc>
          <w:tcPr>
            <w:tcW w:w="361" w:type="dxa"/>
            <w:tcBorders/>
            <w:vAlign w:val="center"/>
          </w:tcPr>
          <w:p>
            <w:pPr>
              <w:pStyle w:val="TableContents"/>
              <w:bidi w:val="0"/>
              <w:spacing w:before="12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331"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12</w:t>
            </w:r>
          </w:p>
        </w:tc>
        <w:tc>
          <w:tcPr>
            <w:tcW w:w="4906"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GOVERNING LAW AND DISPUTE RESOLUTION</w:t>
            </w:r>
          </w:p>
        </w:tc>
        <w:tc>
          <w:tcPr>
            <w:tcW w:w="361" w:type="dxa"/>
            <w:tcBorders/>
            <w:vAlign w:val="center"/>
          </w:tcPr>
          <w:p>
            <w:pPr>
              <w:pStyle w:val="TableContents"/>
              <w:bidi w:val="0"/>
              <w:spacing w:before="12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331"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13</w:t>
            </w:r>
          </w:p>
        </w:tc>
        <w:tc>
          <w:tcPr>
            <w:tcW w:w="4906"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EFFECTIVENESS, MODIFICATION AND TERMINATION</w:t>
            </w:r>
          </w:p>
        </w:tc>
        <w:tc>
          <w:tcPr>
            <w:tcW w:w="361" w:type="dxa"/>
            <w:tcBorders/>
            <w:vAlign w:val="center"/>
          </w:tcPr>
          <w:p>
            <w:pPr>
              <w:pStyle w:val="TableContents"/>
              <w:bidi w:val="0"/>
              <w:spacing w:before="12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331"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14</w:t>
            </w:r>
          </w:p>
        </w:tc>
        <w:tc>
          <w:tcPr>
            <w:tcW w:w="4906"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NOTICES AND DELIVERY</w:t>
            </w:r>
          </w:p>
        </w:tc>
        <w:tc>
          <w:tcPr>
            <w:tcW w:w="361" w:type="dxa"/>
            <w:tcBorders/>
            <w:vAlign w:val="center"/>
          </w:tcPr>
          <w:p>
            <w:pPr>
              <w:pStyle w:val="TableContents"/>
              <w:bidi w:val="0"/>
              <w:spacing w:before="12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331"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15</w:t>
            </w:r>
          </w:p>
        </w:tc>
        <w:tc>
          <w:tcPr>
            <w:tcW w:w="4906" w:type="dxa"/>
            <w:tcBorders/>
            <w:vAlign w:val="center"/>
          </w:tcPr>
          <w:p>
            <w:pPr>
              <w:pStyle w:val="TableContents"/>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MISCELLANEOUS</w:t>
            </w:r>
          </w:p>
        </w:tc>
        <w:tc>
          <w:tcPr>
            <w:tcW w:w="361" w:type="dxa"/>
            <w:tcBorders/>
            <w:vAlign w:val="center"/>
          </w:tcPr>
          <w:p>
            <w:pPr>
              <w:pStyle w:val="TableContents"/>
              <w:bidi w:val="0"/>
              <w:spacing w:before="120" w:after="0"/>
              <w:ind w:left="0" w:right="0" w:hanging="0"/>
              <w:jc w:val="right"/>
              <w:rPr>
                <w:rFonts w:ascii="Times New Roman;Times;serif" w:hAnsi="Times New Roman;Times;serif"/>
                <w:sz w:val="20"/>
              </w:rPr>
            </w:pPr>
            <w:r>
              <w:rPr>
                <w:rFonts w:ascii="Times New Roman;Times;serif" w:hAnsi="Times New Roman;Times;serif"/>
                <w:sz w:val="20"/>
              </w:rPr>
              <w:t>54</w:t>
            </w:r>
          </w:p>
        </w:tc>
      </w:tr>
    </w:tbl>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Exhibit 1: Shareholding Structure of the Target Company before this Transaction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Exhibit 2: Shareholding Structure of the Target Company after the Completion of this Transaction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Exhibit 3: List of Intellectual Properties Held by NIO Parties or its Affiliates that Are Relevant to the Main Business of the Group Members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Exhibit 4: Disclosure Letter</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Exhibit 5: List of the Core Management Team</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Exhibit 6: List of Other Core Personnel of the Target Company and Other Group Members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90"/>
        <w:ind w:left="0" w:right="0" w:hanging="0"/>
        <w:jc w:val="both"/>
        <w:rPr>
          <w:rFonts w:ascii="Times New Roman;Times;serif" w:hAnsi="Times New Roman;Times;serif"/>
          <w:sz w:val="20"/>
        </w:rPr>
      </w:pPr>
      <w:r>
        <w:rPr>
          <w:rFonts w:ascii="Times New Roman;Times;serif" w:hAnsi="Times New Roman;Times;serif"/>
          <w:sz w:val="20"/>
        </w:rPr>
        <w:t>This NIO China Series B Investment Agreement (this “</w:t>
      </w:r>
      <w:r>
        <w:rPr>
          <w:rFonts w:ascii="Times New Roman;Times;serif" w:hAnsi="Times New Roman;Times;serif"/>
          <w:b/>
          <w:sz w:val="20"/>
        </w:rPr>
        <w:t>Agreement</w:t>
      </w:r>
      <w:r>
        <w:rPr>
          <w:rFonts w:ascii="Times New Roman;Times;serif" w:hAnsi="Times New Roman;Times;serif"/>
          <w:sz w:val="20"/>
        </w:rPr>
        <w:t>”) is made on September 30, 2024 (the “</w:t>
      </w:r>
      <w:r>
        <w:rPr>
          <w:rFonts w:ascii="Times New Roman;Times;serif" w:hAnsi="Times New Roman;Times;serif"/>
          <w:b/>
          <w:sz w:val="20"/>
        </w:rPr>
        <w:t>Execution Date</w:t>
      </w:r>
      <w:r>
        <w:rPr>
          <w:rFonts w:ascii="Times New Roman;Times;serif" w:hAnsi="Times New Roman;Times;serif"/>
          <w:sz w:val="20"/>
        </w:rPr>
        <w:t>”) by and among:</w:t>
      </w:r>
    </w:p>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w:t>
            </w:r>
          </w:p>
        </w:tc>
        <w:tc>
          <w:tcPr>
            <w:tcW w:w="100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Hefei Jianheng New Energy Automobile Investment Fund Partnership (Limited Partnership), a limited partnership duly established and existing under the Laws of the People’s Republic of China (the “</w:t>
            </w:r>
            <w:r>
              <w:rPr>
                <w:rFonts w:ascii="Times New Roman;Times;serif" w:hAnsi="Times New Roman;Times;serif"/>
                <w:b/>
                <w:sz w:val="20"/>
              </w:rPr>
              <w:t>PRC</w:t>
            </w:r>
            <w:r>
              <w:rPr>
                <w:rFonts w:ascii="Times New Roman;Times;serif" w:hAnsi="Times New Roman;Times;serif"/>
                <w:sz w:val="20"/>
              </w:rPr>
              <w:t>”, for the purpose of this Agreement, excluding the Hong Kong Special Administrative Region, the Macao Special Administrative Region and Taiwan), holding a business license with unified social credit code of 91340111MA2UU69EX8, and with its executive partner being Hefei Construction Investment Capital Management Co., Ltd., and registered office at Room 101, Area G, Intelligent Equipment Technology Park, No. 3963 Susong Road, Economic and Technological Development Area, Hefei City, Anhui Province (“</w:t>
            </w:r>
            <w:r>
              <w:rPr>
                <w:rFonts w:ascii="Times New Roman;Times;serif" w:hAnsi="Times New Roman;Times;serif"/>
                <w:b/>
                <w:sz w:val="20"/>
              </w:rPr>
              <w:t>Jianheng New Energy Fund</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w:t>
            </w:r>
          </w:p>
        </w:tc>
        <w:tc>
          <w:tcPr>
            <w:tcW w:w="10071"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CMG-SDIC Capital Management Co., Ltd., a limited liability company duly established and existing under the Laws of PRC, holding a business license with unified social credit code of 91130600MA094UG35F, and with its legal representative being GAO Guohua and registered office at North Dong Ao Wei Road, Luosa Street, Rongcheng County, Baoding city, Hebei province (“</w:t>
            </w:r>
            <w:r>
              <w:rPr>
                <w:rFonts w:ascii="Times New Roman;Times;serif" w:hAnsi="Times New Roman;Times;serif"/>
                <w:b/>
                <w:sz w:val="20"/>
              </w:rPr>
              <w:t>SDIC</w:t>
            </w:r>
            <w:r>
              <w:rPr>
                <w:rFonts w:ascii="Times New Roman;Times;serif" w:hAnsi="Times New Roman;Times;serif"/>
                <w:sz w:val="20"/>
              </w:rPr>
              <w:t>”, SDIC will designate the funds it manages as the investment entity for this Transaction);</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w:t>
            </w:r>
          </w:p>
        </w:tc>
        <w:tc>
          <w:tcPr>
            <w:tcW w:w="10073"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Anhui Provincial Emerging Industry Investment Co., Ltd., a limited liability company duly established and existing under the Laws of the PRC, holding a business license with unified social credit code of 9134000032543101X1, and with its legal representative being XU Xianlu and registered address at Room 301, Innovation Building, 860 Wangjiang West Road, High-tech District, Hefei City, Anhui Province (“</w:t>
            </w:r>
            <w:r>
              <w:rPr>
                <w:rFonts w:ascii="Times New Roman;Times;serif" w:hAnsi="Times New Roman;Times;serif"/>
                <w:b/>
                <w:sz w:val="20"/>
              </w:rPr>
              <w:t>Anhui High-tech Co.</w:t>
            </w:r>
            <w:r>
              <w:rPr>
                <w:rFonts w:ascii="Times New Roman;Times;serif" w:hAnsi="Times New Roman;Times;serif"/>
                <w:sz w:val="20"/>
              </w:rPr>
              <w:t>” and/or its designated investment entity, together with the SDIC and/or its designated investment entity and Jianheng New Energy Fund, the “</w:t>
            </w:r>
            <w:r>
              <w:rPr>
                <w:rFonts w:ascii="Times New Roman;Times;serif" w:hAnsi="Times New Roman;Times;serif"/>
                <w:b/>
                <w:sz w:val="20"/>
              </w:rPr>
              <w:t>Investors</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4.</w:t>
            </w:r>
          </w:p>
        </w:tc>
        <w:tc>
          <w:tcPr>
            <w:tcW w:w="10058"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NIO Inc., a company duly organized and validly existing under the laws of the Cayman Islands and having its registered address at PO Box 309, Ugland House, Grand Cayman, KY1-1104, Cayman Islands (“</w:t>
            </w:r>
            <w:r>
              <w:rPr>
                <w:rFonts w:ascii="Times New Roman;Times;serif" w:hAnsi="Times New Roman;Times;serif"/>
                <w:b/>
                <w:sz w:val="20"/>
              </w:rPr>
              <w:t>NIO Group</w:t>
            </w:r>
            <w:r>
              <w:rPr>
                <w:rFonts w:ascii="Times New Roman;Times;serif" w:hAnsi="Times New Roman;Times;serif"/>
                <w:sz w:val="20"/>
              </w:rPr>
              <w:t>” or “</w:t>
            </w:r>
            <w:r>
              <w:rPr>
                <w:rFonts w:ascii="Times New Roman;Times;serif" w:hAnsi="Times New Roman;Times;serif"/>
                <w:b/>
                <w:sz w:val="20"/>
              </w:rPr>
              <w:t>NIO Inc.</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5.</w:t>
            </w:r>
          </w:p>
        </w:tc>
        <w:tc>
          <w:tcPr>
            <w:tcW w:w="10059"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NIO Nextev Limited, a limited company duly organized and validly existing under the laws of Hong Kong, with company number of 2199750 and its registered address at 30th Floor, Jardine House, 1 Connaught Place, Central, Hong Kong (“</w:t>
            </w:r>
            <w:r>
              <w:rPr>
                <w:rFonts w:ascii="Times New Roman;Times;serif" w:hAnsi="Times New Roman;Times;serif"/>
                <w:b/>
                <w:sz w:val="20"/>
              </w:rPr>
              <w:t>NIO HK</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w:t>
            </w:r>
          </w:p>
        </w:tc>
        <w:tc>
          <w:tcPr>
            <w:tcW w:w="1006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NIO User Enterprise Limited, a limited company duly organized and validly existing under the laws of Hong Kong, with company number of 2487823 and its registered address at 30th Floor, Jardine House, 1 Connaught Place, Central, Hong Kong (“</w:t>
            </w:r>
            <w:r>
              <w:rPr>
                <w:rFonts w:ascii="Times New Roman;Times;serif" w:hAnsi="Times New Roman;Times;serif"/>
                <w:b/>
                <w:sz w:val="20"/>
              </w:rPr>
              <w:t>UE HK</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7.</w:t>
            </w:r>
          </w:p>
        </w:tc>
        <w:tc>
          <w:tcPr>
            <w:tcW w:w="10046"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NIO Power Express Limited, a limited company duly organized and validly existing under the laws of Hong Kong, with company number of 2472480 and its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90"/>
        <w:ind w:left="440" w:right="0" w:hanging="0"/>
        <w:jc w:val="both"/>
        <w:rPr>
          <w:rFonts w:ascii="Times New Roman;Times;serif" w:hAnsi="Times New Roman;Times;serif"/>
          <w:sz w:val="20"/>
        </w:rPr>
      </w:pPr>
      <w:r>
        <w:rPr>
          <w:rFonts w:ascii="Times New Roman;Times;serif" w:hAnsi="Times New Roman;Times;serif"/>
          <w:sz w:val="20"/>
        </w:rPr>
        <w:t>registered address at 30th Floor, Jardine House, 1 Connaught Place, Central, Hong Kong (“</w:t>
      </w:r>
      <w:r>
        <w:rPr>
          <w:rFonts w:ascii="Times New Roman;Times;serif" w:hAnsi="Times New Roman;Times;serif"/>
          <w:b/>
          <w:sz w:val="20"/>
        </w:rPr>
        <w:t>PE HK</w:t>
      </w:r>
      <w:r>
        <w:rPr>
          <w:rFonts w:ascii="Times New Roman;Times;serif" w:hAnsi="Times New Roman;Times;serif"/>
          <w:sz w:val="20"/>
        </w:rPr>
        <w:t>”, together with NIO HK and UE HK,“</w:t>
      </w:r>
      <w:r>
        <w:rPr>
          <w:rFonts w:ascii="Times New Roman;Times;serif" w:hAnsi="Times New Roman;Times;serif"/>
          <w:b/>
          <w:sz w:val="20"/>
        </w:rPr>
        <w:t>NIO HK Holding Platforms</w:t>
      </w:r>
      <w:r>
        <w:rPr>
          <w:rFonts w:ascii="Times New Roman;Times;serif" w:hAnsi="Times New Roman;Times;serif"/>
          <w:sz w:val="20"/>
        </w:rPr>
        <w:t>”, and together with NIO Group,  the “</w:t>
      </w:r>
      <w:r>
        <w:rPr>
          <w:rFonts w:ascii="Times New Roman;Times;serif" w:hAnsi="Times New Roman;Times;serif"/>
          <w:b/>
          <w:sz w:val="20"/>
        </w:rPr>
        <w:t>NIO Parties</w:t>
      </w:r>
      <w:r>
        <w:rPr>
          <w:rFonts w:ascii="Times New Roman;Times;serif" w:hAnsi="Times New Roman;Times;serif"/>
          <w:sz w:val="20"/>
        </w:rPr>
        <w:t>”; NIO Parties, together with Anhui Provincial Sanzhong Yichuang Industry Development Fund Co., Ltd. (“</w:t>
      </w:r>
      <w:r>
        <w:rPr>
          <w:rFonts w:ascii="Times New Roman;Times;serif" w:hAnsi="Times New Roman;Times;serif"/>
          <w:b/>
          <w:sz w:val="20"/>
        </w:rPr>
        <w:t>Anhui Sanzhong Yichuang</w:t>
      </w:r>
      <w:r>
        <w:rPr>
          <w:rFonts w:ascii="Times New Roman;Times;serif" w:hAnsi="Times New Roman;Times;serif"/>
          <w:sz w:val="20"/>
        </w:rPr>
        <w:t>”), Anhui Jintong New Energy Automobile II Fund Partnership (Limited Partnership) (“</w:t>
      </w:r>
      <w:r>
        <w:rPr>
          <w:rFonts w:ascii="Times New Roman;Times;serif" w:hAnsi="Times New Roman;Times;serif"/>
          <w:b/>
          <w:sz w:val="20"/>
        </w:rPr>
        <w:t>New Energy Automobile Fund</w:t>
      </w:r>
      <w:r>
        <w:rPr>
          <w:rFonts w:ascii="Times New Roman;Times;serif" w:hAnsi="Times New Roman;Times;serif"/>
          <w:sz w:val="20"/>
        </w:rPr>
        <w:t>”), Advanced Manufacturing Industry Investment Fund II (Limited Partnership) (“</w:t>
      </w:r>
      <w:r>
        <w:rPr>
          <w:rFonts w:ascii="Times New Roman;Times;serif" w:hAnsi="Times New Roman;Times;serif"/>
          <w:b/>
          <w:sz w:val="20"/>
        </w:rPr>
        <w:t>Advanced Manufacturing Industry Fund</w:t>
      </w:r>
      <w:r>
        <w:rPr>
          <w:rFonts w:ascii="Times New Roman;Times;serif" w:hAnsi="Times New Roman;Times;serif"/>
          <w:sz w:val="20"/>
        </w:rPr>
        <w:t>”) and Jianheng New Energy Fund, the “</w:t>
      </w:r>
      <w:r>
        <w:rPr>
          <w:rFonts w:ascii="Times New Roman;Times;serif" w:hAnsi="Times New Roman;Times;serif"/>
          <w:b/>
          <w:sz w:val="20"/>
        </w:rPr>
        <w:t>Existing Shareholders</w:t>
      </w:r>
      <w:r>
        <w:rPr>
          <w:rFonts w:ascii="Times New Roman;Times;serif" w:hAnsi="Times New Roman;Times;serif"/>
          <w:sz w:val="20"/>
        </w:rPr>
        <w:t>”); and</w:t>
      </w:r>
    </w:p>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8.</w:t>
            </w:r>
          </w:p>
        </w:tc>
        <w:tc>
          <w:tcPr>
            <w:tcW w:w="1007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NIO Holding Co., Ltd., a limited liability company duly organized and validly existing under the laws of the PRC with its unified social credit code of 91340111 MA2RAD3M4R, with its legal representative being LI Bin and its registered address at Building F, Hengchuang Intelligent Science and Technology Park, No. 3963, Susong Road, Economic and Technological Development Zone, Hefei City, Anhui Province (the “</w:t>
            </w:r>
            <w:r>
              <w:rPr>
                <w:rFonts w:ascii="Times New Roman;Times;serif" w:hAnsi="Times New Roman;Times;serif"/>
                <w:b/>
                <w:sz w:val="20"/>
              </w:rPr>
              <w:t xml:space="preserve">NIO China”, </w:t>
            </w:r>
            <w:r>
              <w:rPr>
                <w:rFonts w:ascii="Times New Roman;Times;serif" w:hAnsi="Times New Roman;Times;serif"/>
                <w:sz w:val="20"/>
              </w:rPr>
              <w:t>“</w:t>
            </w:r>
            <w:r>
              <w:rPr>
                <w:rFonts w:ascii="Times New Roman;Times;serif" w:hAnsi="Times New Roman;Times;serif"/>
                <w:b/>
                <w:sz w:val="20"/>
              </w:rPr>
              <w:t>Target Company</w:t>
            </w:r>
            <w:r>
              <w:rPr>
                <w:rFonts w:ascii="Times New Roman;Times;serif" w:hAnsi="Times New Roman;Times;serif"/>
                <w:sz w:val="20"/>
              </w:rPr>
              <w:t>” or the “</w:t>
            </w:r>
            <w:r>
              <w:rPr>
                <w:rFonts w:ascii="Times New Roman;Times;serif" w:hAnsi="Times New Roman;Times;serif"/>
                <w:b/>
                <w:sz w:val="20"/>
              </w:rPr>
              <w:t>Company</w:t>
            </w:r>
            <w:r>
              <w:rPr>
                <w:rFonts w:ascii="Times New Roman;Times;serif" w:hAnsi="Times New Roman;Times;serif"/>
                <w:sz w:val="20"/>
              </w:rPr>
              <w:t>”).</w:t>
            </w:r>
          </w:p>
        </w:tc>
      </w:tr>
    </w:tbl>
    <w:p>
      <w:pPr>
        <w:pStyle w:val="TextBody"/>
        <w:bidi w:val="0"/>
        <w:spacing w:before="0" w:after="190"/>
        <w:ind w:left="0" w:right="0" w:hanging="0"/>
        <w:jc w:val="both"/>
        <w:rPr>
          <w:rFonts w:ascii="Times New Roman;Times;serif" w:hAnsi="Times New Roman;Times;serif"/>
          <w:sz w:val="20"/>
        </w:rPr>
      </w:pPr>
      <w:r>
        <w:rPr>
          <w:rFonts w:ascii="Times New Roman;Times;serif" w:hAnsi="Times New Roman;Times;serif"/>
          <w:sz w:val="20"/>
        </w:rPr>
        <w:t>The above parties are referred to individually as a “</w:t>
      </w:r>
      <w:r>
        <w:rPr>
          <w:rFonts w:ascii="Times New Roman;Times;serif" w:hAnsi="Times New Roman;Times;serif"/>
          <w:b/>
          <w:sz w:val="20"/>
        </w:rPr>
        <w:t>Party</w:t>
      </w:r>
      <w:r>
        <w:rPr>
          <w:rFonts w:ascii="Times New Roman;Times;serif" w:hAnsi="Times New Roman;Times;serif"/>
          <w:sz w:val="20"/>
        </w:rPr>
        <w:t>” and collectively as the “</w:t>
      </w:r>
      <w:r>
        <w:rPr>
          <w:rFonts w:ascii="Times New Roman;Times;serif" w:hAnsi="Times New Roman;Times;serif"/>
          <w:b/>
          <w:sz w:val="20"/>
        </w:rPr>
        <w:t>Parties</w:t>
      </w:r>
      <w:r>
        <w:rPr>
          <w:rFonts w:ascii="Times New Roman;Times;serif" w:hAnsi="Times New Roman;Times;serif"/>
          <w:sz w:val="20"/>
        </w:rPr>
        <w:t>”.</w:t>
      </w:r>
    </w:p>
    <w:p>
      <w:pPr>
        <w:pStyle w:val="TextBody"/>
        <w:bidi w:val="0"/>
        <w:spacing w:before="0" w:after="190"/>
        <w:ind w:left="0" w:right="0" w:hanging="0"/>
        <w:jc w:val="both"/>
        <w:rPr>
          <w:rFonts w:ascii="Times New Roman;Times;serif" w:hAnsi="Times New Roman;Times;serif"/>
          <w:b/>
          <w:sz w:val="20"/>
        </w:rPr>
      </w:pPr>
      <w:r>
        <w:rPr>
          <w:rFonts w:ascii="Times New Roman;Times;serif" w:hAnsi="Times New Roman;Times;serif"/>
          <w:b/>
          <w:sz w:val="20"/>
        </w:rPr>
        <w:t>WHEREAS:</w:t>
      </w:r>
    </w:p>
    <w:tbl>
      <w:tblPr>
        <w:tblW w:w="10205" w:type="dxa"/>
        <w:jc w:val="left"/>
        <w:tblInd w:w="0" w:type="dxa"/>
        <w:tblLayout w:type="fixed"/>
        <w:tblCellMar>
          <w:top w:w="0" w:type="dxa"/>
          <w:left w:w="0" w:type="dxa"/>
          <w:bottom w:w="0" w:type="dxa"/>
          <w:right w:w="0" w:type="dxa"/>
        </w:tblCellMar>
      </w:tblPr>
      <w:tblGrid>
        <w:gridCol w:w="127"/>
        <w:gridCol w:w="10078"/>
      </w:tblGrid>
      <w:tr>
        <w:trPr/>
        <w:tc>
          <w:tcPr>
            <w:tcW w:w="12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w:t>
            </w:r>
          </w:p>
        </w:tc>
        <w:tc>
          <w:tcPr>
            <w:tcW w:w="10078"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Target Company was established on November 28, 2017. The business scope of the Target Company is as follows: (1) Investment in the fields in which foreign investors are allowed by the state; (2) Provision of the following services to the enterprise it invests in as engaged by such investee in writing: (a) assisting or acting as agent for the enterprise it invests in to purchase, from both home and abroad, any machinery equipment and office equipment for such enterprise's own use, or any material, components and parts needed in manufacturing, and to sell the products manufactured by the enterprise it invests in at both home and abroad, and to provide after-sale service; (b) providing the enterprise it invests in with technological support and other services in the process of as manufacturing, sale and market development of product; (3) establishing scientific research and development center or department within the territory of the PRC to engage in the research and development of new products and high technologies, to transfer its research and development achievements, and to provide corresponding technical services; (4) providing its investors with consulting services, and to provide its affiliates with consulting services such as market information and investment policies in relation to its investment; (5) undertaking the outsourcing services of its parent company and affiliates; (6) providing technical development, technical services, technical transfer and technical consultation services for finished new-energy automobiles and the relevant parts thereof; wholesale and commission agent (excluding auction) of automobile parts; import and export of machinery equipment, automobile parts, goods and technologies; sale, lease, designated driving, repair and maintenance (limited to the operations by its branches) and after-sale service of automobiles; sale of automobile supplies and accessories,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90"/>
        <w:ind w:left="440" w:right="0" w:hanging="0"/>
        <w:jc w:val="both"/>
        <w:rPr>
          <w:rFonts w:ascii="Times New Roman;Times;serif" w:hAnsi="Times New Roman;Times;serif"/>
          <w:sz w:val="20"/>
        </w:rPr>
      </w:pPr>
      <w:r>
        <w:rPr>
          <w:rFonts w:ascii="Times New Roman;Times;serif" w:hAnsi="Times New Roman;Times;serif"/>
          <w:sz w:val="20"/>
        </w:rPr>
        <w:t>mechanical equipment, general merchandise, clothing accessories, toys, beverages, gifts and crafts, second-hand automobiles; operation of charging pile facilities; vehicle insurance agent; design, development, technical services and consultation of vehicle-mounted system and software; automobile exhibition activities and marketing; conference, exhibition and catering services; design, production, publication and agent of domestic advertisements; production and sale of food; and import and export of commodities and technologies of all kinds (excluding commodities or technology of which export or import is forbidden or is limited to certain corporation as required by the state) (Business items subject to approval in accordance with laws shall not be carried out unless approved by relevant authorities).</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w:t>
            </w:r>
          </w:p>
        </w:tc>
        <w:tc>
          <w:tcPr>
            <w:tcW w:w="100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registered capital of the Target Company is RMB 6,428,815,699.3 as of the Execution Date hereof. The shareholding structure of the Target Company is as set forth in Exhibit 1 hereto.</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w:t>
            </w:r>
          </w:p>
        </w:tc>
        <w:tc>
          <w:tcPr>
            <w:tcW w:w="10063"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SDIC, Anhui High-tech Co.</w:t>
            </w:r>
            <w:r>
              <w:rPr>
                <w:rFonts w:ascii="Times New Roman;Times;serif" w:hAnsi="Times New Roman;Times;serif"/>
                <w:b/>
                <w:sz w:val="20"/>
              </w:rPr>
              <w:t>,</w:t>
            </w:r>
            <w:r>
              <w:rPr>
                <w:rFonts w:ascii="Times New Roman;Times;serif" w:hAnsi="Times New Roman;Times;serif"/>
                <w:sz w:val="20"/>
              </w:rPr>
              <w:t xml:space="preserve"> Hefei Construction Investment Holdings (Group) Co., Ltd. (“</w:t>
            </w:r>
            <w:r>
              <w:rPr>
                <w:rFonts w:ascii="Times New Roman;Times;serif" w:hAnsi="Times New Roman;Times;serif"/>
                <w:b/>
                <w:sz w:val="20"/>
              </w:rPr>
              <w:t>Hefei Construction Co.</w:t>
            </w:r>
            <w:r>
              <w:rPr>
                <w:rFonts w:ascii="Times New Roman;Times;serif" w:hAnsi="Times New Roman;Times;serif"/>
                <w:sz w:val="20"/>
              </w:rPr>
              <w:t>” or the “</w:t>
            </w:r>
            <w:r>
              <w:rPr>
                <w:rFonts w:ascii="Times New Roman;Times;serif" w:hAnsi="Times New Roman;Times;serif"/>
                <w:b/>
                <w:sz w:val="20"/>
              </w:rPr>
              <w:t>Hefei Investor</w:t>
            </w:r>
            <w:r>
              <w:rPr>
                <w:rFonts w:ascii="Times New Roman;Times;serif" w:hAnsi="Times New Roman;Times;serif"/>
                <w:sz w:val="20"/>
              </w:rPr>
              <w:t>”), the NIO Parties and the Company entered into an Investment Agreement in respect of NIO China (the “</w:t>
            </w:r>
            <w:r>
              <w:rPr>
                <w:rFonts w:ascii="Times New Roman;Times;serif" w:hAnsi="Times New Roman;Times;serif"/>
                <w:b/>
                <w:sz w:val="20"/>
              </w:rPr>
              <w:t>Series A Investment Agreemen</w:t>
            </w:r>
            <w:r>
              <w:rPr>
                <w:rFonts w:ascii="Times New Roman;Times;serif" w:hAnsi="Times New Roman;Times;serif"/>
                <w:sz w:val="20"/>
              </w:rPr>
              <w:t>t”) on April 29, 2020.</w:t>
            </w:r>
          </w:p>
        </w:tc>
      </w:tr>
    </w:tbl>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4.</w:t>
            </w:r>
          </w:p>
        </w:tc>
        <w:tc>
          <w:tcPr>
            <w:tcW w:w="10074"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SDIC, Advanced Manufacturing Industry Fund, Anhui High-tech Co., the Hefei Investor and other relevant parties, the NIO Parties and the Company entered into an Amendment and Supplementary Agreement to the Investment Agreement in respect of NIO China (the “</w:t>
            </w:r>
            <w:r>
              <w:rPr>
                <w:rFonts w:ascii="Times New Roman;Times;serif" w:hAnsi="Times New Roman;Times;serif"/>
                <w:b/>
                <w:sz w:val="20"/>
              </w:rPr>
              <w:t>Amendment and Supplementary Agreement I to the Investment Agreement</w:t>
            </w:r>
            <w:r>
              <w:rPr>
                <w:rFonts w:ascii="Times New Roman;Times;serif" w:hAnsi="Times New Roman;Times;serif"/>
                <w:sz w:val="20"/>
              </w:rPr>
              <w:t>”) on June 5, 2020. In accordance with the Amendment and Supplementary Agreement I to the Investment Agreement, Advanced Manufacturing Industry Fund designated by SDIC, New Energy Automobile Fund designated by Anhui High-tech Co., and Jianheng New Energy Fund designated by the Hefei Investor shall succeed to all or part of their respective rights and obligations under the Series A Investment Agreement.</w:t>
            </w:r>
          </w:p>
        </w:tc>
      </w:tr>
    </w:tbl>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5.</w:t>
            </w:r>
          </w:p>
        </w:tc>
        <w:tc>
          <w:tcPr>
            <w:tcW w:w="100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SDIC, Advanced Manufacturing Industry Fund, Anhui High-tech Co., New Energy Automobile Fund, the Hefei Investor, Jianheng New Energy Fund, Anhui Sanzhong Yichuang, the NIO Parties and the Company entered into an Amendment and Supplementary Agreement to the Investment Agreement in respect of NIO China (the “</w:t>
            </w:r>
            <w:r>
              <w:rPr>
                <w:rFonts w:ascii="Times New Roman;Times;serif" w:hAnsi="Times New Roman;Times;serif"/>
                <w:b/>
                <w:sz w:val="20"/>
              </w:rPr>
              <w:t>Amendment and Supplementary Agreement II to the</w:t>
            </w:r>
            <w:r>
              <w:rPr>
                <w:rFonts w:ascii="Times New Roman;Times;serif" w:hAnsi="Times New Roman;Times;serif"/>
                <w:sz w:val="20"/>
              </w:rPr>
              <w:t xml:space="preserve"> </w:t>
            </w:r>
            <w:r>
              <w:rPr>
                <w:rFonts w:ascii="Times New Roman;Times;serif" w:hAnsi="Times New Roman;Times;serif"/>
                <w:b/>
                <w:sz w:val="20"/>
              </w:rPr>
              <w:t>Investment</w:t>
            </w:r>
            <w:r>
              <w:rPr>
                <w:rFonts w:ascii="Times New Roman;Times;serif" w:hAnsi="Times New Roman;Times;serif"/>
                <w:sz w:val="20"/>
              </w:rPr>
              <w:t xml:space="preserve"> </w:t>
            </w:r>
            <w:r>
              <w:rPr>
                <w:rFonts w:ascii="Times New Roman;Times;serif" w:hAnsi="Times New Roman;Times;serif"/>
                <w:b/>
                <w:sz w:val="20"/>
              </w:rPr>
              <w:t>Agreement</w:t>
            </w:r>
            <w:r>
              <w:rPr>
                <w:rFonts w:ascii="Times New Roman;Times;serif" w:hAnsi="Times New Roman;Times;serif"/>
                <w:sz w:val="20"/>
              </w:rPr>
              <w:t>”) on June 18, 2020. In accordance with the Amendment and Supplementary Agreement II to the Investment Agreement, Anhui High-tech Co. designated Anhui Sanzhong Yichuang to succeed to part of its rights and obligations under the Series A Investment Agreement and the Amendment and Supplementary Agreement I to the Investment Agreement pursuant to the Amendment and Supplementary Agreement II to the Investment Agreement.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w:t>
            </w:r>
          </w:p>
        </w:tc>
        <w:tc>
          <w:tcPr>
            <w:tcW w:w="10063"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Jianheng New Energy Fund and NIO HK entered into an Equity Purchase Agreement on September 16, 2020, pursuant to which, NIO HK exercised its NIO Parties’ Redemption Right, to purchase RMB 437,062,937.06 of the registered capital of the Company from Jianheng New Energy Fund.</w:t>
            </w:r>
          </w:p>
        </w:tc>
      </w:tr>
    </w:tbl>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7.</w:t>
            </w:r>
          </w:p>
        </w:tc>
        <w:tc>
          <w:tcPr>
            <w:tcW w:w="10068"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Company, the NIO Parties, Advanced Manufacturing Industry Fund, New Energy Automobile Fund, Anhui Sanzhong Yichuang, and Jianheng New Energy Fund entered into a Capital Increase Agreement on September 25, 2020, pursuant to which, NIO HK exercised its NIO Parties’ Capital Increase Right, to subscribe for RMB 742,153,846.15 of the Company’s increased registered capital.</w:t>
            </w:r>
          </w:p>
        </w:tc>
      </w:tr>
    </w:tbl>
    <w:tbl>
      <w:tblPr>
        <w:tblW w:w="10205" w:type="dxa"/>
        <w:jc w:val="left"/>
        <w:tblInd w:w="0" w:type="dxa"/>
        <w:tblLayout w:type="fixed"/>
        <w:tblCellMar>
          <w:top w:w="0" w:type="dxa"/>
          <w:left w:w="0" w:type="dxa"/>
          <w:bottom w:w="0" w:type="dxa"/>
          <w:right w:w="0" w:type="dxa"/>
        </w:tblCellMar>
      </w:tblPr>
      <w:tblGrid>
        <w:gridCol w:w="133"/>
        <w:gridCol w:w="10072"/>
      </w:tblGrid>
      <w:tr>
        <w:trPr/>
        <w:tc>
          <w:tcPr>
            <w:tcW w:w="133"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8.</w:t>
            </w:r>
          </w:p>
        </w:tc>
        <w:tc>
          <w:tcPr>
            <w:tcW w:w="1007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Company, the NIO Parties, Advanced Manufacturing Industry Fund, New Energy Automobile Fund, Anhui Sanzhong Yichuang, and Jianheng New Energy Fund entered into a Capital Increase and Equity Transfer Agreement on January 26, 2021, pursuant to which, NIO HK shall purchase RMB 174,825,174.83 of the registered capital of the Company from Jianheng New Energy Fund, purchase RMB 17,482,517.48 of the registered capital of the Company from Advanced Manufacturing Industry Fund, and subscribe for RMB 349,650,349.65 of the Company’s increased registered capital.</w:t>
            </w:r>
          </w:p>
        </w:tc>
      </w:tr>
    </w:tbl>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9.</w:t>
            </w:r>
          </w:p>
        </w:tc>
        <w:tc>
          <w:tcPr>
            <w:tcW w:w="10071"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Company, the NIO Parties, Advanced Manufacturing Industry Fund, New Energy Automobile Fund, Anhui Sanzhong Yichuang and Jianheng New Energy Fund entered into an Capital Increase and Equity Transfer Agreement on September 24, 2021, pursuant to which, NIO HK shall purchase RMB 87,412,587.41 of the registered capital of the Company from Anhui Sanzhong Yichuang and subscribe for RMB 262,237,762.24 of the Company’s increased registered capital at a subscription price of RMB 7,500,000,000 or equivalent in USD in cash.</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10.</w:t>
            </w:r>
          </w:p>
        </w:tc>
        <w:tc>
          <w:tcPr>
            <w:tcW w:w="9963"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NIO Parties and the Investors shall invest in the Target Company in accordance with the terms and conditions of this Agreement, and the other shareholders or relevant parties of the Target Company shall agree and warrant that the Target Company and its shareholders shall accept the investment by the NIO Parties and the Investors in accordance with the terms and conditions of this Agreement.</w:t>
            </w:r>
          </w:p>
        </w:tc>
      </w:tr>
    </w:tbl>
    <w:p>
      <w:pPr>
        <w:pStyle w:val="TextBody"/>
        <w:bidi w:val="0"/>
        <w:spacing w:before="0" w:after="190"/>
        <w:ind w:left="0" w:right="0" w:firstLine="480"/>
        <w:jc w:val="both"/>
        <w:rPr>
          <w:rFonts w:ascii="Times New Roman;Times;serif" w:hAnsi="Times New Roman;Times;serif"/>
          <w:sz w:val="20"/>
        </w:rPr>
      </w:pPr>
      <w:r>
        <w:rPr>
          <w:rFonts w:ascii="Times New Roman;Times;serif" w:hAnsi="Times New Roman;Times;serif"/>
          <w:sz w:val="20"/>
        </w:rPr>
        <w:t>NOW, THEREFORE, based on the principles of equality and mutual benefit and through friendly consultation, the Parties agree to enter into this Agreement with respect to the Capital Increase in accordance with the Civil Code of the People’s Republic of China, the Company Law of the People’s Republic of China and other relevant PRC laws and regulations.</w:t>
      </w:r>
    </w:p>
    <w:p>
      <w:pPr>
        <w:pStyle w:val="TextBody"/>
        <w:bidi w:val="0"/>
        <w:spacing w:before="0" w:after="19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DEFINITIONS AND INTERPRETATIONS</w:t>
      </w:r>
    </w:p>
    <w:tbl>
      <w:tblPr>
        <w:tblW w:w="8485" w:type="dxa"/>
        <w:jc w:val="left"/>
        <w:tblInd w:w="0" w:type="dxa"/>
        <w:tblLayout w:type="fixed"/>
        <w:tblCellMar>
          <w:top w:w="0" w:type="dxa"/>
          <w:left w:w="0" w:type="dxa"/>
          <w:bottom w:w="0" w:type="dxa"/>
          <w:right w:w="0" w:type="dxa"/>
        </w:tblCellMar>
      </w:tblPr>
      <w:tblGrid>
        <w:gridCol w:w="275"/>
        <w:gridCol w:w="821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1.1</w:t>
            </w:r>
          </w:p>
        </w:tc>
        <w:tc>
          <w:tcPr>
            <w:tcW w:w="821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Unless otherwise specified in this Agreement, the following terms shall have the following meanings:</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28" w:type="dxa"/>
          <w:left w:w="103" w:type="dxa"/>
          <w:bottom w:w="28" w:type="dxa"/>
          <w:right w:w="103" w:type="dxa"/>
        </w:tblCellMar>
      </w:tblPr>
      <w:tblGrid>
        <w:gridCol w:w="1209"/>
        <w:gridCol w:w="616"/>
        <w:gridCol w:w="8380"/>
      </w:tblGrid>
      <w:tr>
        <w:trPr/>
        <w:tc>
          <w:tcPr>
            <w:tcW w:w="120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Transaction / Capital Increase</w:t>
            </w:r>
          </w:p>
        </w:tc>
        <w:tc>
          <w:tcPr>
            <w:tcW w:w="6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83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2.1.3 hereof</w:t>
            </w:r>
          </w:p>
        </w:tc>
      </w:tr>
      <w:tr>
        <w:trPr/>
        <w:tc>
          <w:tcPr>
            <w:tcW w:w="120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Events of Force Majeure</w:t>
            </w:r>
          </w:p>
        </w:tc>
        <w:tc>
          <w:tcPr>
            <w:tcW w:w="6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83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11.1 hereof</w:t>
            </w:r>
          </w:p>
        </w:tc>
      </w:tr>
      <w:tr>
        <w:trPr/>
        <w:tc>
          <w:tcPr>
            <w:tcW w:w="120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Third Party Transaction</w:t>
            </w:r>
          </w:p>
        </w:tc>
        <w:tc>
          <w:tcPr>
            <w:tcW w:w="6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83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5.4 of this Agreement</w:t>
            </w:r>
          </w:p>
        </w:tc>
      </w:tr>
      <w:tr>
        <w:trPr/>
        <w:tc>
          <w:tcPr>
            <w:tcW w:w="120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Affiliates</w:t>
            </w:r>
          </w:p>
        </w:tc>
        <w:tc>
          <w:tcPr>
            <w:tcW w:w="6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83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 with respect to any person (including a corporation, unincorporated entity or natural person), any other legal person, unincorporated entity or individual that directly or indirectly controls, is directly or indirectly controlled by, or is under common control with, such person; (ii) with respect to an individual, his spouse, child, brother, sister, parent, spouse’s parent, trustee of any trust in which such individual or an immediate family member of such individual is a beneficiary or discretionary object, or any entity or company controlled by such person. For the avoidance of doubt, each shareholder of the Company shall constitute an Affiliate of the Company. “</w:t>
            </w:r>
            <w:r>
              <w:rPr>
                <w:rFonts w:ascii="Times New Roman;Times;serif" w:hAnsi="Times New Roman;Times;serif"/>
                <w:b/>
                <w:sz w:val="20"/>
              </w:rPr>
              <w:t>Control</w:t>
            </w:r>
            <w:r>
              <w:rPr>
                <w:rFonts w:ascii="Times New Roman;Times;serif" w:hAnsi="Times New Roman;Times;serif"/>
                <w:sz w:val="20"/>
              </w:rPr>
              <w:t>” or “</w:t>
            </w:r>
            <w:r>
              <w:rPr>
                <w:rFonts w:ascii="Times New Roman;Times;serif" w:hAnsi="Times New Roman;Times;serif"/>
                <w:b/>
                <w:sz w:val="20"/>
              </w:rPr>
              <w:t>Under Control</w:t>
            </w:r>
            <w:r>
              <w:rPr>
                <w:rFonts w:ascii="Times New Roman;Times;serif" w:hAnsi="Times New Roman;Times;serif"/>
                <w:sz w:val="20"/>
              </w:rPr>
              <w:t>” means the possession of the power to direct or dominate the management and policies of another person directly or indirectly, whether through the ownership of voting rights, by contract or otherwise (whether exercised by itself or at the behest of another person) or any other relationship that in fact constitutes effective control.</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99"/>
        <w:gridCol w:w="616"/>
        <w:gridCol w:w="7590"/>
      </w:tblGrid>
      <w:tr>
        <w:trPr/>
        <w:tc>
          <w:tcPr>
            <w:tcW w:w="1999" w:type="dxa"/>
            <w:tcBorders/>
            <w:vAlign w:val="center"/>
          </w:tcPr>
          <w:p>
            <w:pPr>
              <w:pStyle w:val="TableContents"/>
              <w:bidi w:val="0"/>
              <w:spacing w:before="0" w:after="283"/>
              <w:ind w:left="0" w:right="0" w:hanging="0"/>
              <w:jc w:val="left"/>
              <w:rPr>
                <w:sz w:val="4"/>
                <w:szCs w:val="4"/>
              </w:rPr>
            </w:pPr>
            <w:r>
              <w:rPr>
                <w:sz w:val="4"/>
                <w:szCs w:val="4"/>
              </w:rPr>
            </w:r>
          </w:p>
        </w:tc>
        <w:tc>
          <w:tcPr>
            <w:tcW w:w="616" w:type="dxa"/>
            <w:tcBorders/>
            <w:vAlign w:val="center"/>
          </w:tcPr>
          <w:p>
            <w:pPr>
              <w:pStyle w:val="TableContents"/>
              <w:bidi w:val="0"/>
              <w:spacing w:before="0" w:after="283"/>
              <w:ind w:left="0" w:right="0" w:hanging="0"/>
              <w:jc w:val="left"/>
              <w:rPr>
                <w:sz w:val="4"/>
                <w:szCs w:val="4"/>
              </w:rPr>
            </w:pPr>
            <w:r>
              <w:rPr>
                <w:sz w:val="4"/>
                <w:szCs w:val="4"/>
              </w:rPr>
            </w:r>
          </w:p>
        </w:tc>
        <w:tc>
          <w:tcPr>
            <w:tcW w:w="7590" w:type="dxa"/>
            <w:tcBorders/>
            <w:vAlign w:val="center"/>
          </w:tcPr>
          <w:p>
            <w:pPr>
              <w:pStyle w:val="TableContents"/>
              <w:bidi w:val="0"/>
              <w:spacing w:before="0" w:after="283"/>
              <w:ind w:left="0" w:right="0" w:hanging="0"/>
              <w:jc w:val="left"/>
              <w:rPr>
                <w:sz w:val="4"/>
                <w:szCs w:val="4"/>
              </w:rPr>
            </w:pPr>
            <w:r>
              <w:rPr>
                <w:sz w:val="4"/>
                <w:szCs w:val="4"/>
              </w:rPr>
            </w:r>
          </w:p>
        </w:tc>
      </w:tr>
      <w:tr>
        <w:trPr/>
        <w:tc>
          <w:tcPr>
            <w:tcW w:w="199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Qualified IPO</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759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Target Company’s direct or indirect public offering and listing on the  Shanghai/Shenzhen Stock Exchange or other overseas securities exchanges acceptable to all Parties, either by way of an initial public offering or a major asset restructuring with a listed company.</w:t>
            </w:r>
          </w:p>
        </w:tc>
      </w:tr>
      <w:tr>
        <w:trPr/>
        <w:tc>
          <w:tcPr>
            <w:tcW w:w="199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Investors</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759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Jianheng New Energy Fund, SDIC and/or its designated investment entity and Anhui High-tech Co. and/or its designated investment entity. </w:t>
            </w:r>
          </w:p>
        </w:tc>
      </w:tr>
      <w:tr>
        <w:trPr/>
        <w:tc>
          <w:tcPr>
            <w:tcW w:w="199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Investors Capital Increase Price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759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2.1.1.1 hereof</w:t>
            </w:r>
          </w:p>
        </w:tc>
      </w:tr>
      <w:tr>
        <w:trPr/>
        <w:tc>
          <w:tcPr>
            <w:tcW w:w="199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Jianheng New Energy Fund Capital Increase Price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759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2.1.1.1 hereof</w:t>
            </w:r>
          </w:p>
        </w:tc>
      </w:tr>
      <w:tr>
        <w:trPr/>
        <w:tc>
          <w:tcPr>
            <w:tcW w:w="199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SDIC Capital Increase Price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759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2.1.1.1 hereof</w:t>
            </w:r>
          </w:p>
        </w:tc>
      </w:tr>
      <w:tr>
        <w:trPr/>
        <w:tc>
          <w:tcPr>
            <w:tcW w:w="199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Anhui High-tech Co. Capital Increase Price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759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2.1.1.1 hereof</w:t>
            </w:r>
          </w:p>
        </w:tc>
      </w:tr>
      <w:tr>
        <w:trPr/>
        <w:tc>
          <w:tcPr>
            <w:tcW w:w="199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NIO Parties Capital Increase Price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759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2.1.2.1 hereof</w:t>
            </w:r>
          </w:p>
        </w:tc>
      </w:tr>
      <w:tr>
        <w:trPr/>
        <w:tc>
          <w:tcPr>
            <w:tcW w:w="199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NIO HK Capital Increase Price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759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2.1.2.1 hereof</w:t>
            </w:r>
          </w:p>
        </w:tc>
      </w:tr>
      <w:tr>
        <w:trPr/>
        <w:tc>
          <w:tcPr>
            <w:tcW w:w="199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UE HK Capital Increase Price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759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2.1.2.1 hereof</w:t>
            </w:r>
          </w:p>
        </w:tc>
      </w:tr>
      <w:tr>
        <w:trPr/>
        <w:tc>
          <w:tcPr>
            <w:tcW w:w="199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PE HK Capital Increase Price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759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2.1.2.1 hereof</w:t>
            </w:r>
          </w:p>
        </w:tc>
      </w:tr>
      <w:tr>
        <w:trPr/>
        <w:tc>
          <w:tcPr>
            <w:tcW w:w="199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First Installment of Capital Increase Price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759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3.1.1 hereof</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9663" w:type="dxa"/>
        <w:jc w:val="left"/>
        <w:tblInd w:w="0" w:type="dxa"/>
        <w:tblLayout w:type="fixed"/>
        <w:tblCellMar>
          <w:top w:w="0" w:type="dxa"/>
          <w:left w:w="0" w:type="dxa"/>
          <w:bottom w:w="0" w:type="dxa"/>
          <w:right w:w="0" w:type="dxa"/>
        </w:tblCellMar>
      </w:tblPr>
      <w:tblGrid>
        <w:gridCol w:w="5971"/>
        <w:gridCol w:w="616"/>
        <w:gridCol w:w="3076"/>
      </w:tblGrid>
      <w:tr>
        <w:trPr/>
        <w:tc>
          <w:tcPr>
            <w:tcW w:w="597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076" w:type="dxa"/>
            <w:tcBorders/>
            <w:vAlign w:val="center"/>
          </w:tcPr>
          <w:p>
            <w:pPr>
              <w:pStyle w:val="TableContents"/>
              <w:bidi w:val="0"/>
              <w:spacing w:before="0" w:after="0"/>
              <w:ind w:left="0" w:right="0" w:hanging="0"/>
              <w:jc w:val="left"/>
              <w:rPr/>
            </w:pPr>
            <w:r>
              <w:rPr/>
              <w:t>​</w:t>
            </w:r>
          </w:p>
        </w:tc>
      </w:tr>
      <w:tr>
        <w:trPr/>
        <w:tc>
          <w:tcPr>
            <w:tcW w:w="59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NIO Parties First Installment of Capital Increase Price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30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3.1.1 hereof</w:t>
            </w:r>
          </w:p>
        </w:tc>
      </w:tr>
      <w:tr>
        <w:trPr/>
        <w:tc>
          <w:tcPr>
            <w:tcW w:w="59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Jianheng New Energy Fund First Installment of Capital Increase Price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30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3.1.1 hereof</w:t>
            </w:r>
          </w:p>
        </w:tc>
      </w:tr>
      <w:tr>
        <w:trPr/>
        <w:tc>
          <w:tcPr>
            <w:tcW w:w="59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SDIC First Installment of Capital Increase Price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30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3.1.1 hereof</w:t>
            </w:r>
          </w:p>
        </w:tc>
      </w:tr>
      <w:tr>
        <w:trPr/>
        <w:tc>
          <w:tcPr>
            <w:tcW w:w="59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Anhui High-tech Co. First Installment of Capital Increase Price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30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3.1.1 hereof</w:t>
            </w:r>
          </w:p>
        </w:tc>
      </w:tr>
      <w:tr>
        <w:trPr/>
        <w:tc>
          <w:tcPr>
            <w:tcW w:w="59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Second Installment of Capital Increase Price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30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3.1.2 hereof</w:t>
            </w:r>
          </w:p>
        </w:tc>
      </w:tr>
      <w:tr>
        <w:trPr/>
        <w:tc>
          <w:tcPr>
            <w:tcW w:w="59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NIO Parties Second Installment of Capital Increase Price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30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3.1.2 hereof</w:t>
            </w:r>
          </w:p>
        </w:tc>
      </w:tr>
      <w:tr>
        <w:trPr/>
        <w:tc>
          <w:tcPr>
            <w:tcW w:w="59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Jianheng New Energy Fund Second Installment of Capital Increase Price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30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3.1.2 hereof</w:t>
            </w:r>
          </w:p>
        </w:tc>
      </w:tr>
      <w:tr>
        <w:trPr/>
        <w:tc>
          <w:tcPr>
            <w:tcW w:w="59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SDIC Second Installment of Capital Increase Price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30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3.1.2 hereof</w:t>
            </w:r>
          </w:p>
        </w:tc>
      </w:tr>
      <w:tr>
        <w:trPr/>
        <w:tc>
          <w:tcPr>
            <w:tcW w:w="59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Anhui High-tech Co. Second Installment of Capital Increase Price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30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3.1.2 hereof</w:t>
            </w:r>
          </w:p>
        </w:tc>
      </w:tr>
      <w:tr>
        <w:trPr/>
        <w:tc>
          <w:tcPr>
            <w:tcW w:w="59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Grace Period</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30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3.2.1 hereof</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14"/>
        <w:gridCol w:w="616"/>
        <w:gridCol w:w="7875"/>
      </w:tblGrid>
      <w:tr>
        <w:trPr/>
        <w:tc>
          <w:tcPr>
            <w:tcW w:w="1714" w:type="dxa"/>
            <w:tcBorders/>
            <w:vAlign w:val="center"/>
          </w:tcPr>
          <w:p>
            <w:pPr>
              <w:pStyle w:val="TableContents"/>
              <w:bidi w:val="0"/>
              <w:spacing w:before="0" w:after="283"/>
              <w:ind w:left="0" w:right="0" w:hanging="0"/>
              <w:jc w:val="left"/>
              <w:rPr>
                <w:sz w:val="4"/>
                <w:szCs w:val="4"/>
              </w:rPr>
            </w:pPr>
            <w:r>
              <w:rPr>
                <w:sz w:val="4"/>
                <w:szCs w:val="4"/>
              </w:rPr>
            </w:r>
          </w:p>
        </w:tc>
        <w:tc>
          <w:tcPr>
            <w:tcW w:w="616" w:type="dxa"/>
            <w:tcBorders/>
            <w:vAlign w:val="center"/>
          </w:tcPr>
          <w:p>
            <w:pPr>
              <w:pStyle w:val="TableContents"/>
              <w:bidi w:val="0"/>
              <w:spacing w:before="0" w:after="283"/>
              <w:ind w:left="0" w:right="0" w:hanging="0"/>
              <w:jc w:val="left"/>
              <w:rPr>
                <w:sz w:val="4"/>
                <w:szCs w:val="4"/>
              </w:rPr>
            </w:pPr>
            <w:r>
              <w:rPr>
                <w:sz w:val="4"/>
                <w:szCs w:val="4"/>
              </w:rPr>
            </w:r>
          </w:p>
        </w:tc>
        <w:tc>
          <w:tcPr>
            <w:tcW w:w="7875" w:type="dxa"/>
            <w:tcBorders/>
            <w:vAlign w:val="center"/>
          </w:tcPr>
          <w:p>
            <w:pPr>
              <w:pStyle w:val="TableContents"/>
              <w:bidi w:val="0"/>
              <w:spacing w:before="0" w:after="283"/>
              <w:ind w:left="0" w:right="0" w:hanging="0"/>
              <w:jc w:val="left"/>
              <w:rPr>
                <w:sz w:val="4"/>
                <w:szCs w:val="4"/>
              </w:rPr>
            </w:pPr>
            <w:r>
              <w:rPr>
                <w:sz w:val="4"/>
                <w:szCs w:val="4"/>
              </w:rPr>
            </w:r>
          </w:p>
        </w:tc>
      </w:tr>
      <w:tr>
        <w:trPr/>
        <w:tc>
          <w:tcPr>
            <w:tcW w:w="171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Capital Increase Price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787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2.1.2.1 hereof</w:t>
            </w:r>
          </w:p>
        </w:tc>
      </w:tr>
      <w:tr>
        <w:trPr/>
        <w:tc>
          <w:tcPr>
            <w:tcW w:w="171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AMR Registration Completion Date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787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3.5 hereof</w:t>
            </w:r>
          </w:p>
        </w:tc>
      </w:tr>
      <w:tr>
        <w:trPr/>
        <w:tc>
          <w:tcPr>
            <w:tcW w:w="171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Articles of Association</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787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2.5.1 hereof</w:t>
            </w:r>
          </w:p>
        </w:tc>
      </w:tr>
      <w:tr>
        <w:trPr/>
        <w:tc>
          <w:tcPr>
            <w:tcW w:w="171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Shareholders’ Agreement</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787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2.5.1 hereof</w:t>
            </w:r>
          </w:p>
        </w:tc>
      </w:tr>
      <w:tr>
        <w:trPr/>
        <w:tc>
          <w:tcPr>
            <w:tcW w:w="171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Transition Period</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787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5.1 hereof</w:t>
            </w:r>
          </w:p>
        </w:tc>
      </w:tr>
      <w:tr>
        <w:trPr/>
        <w:tc>
          <w:tcPr>
            <w:tcW w:w="171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Closing</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787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3.4 hereof</w:t>
            </w:r>
          </w:p>
        </w:tc>
      </w:tr>
      <w:tr>
        <w:trPr/>
        <w:tc>
          <w:tcPr>
            <w:tcW w:w="171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Closing Date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787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3.4 hereof</w:t>
            </w:r>
          </w:p>
        </w:tc>
      </w:tr>
      <w:tr>
        <w:trPr/>
        <w:tc>
          <w:tcPr>
            <w:tcW w:w="171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Transaction Documents</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787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2.5.1 hereof</w:t>
            </w:r>
          </w:p>
        </w:tc>
      </w:tr>
      <w:tr>
        <w:trPr/>
        <w:tc>
          <w:tcPr>
            <w:tcW w:w="171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Due Diligence Documents</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787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6.1.24 hereof</w:t>
            </w:r>
          </w:p>
        </w:tc>
      </w:tr>
      <w:tr>
        <w:trPr/>
        <w:tc>
          <w:tcPr>
            <w:tcW w:w="171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Special Losses</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787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7.2 hereof</w:t>
            </w:r>
          </w:p>
        </w:tc>
      </w:tr>
      <w:tr>
        <w:trPr/>
        <w:tc>
          <w:tcPr>
            <w:tcW w:w="171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Changing Party</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787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14.3 hereof</w:t>
            </w:r>
          </w:p>
        </w:tc>
      </w:tr>
      <w:tr>
        <w:trPr/>
        <w:tc>
          <w:tcPr>
            <w:tcW w:w="171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NIO Overdue Party</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787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3.2.4 hereof</w:t>
            </w:r>
          </w:p>
        </w:tc>
      </w:tr>
      <w:tr>
        <w:trPr/>
        <w:tc>
          <w:tcPr>
            <w:tcW w:w="171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Target Company / Company</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787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NIO Holding Co., Ltd.</w:t>
            </w:r>
          </w:p>
        </w:tc>
      </w:tr>
      <w:tr>
        <w:trPr/>
        <w:tc>
          <w:tcPr>
            <w:tcW w:w="171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Group Members</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787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Target Company and entities, legal persons and unincorporated organizations, currently or in the future, directly or indirectly controlled by the Target Company by mean of equity or contractual control</w:t>
            </w:r>
          </w:p>
        </w:tc>
      </w:tr>
      <w:tr>
        <w:trPr/>
        <w:tc>
          <w:tcPr>
            <w:tcW w:w="171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Core Group Members</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787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Target Company, NIO Energy Investment (Hubei) Co., Ltd., NIO Sales and Service Co., Ltd., NIO Co., Ltd., Wuhan NIO Energy Co., Ltd., NIO (Anhui) Co., Ltd., NIO Technology (Anhui) Co., Ltd., NIO Financial Leasing Co., Ltd., Anhui NIO Data Technology Co., Ltd. and Beijing NIO Network Technology Co., Ltd.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69"/>
        <w:gridCol w:w="616"/>
        <w:gridCol w:w="8320"/>
      </w:tblGrid>
      <w:tr>
        <w:trPr/>
        <w:tc>
          <w:tcPr>
            <w:tcW w:w="1269" w:type="dxa"/>
            <w:tcBorders/>
            <w:vAlign w:val="center"/>
          </w:tcPr>
          <w:p>
            <w:pPr>
              <w:pStyle w:val="TableContents"/>
              <w:bidi w:val="0"/>
              <w:spacing w:before="0" w:after="283"/>
              <w:ind w:left="0" w:right="0" w:hanging="0"/>
              <w:jc w:val="left"/>
              <w:rPr>
                <w:sz w:val="4"/>
                <w:szCs w:val="4"/>
              </w:rPr>
            </w:pPr>
            <w:r>
              <w:rPr>
                <w:sz w:val="4"/>
                <w:szCs w:val="4"/>
              </w:rPr>
            </w:r>
          </w:p>
        </w:tc>
        <w:tc>
          <w:tcPr>
            <w:tcW w:w="616" w:type="dxa"/>
            <w:tcBorders/>
            <w:vAlign w:val="center"/>
          </w:tcPr>
          <w:p>
            <w:pPr>
              <w:pStyle w:val="TableContents"/>
              <w:bidi w:val="0"/>
              <w:spacing w:before="0" w:after="283"/>
              <w:ind w:left="0" w:right="0" w:hanging="0"/>
              <w:jc w:val="left"/>
              <w:rPr>
                <w:sz w:val="4"/>
                <w:szCs w:val="4"/>
              </w:rPr>
            </w:pPr>
            <w:r>
              <w:rPr>
                <w:sz w:val="4"/>
                <w:szCs w:val="4"/>
              </w:rPr>
            </w:r>
          </w:p>
        </w:tc>
        <w:tc>
          <w:tcPr>
            <w:tcW w:w="8320" w:type="dxa"/>
            <w:tcBorders/>
            <w:vAlign w:val="center"/>
          </w:tcPr>
          <w:p>
            <w:pPr>
              <w:pStyle w:val="TableContents"/>
              <w:bidi w:val="0"/>
              <w:spacing w:before="0" w:after="283"/>
              <w:ind w:left="0" w:right="0" w:hanging="0"/>
              <w:jc w:val="left"/>
              <w:rPr>
                <w:sz w:val="4"/>
                <w:szCs w:val="4"/>
              </w:rPr>
            </w:pPr>
            <w:r>
              <w:rPr>
                <w:sz w:val="4"/>
                <w:szCs w:val="4"/>
              </w:rPr>
            </w:r>
          </w:p>
        </w:tc>
      </w:tr>
      <w:tr>
        <w:trPr/>
        <w:tc>
          <w:tcPr>
            <w:tcW w:w="126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Core Management Team</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832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senior management of the Target Company as listed in Exhibit 6</w:t>
            </w:r>
          </w:p>
        </w:tc>
      </w:tr>
      <w:tr>
        <w:trPr/>
        <w:tc>
          <w:tcPr>
            <w:tcW w:w="126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Execution Date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832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September 30, 2024</w:t>
            </w:r>
          </w:p>
        </w:tc>
      </w:tr>
      <w:tr>
        <w:trPr/>
        <w:tc>
          <w:tcPr>
            <w:tcW w:w="126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Existing Shareholders</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832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NIO HK, PE HK, UE HK, Advanced Manufacturing Industry Fund, New Energy Automobile Fund, Anhui Sanzhong Yichuang and Jianheng New Energy Fund</w:t>
            </w:r>
          </w:p>
        </w:tc>
      </w:tr>
      <w:tr>
        <w:trPr/>
        <w:tc>
          <w:tcPr>
            <w:tcW w:w="126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RMB</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832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Chinese Yuan</w:t>
            </w:r>
          </w:p>
        </w:tc>
      </w:tr>
      <w:tr>
        <w:trPr/>
        <w:tc>
          <w:tcPr>
            <w:tcW w:w="126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Material Agreements</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832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any contract, agreement or other form of document or arrangement meeting any of the following requirements: (i) the contract amount exceeds RMB 300 million; (ii) the contract amount exceeds RMB 50 million and the nature of such contract is beyond the scope of the Main Businesses of the Company; (iii) the contract amount exceeds RMB 300 million or such contract is a binding strategic cooperation contract containing exclusive terms, non-competition terms or other provisions restricting the operation of the Main Businesses of the Group Members; (iv) any contract or agreement of any nature between the Group Members as one party and the Core Management Team as the other party who are in-service or resigned within twelve (12) months; (v) any contract, agreement or arrangement (other than those incurred due to daily business operations) in connection with the sale or purchase of assets by the Company with the contract amount exceeding RMB 300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45"/>
        <w:gridCol w:w="616"/>
        <w:gridCol w:w="8544"/>
      </w:tblGrid>
      <w:tr>
        <w:trPr/>
        <w:tc>
          <w:tcPr>
            <w:tcW w:w="104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8544" w:type="dxa"/>
            <w:tcBorders/>
            <w:vAlign w:val="center"/>
          </w:tcPr>
          <w:p>
            <w:pPr>
              <w:pStyle w:val="TableContents"/>
              <w:bidi w:val="0"/>
              <w:spacing w:before="0" w:after="0"/>
              <w:ind w:left="0" w:right="0" w:hanging="0"/>
              <w:jc w:val="left"/>
              <w:rPr/>
            </w:pPr>
            <w:r>
              <w:rPr/>
              <w:t>​</w:t>
            </w:r>
          </w:p>
        </w:tc>
      </w:tr>
      <w:tr>
        <w:trPr/>
        <w:tc>
          <w:tcPr>
            <w:tcW w:w="104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pPr>
            <w:r>
              <w:rPr/>
              <w:t>​</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pPr>
            <w:r>
              <w:rPr/>
              <w:t>​</w:t>
            </w:r>
          </w:p>
        </w:tc>
        <w:tc>
          <w:tcPr>
            <w:tcW w:w="85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million; (vi) bonus, pension, retirement pension, share option, commercial insurance or similar agreements in connection with the Core Management Team; (vii) external investment contract, agreement, letter of intent or other arrangements in which the contract amount exceeds RMB 300 million; (viii) transfer and exclusive license agreement of the intellectual properties (regardless of whether the Group Members acts as the transferor, transferee, licensor or licensee); and (ix) other contracts which may have material effect on the assets and business of the Core Group Members.</w:t>
            </w:r>
          </w:p>
        </w:tc>
      </w:tr>
      <w:tr>
        <w:trPr/>
        <w:tc>
          <w:tcPr>
            <w:tcW w:w="104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Material Adverse Effect</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85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with respect to (i) Group Members as a whole, or (ii) any of the Core Group Members, any circumstance as a result of which the Main Businesses is suspended and cannot be restored for more than one (1) month, or the Main Businesses is terminated, or the qualification, operation, financial conditions and other aspects of the Target Company are materially affected which is adverse to continuous and stable operation,  or otherwise would or could cause losses of more than RMB 100 million.</w:t>
            </w:r>
          </w:p>
        </w:tc>
      </w:tr>
      <w:tr>
        <w:trPr/>
        <w:tc>
          <w:tcPr>
            <w:tcW w:w="104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Principal Business</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85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(i) Manufacturing, sale, purchase, after-sale repair and other supporting services of finished new-energy automobiles, supporting products for energy sources, parts, materials, components, machinery and equipment, as well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90"/>
        <w:gridCol w:w="616"/>
        <w:gridCol w:w="8499"/>
      </w:tblGrid>
      <w:tr>
        <w:trPr/>
        <w:tc>
          <w:tcPr>
            <w:tcW w:w="1090"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8499" w:type="dxa"/>
            <w:tcBorders/>
            <w:vAlign w:val="center"/>
          </w:tcPr>
          <w:p>
            <w:pPr>
              <w:pStyle w:val="TableContents"/>
              <w:bidi w:val="0"/>
              <w:spacing w:before="0" w:after="0"/>
              <w:ind w:left="0" w:right="0" w:hanging="0"/>
              <w:jc w:val="left"/>
              <w:rPr/>
            </w:pPr>
            <w:r>
              <w:rPr/>
              <w:t>​</w:t>
            </w:r>
          </w:p>
        </w:tc>
      </w:tr>
      <w:tr>
        <w:trPr/>
        <w:tc>
          <w:tcPr>
            <w:tcW w:w="109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pPr>
            <w:r>
              <w:rPr/>
              <w:t>​</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pPr>
            <w:r>
              <w:rPr/>
              <w:t>​</w:t>
            </w:r>
          </w:p>
        </w:tc>
        <w:tc>
          <w:tcPr>
            <w:tcW w:w="849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the technical development, technical services, technical transfer and technical consulting services relating thereto; (ii) Investing in accordance with the law in the fields in which foreign investment is allowed by the State; (iii) Import and export business of machinery equipment, automobile parts, goods and technologies; sale, lease, designated driving, repair and maintenance (limited to the operations by its branches) and after-sale service of automobiles; (iv) sale of automobile supplies and accessories, mechanical equipment, general merchandise, clothing accessories, toys, beverages, gifts and crafts, second-hand automobiles; (v) research and development, production, sale and operation of equipment and components relating to battery swap stations, charging piles and energy storage system; design, development, technical service and consulting of vehicle system and software; (vi) automobile exhibition activities and marketing planning; conference, exhibition, catering services, self-operation and agency of the import and export of various commodities and technologies, etc.</w:t>
            </w:r>
          </w:p>
        </w:tc>
      </w:tr>
      <w:tr>
        <w:trPr/>
        <w:tc>
          <w:tcPr>
            <w:tcW w:w="109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Balance Sheet Date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849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definition in Article 6.1.5 of this Agreement</w:t>
            </w:r>
          </w:p>
        </w:tc>
      </w:tr>
      <w:tr>
        <w:trPr/>
        <w:tc>
          <w:tcPr>
            <w:tcW w:w="109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Authorities</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849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within and outside the PRC, any international organization; national, state, provincial, local or other government; governmental, regulatory or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28" w:type="dxa"/>
          <w:left w:w="103" w:type="dxa"/>
          <w:bottom w:w="28" w:type="dxa"/>
          <w:right w:w="103" w:type="dxa"/>
        </w:tblCellMar>
      </w:tblPr>
      <w:tblGrid>
        <w:gridCol w:w="1264"/>
        <w:gridCol w:w="616"/>
        <w:gridCol w:w="8325"/>
      </w:tblGrid>
      <w:tr>
        <w:trPr/>
        <w:tc>
          <w:tcPr>
            <w:tcW w:w="12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both"/>
              <w:rPr/>
            </w:pPr>
            <w:r>
              <w:rPr/>
              <w:t>​</w:t>
            </w:r>
          </w:p>
        </w:tc>
        <w:tc>
          <w:tcPr>
            <w:tcW w:w="6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center"/>
              <w:rPr/>
            </w:pPr>
            <w:r>
              <w:rPr/>
              <w:t>​</w:t>
            </w:r>
          </w:p>
        </w:tc>
        <w:tc>
          <w:tcPr>
            <w:tcW w:w="83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administrative department, agency or commission or any court, tribunal or judicial or arbitration institution</w:t>
            </w:r>
          </w:p>
        </w:tc>
      </w:tr>
      <w:tr>
        <w:trPr/>
        <w:tc>
          <w:tcPr>
            <w:tcW w:w="12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AMR</w:t>
            </w:r>
          </w:p>
        </w:tc>
        <w:tc>
          <w:tcPr>
            <w:tcW w:w="6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83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PRC State Administration for Market Regulation and its local counterparts</w:t>
            </w:r>
          </w:p>
        </w:tc>
      </w:tr>
      <w:tr>
        <w:trPr/>
        <w:tc>
          <w:tcPr>
            <w:tcW w:w="12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Series A Transaction Documents</w:t>
            </w:r>
          </w:p>
        </w:tc>
        <w:tc>
          <w:tcPr>
            <w:tcW w:w="6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means</w:t>
            </w:r>
          </w:p>
        </w:tc>
        <w:tc>
          <w:tcPr>
            <w:tcW w:w="83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Series A Investment Agreement, Amendment and Supplementary Agreement I to the Investment Agreement, Amendment and Supplementary Agreement II to the Investment Agreement and Series A Shareholders Agreement (As defined in the Shareholders Agreement, the same below), Amendment and Supplementary Agreement I to the Shareholders Agreement, Amendment and Supplementary Agreement II to the Shareholders Agreement, Amendment and Supplementary Agreement III to the Shareholders Agreement, Amendment and Supplementary Agreement IV to the Shareholders Agreement, Amendment and Supplementary Agreement V to the Shareholders Agreement, Amendment and Supplementary Agreement VI to the Shareholders Agreement, New Series A Shareholders Agreement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1.2</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Headings to articles of this Agreement are included herein for convenience only and shall not be taken into consideration in the interpretation or construction of this Agreement.</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1.3</w:t>
            </w:r>
          </w:p>
        </w:tc>
        <w:tc>
          <w:tcPr>
            <w:tcW w:w="9930" w:type="dxa"/>
            <w:tcBorders/>
            <w:vAlign w:val="center"/>
          </w:tcPr>
          <w:p>
            <w:pPr>
              <w:pStyle w:val="TableContents"/>
              <w:bidi w:val="0"/>
              <w:spacing w:before="0" w:after="190"/>
              <w:jc w:val="both"/>
              <w:rPr/>
            </w:pPr>
            <w:r>
              <w:rPr/>
              <w:t>“</w:t>
            </w:r>
            <w:r>
              <w:rPr>
                <w:rFonts w:ascii="Times New Roman;Times;serif" w:hAnsi="Times New Roman;Times;serif"/>
                <w:b/>
                <w:sz w:val="20"/>
              </w:rPr>
              <w:t>Hereof</w:t>
            </w:r>
            <w:r>
              <w:rPr>
                <w:rFonts w:ascii="Times New Roman;Times;serif" w:hAnsi="Times New Roman;Times;serif"/>
                <w:sz w:val="20"/>
              </w:rPr>
              <w:t>”, “</w:t>
            </w:r>
            <w:r>
              <w:rPr>
                <w:rFonts w:ascii="Times New Roman;Times;serif" w:hAnsi="Times New Roman;Times;serif"/>
                <w:b/>
                <w:sz w:val="20"/>
              </w:rPr>
              <w:t>herein</w:t>
            </w:r>
            <w:r>
              <w:rPr>
                <w:rFonts w:ascii="Times New Roman;Times;serif" w:hAnsi="Times New Roman;Times;serif"/>
                <w:sz w:val="20"/>
              </w:rPr>
              <w:t>” and “</w:t>
            </w:r>
            <w:r>
              <w:rPr>
                <w:rFonts w:ascii="Times New Roman;Times;serif" w:hAnsi="Times New Roman;Times;serif"/>
                <w:b/>
                <w:sz w:val="20"/>
              </w:rPr>
              <w:t>hereunder</w:t>
            </w:r>
            <w:r>
              <w:rPr>
                <w:rFonts w:ascii="Times New Roman;Times;serif" w:hAnsi="Times New Roman;Times;serif"/>
                <w:sz w:val="20"/>
              </w:rPr>
              <w:t>” and other similar words refer to this Agreement as a whole instead of to any particular provision of this Agreement;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90"/>
        <w:ind w:left="562" w:right="0" w:hanging="0"/>
        <w:jc w:val="both"/>
        <w:rPr>
          <w:rFonts w:ascii="Times New Roman;Times;serif" w:hAnsi="Times New Roman;Times;serif"/>
          <w:sz w:val="20"/>
        </w:rPr>
      </w:pPr>
      <w:r>
        <w:rPr>
          <w:rFonts w:ascii="Times New Roman;Times;serif" w:hAnsi="Times New Roman;Times;serif"/>
          <w:sz w:val="20"/>
        </w:rPr>
        <w:t>references to any article are references to article of this Agreement, unless otherwise indicated.</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1.4</w:t>
            </w:r>
          </w:p>
        </w:tc>
        <w:tc>
          <w:tcPr>
            <w:tcW w:w="9930" w:type="dxa"/>
            <w:tcBorders/>
            <w:vAlign w:val="center"/>
          </w:tcPr>
          <w:p>
            <w:pPr>
              <w:pStyle w:val="TableContents"/>
              <w:bidi w:val="0"/>
              <w:spacing w:before="0" w:after="190"/>
              <w:jc w:val="both"/>
              <w:rPr/>
            </w:pPr>
            <w:r>
              <w:rPr/>
              <w:t>“</w:t>
            </w:r>
            <w:r>
              <w:rPr>
                <w:rFonts w:ascii="Times New Roman;Times;serif" w:hAnsi="Times New Roman;Times;serif"/>
                <w:b/>
                <w:sz w:val="20"/>
              </w:rPr>
              <w:t>Include</w:t>
            </w:r>
            <w:r>
              <w:rPr>
                <w:rFonts w:ascii="Times New Roman;Times;serif" w:hAnsi="Times New Roman;Times;serif"/>
                <w:sz w:val="20"/>
              </w:rPr>
              <w:t>”, “</w:t>
            </w:r>
            <w:r>
              <w:rPr>
                <w:rFonts w:ascii="Times New Roman;Times;serif" w:hAnsi="Times New Roman;Times;serif"/>
                <w:b/>
                <w:sz w:val="20"/>
              </w:rPr>
              <w:t>includes</w:t>
            </w:r>
            <w:r>
              <w:rPr>
                <w:rFonts w:ascii="Times New Roman;Times;serif" w:hAnsi="Times New Roman;Times;serif"/>
                <w:sz w:val="20"/>
              </w:rPr>
              <w:t>” or “</w:t>
            </w:r>
            <w:r>
              <w:rPr>
                <w:rFonts w:ascii="Times New Roman;Times;serif" w:hAnsi="Times New Roman;Times;serif"/>
                <w:b/>
                <w:sz w:val="20"/>
              </w:rPr>
              <w:t>including</w:t>
            </w:r>
            <w:r>
              <w:rPr>
                <w:rFonts w:ascii="Times New Roman;Times;serif" w:hAnsi="Times New Roman;Times;serif"/>
                <w:sz w:val="20"/>
              </w:rPr>
              <w:t>” and similar words are not intended to be restrictive and shall be construed as if followed by the words “</w:t>
            </w:r>
            <w:r>
              <w:rPr>
                <w:rFonts w:ascii="Times New Roman;Times;serif" w:hAnsi="Times New Roman;Times;serif"/>
                <w:b/>
                <w:sz w:val="20"/>
              </w:rPr>
              <w:t>without limitation</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1.5</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All terms defined in this Agreement have the defined meanings herein when used in any certificate or other document made or delivered pursuant hereto, unless otherwise defined therein.</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1.6</w:t>
            </w:r>
          </w:p>
        </w:tc>
        <w:tc>
          <w:tcPr>
            <w:tcW w:w="9930" w:type="dxa"/>
            <w:tcBorders/>
            <w:vAlign w:val="center"/>
          </w:tcPr>
          <w:p>
            <w:pPr>
              <w:pStyle w:val="TableContents"/>
              <w:bidi w:val="0"/>
              <w:spacing w:before="0" w:after="190"/>
              <w:jc w:val="both"/>
              <w:rPr/>
            </w:pPr>
            <w:r>
              <w:rPr/>
              <w:t>“</w:t>
            </w:r>
            <w:r>
              <w:rPr>
                <w:rFonts w:ascii="Times New Roman;Times;serif" w:hAnsi="Times New Roman;Times;serif"/>
                <w:b/>
                <w:sz w:val="20"/>
              </w:rPr>
              <w:t>Written</w:t>
            </w:r>
            <w:r>
              <w:rPr>
                <w:rFonts w:ascii="Times New Roman;Times;serif" w:hAnsi="Times New Roman;Times;serif"/>
                <w:sz w:val="20"/>
              </w:rPr>
              <w:t>” and comparable terms refer to printing, typing or other means of visible reproduction, including electronic media.</w:t>
            </w:r>
          </w:p>
        </w:tc>
      </w:tr>
    </w:tbl>
    <w:tbl>
      <w:tblPr>
        <w:tblW w:w="7990" w:type="dxa"/>
        <w:jc w:val="left"/>
        <w:tblInd w:w="0" w:type="dxa"/>
        <w:tblLayout w:type="fixed"/>
        <w:tblCellMar>
          <w:top w:w="0" w:type="dxa"/>
          <w:left w:w="0" w:type="dxa"/>
          <w:bottom w:w="0" w:type="dxa"/>
          <w:right w:w="0" w:type="dxa"/>
        </w:tblCellMar>
      </w:tblPr>
      <w:tblGrid>
        <w:gridCol w:w="275"/>
        <w:gridCol w:w="7715"/>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1.7</w:t>
            </w:r>
          </w:p>
        </w:tc>
        <w:tc>
          <w:tcPr>
            <w:tcW w:w="771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Each of the terms “</w:t>
            </w:r>
            <w:r>
              <w:rPr>
                <w:rFonts w:ascii="Times New Roman;Times;serif" w:hAnsi="Times New Roman;Times;serif"/>
                <w:b/>
                <w:sz w:val="20"/>
              </w:rPr>
              <w:t>above</w:t>
            </w:r>
            <w:r>
              <w:rPr>
                <w:rFonts w:ascii="Times New Roman;Times;serif" w:hAnsi="Times New Roman;Times;serif"/>
                <w:sz w:val="20"/>
              </w:rPr>
              <w:t>” and “</w:t>
            </w:r>
            <w:r>
              <w:rPr>
                <w:rFonts w:ascii="Times New Roman;Times;serif" w:hAnsi="Times New Roman;Times;serif"/>
                <w:b/>
                <w:sz w:val="20"/>
              </w:rPr>
              <w:t>below</w:t>
            </w:r>
            <w:r>
              <w:rPr>
                <w:rFonts w:ascii="Times New Roman;Times;serif" w:hAnsi="Times New Roman;Times;serif"/>
                <w:sz w:val="20"/>
              </w:rPr>
              <w:t>” and similar terms is inclusive of the number concerned.</w:t>
            </w:r>
          </w:p>
        </w:tc>
      </w:tr>
    </w:tbl>
    <w:tbl>
      <w:tblPr>
        <w:tblW w:w="6220" w:type="dxa"/>
        <w:jc w:val="left"/>
        <w:tblInd w:w="0" w:type="dxa"/>
        <w:tblLayout w:type="fixed"/>
        <w:tblCellMar>
          <w:top w:w="0" w:type="dxa"/>
          <w:left w:w="0" w:type="dxa"/>
          <w:bottom w:w="0" w:type="dxa"/>
          <w:right w:w="0" w:type="dxa"/>
        </w:tblCellMar>
      </w:tblPr>
      <w:tblGrid>
        <w:gridCol w:w="275"/>
        <w:gridCol w:w="5945"/>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1.8</w:t>
            </w:r>
          </w:p>
        </w:tc>
        <w:tc>
          <w:tcPr>
            <w:tcW w:w="594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References to a person are also to its successors and permitted transferees.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1.9</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References to any  law, agreement, instrument or other document herein shall refer to such law, agreement, instrument or other document as from time to time amended, supplemented or otherwise modified.</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1.10</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Any reference to this Agreement or any other agreement shall be construed to include this Agreement or such other agreement as may be amended, modified, supplemented or novated.</w:t>
            </w:r>
          </w:p>
        </w:tc>
      </w:tr>
    </w:tbl>
    <w:p>
      <w:pPr>
        <w:pStyle w:val="TextBody"/>
        <w:bidi w:val="0"/>
        <w:spacing w:before="0" w:after="19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THE TRANSACTION</w:t>
      </w:r>
    </w:p>
    <w:tbl>
      <w:tblPr>
        <w:tblW w:w="2425" w:type="dxa"/>
        <w:jc w:val="left"/>
        <w:tblInd w:w="0" w:type="dxa"/>
        <w:tblLayout w:type="fixed"/>
        <w:tblCellMar>
          <w:top w:w="0" w:type="dxa"/>
          <w:left w:w="0" w:type="dxa"/>
          <w:bottom w:w="0" w:type="dxa"/>
          <w:right w:w="0" w:type="dxa"/>
        </w:tblCellMar>
      </w:tblPr>
      <w:tblGrid>
        <w:gridCol w:w="275"/>
        <w:gridCol w:w="215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2.1</w:t>
            </w:r>
          </w:p>
        </w:tc>
        <w:tc>
          <w:tcPr>
            <w:tcW w:w="215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Transaction Arrangements</w:t>
            </w:r>
          </w:p>
        </w:tc>
      </w:tr>
    </w:tbl>
    <w:tbl>
      <w:tblPr>
        <w:tblW w:w="2553" w:type="dxa"/>
        <w:jc w:val="left"/>
        <w:tblInd w:w="0" w:type="dxa"/>
        <w:tblLayout w:type="fixed"/>
        <w:tblCellMar>
          <w:top w:w="0" w:type="dxa"/>
          <w:left w:w="0" w:type="dxa"/>
          <w:bottom w:w="0" w:type="dxa"/>
          <w:right w:w="0" w:type="dxa"/>
        </w:tblCellMar>
      </w:tblPr>
      <w:tblGrid>
        <w:gridCol w:w="23"/>
        <w:gridCol w:w="425"/>
        <w:gridCol w:w="2105"/>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2.1.1</w:t>
            </w:r>
          </w:p>
        </w:tc>
        <w:tc>
          <w:tcPr>
            <w:tcW w:w="210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Investors Capital Increase</w:t>
            </w:r>
          </w:p>
        </w:tc>
      </w:tr>
    </w:tbl>
    <w:tbl>
      <w:tblPr>
        <w:tblW w:w="10205" w:type="dxa"/>
        <w:jc w:val="left"/>
        <w:tblInd w:w="0" w:type="dxa"/>
        <w:tblLayout w:type="fixed"/>
        <w:tblCellMar>
          <w:top w:w="0" w:type="dxa"/>
          <w:left w:w="0" w:type="dxa"/>
          <w:bottom w:w="0" w:type="dxa"/>
          <w:right w:w="0" w:type="dxa"/>
        </w:tblCellMar>
      </w:tblPr>
      <w:tblGrid>
        <w:gridCol w:w="23"/>
        <w:gridCol w:w="575"/>
        <w:gridCol w:w="9607"/>
      </w:tblGrid>
      <w:tr>
        <w:trPr/>
        <w:tc>
          <w:tcPr>
            <w:tcW w:w="2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2.1.1.1</w:t>
            </w:r>
          </w:p>
        </w:tc>
        <w:tc>
          <w:tcPr>
            <w:tcW w:w="960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Parties agree that the Investors shall invest RMB 3,300,000,000.00 (“</w:t>
            </w:r>
            <w:r>
              <w:rPr>
                <w:rFonts w:ascii="Times New Roman;Times;serif" w:hAnsi="Times New Roman;Times;serif"/>
                <w:b/>
                <w:sz w:val="20"/>
              </w:rPr>
              <w:t>Investors Capital Increase Price</w:t>
            </w:r>
            <w:r>
              <w:rPr>
                <w:rFonts w:ascii="Times New Roman;Times;serif" w:hAnsi="Times New Roman;Times;serif"/>
                <w:sz w:val="20"/>
              </w:rPr>
              <w:t>”)  to subscribe for RMB 471,446,484.61 newly increased registered capital of the Target Company, representing 5.66% of equity interests in the Target Company after the completion of this Transaction, among which:</w:t>
            </w:r>
          </w:p>
        </w:tc>
      </w:tr>
    </w:tbl>
    <w:tbl>
      <w:tblPr>
        <w:tblW w:w="10205" w:type="dxa"/>
        <w:jc w:val="left"/>
        <w:tblInd w:w="0" w:type="dxa"/>
        <w:tblLayout w:type="fixed"/>
        <w:tblCellMar>
          <w:top w:w="0" w:type="dxa"/>
          <w:left w:w="0" w:type="dxa"/>
          <w:bottom w:w="0" w:type="dxa"/>
          <w:right w:w="0" w:type="dxa"/>
        </w:tblCellMar>
      </w:tblPr>
      <w:tblGrid>
        <w:gridCol w:w="23"/>
        <w:gridCol w:w="160"/>
        <w:gridCol w:w="10022"/>
      </w:tblGrid>
      <w:tr>
        <w:trPr/>
        <w:tc>
          <w:tcPr>
            <w:tcW w:w="2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w:t>
            </w:r>
          </w:p>
        </w:tc>
        <w:tc>
          <w:tcPr>
            <w:tcW w:w="1002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Jianheng New Energy Fund shall subscribe for RMB 285,725,142.19 of the Target Company’s newly increased registered capital at a price of RMB 2,000,000,000.00 (the “</w:t>
            </w:r>
            <w:r>
              <w:rPr>
                <w:rFonts w:ascii="Times New Roman;Times;serif" w:hAnsi="Times New Roman;Times;serif"/>
                <w:b/>
                <w:sz w:val="20"/>
              </w:rPr>
              <w:t>Jianheng New Energy Fund Capital Increase Price</w:t>
            </w:r>
            <w:r>
              <w:rPr>
                <w:rFonts w:ascii="Times New Roman;Times;serif" w:hAnsi="Times New Roman;Times;serif"/>
                <w:sz w:val="20"/>
              </w:rPr>
              <w:t>”), representing 3.43% of equity interest in the Target Company after the completion of this Transaction;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(ii)</w:t>
            </w:r>
          </w:p>
        </w:tc>
        <w:tc>
          <w:tcPr>
            <w:tcW w:w="9961"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SDIC and/or its designated investment entity shall subscribe for RMB 71,431,285.54 of the Target Company’s newly increased registered capital at a price of RMB 500,000,000.00 (the “</w:t>
            </w:r>
            <w:r>
              <w:rPr>
                <w:rFonts w:ascii="Times New Roman;Times;serif" w:hAnsi="Times New Roman;Times;serif"/>
                <w:b/>
                <w:sz w:val="20"/>
              </w:rPr>
              <w:t>SDIC</w:t>
            </w:r>
            <w:r>
              <w:rPr>
                <w:rFonts w:ascii="Times New Roman;Times;serif" w:hAnsi="Times New Roman;Times;serif"/>
                <w:sz w:val="20"/>
              </w:rPr>
              <w:t xml:space="preserve"> </w:t>
            </w:r>
            <w:r>
              <w:rPr>
                <w:rFonts w:ascii="Times New Roman;Times;serif" w:hAnsi="Times New Roman;Times;serif"/>
                <w:b/>
                <w:sz w:val="20"/>
              </w:rPr>
              <w:t>Capital Increase Price</w:t>
            </w:r>
            <w:r>
              <w:rPr>
                <w:rFonts w:ascii="Times New Roman;Times;serif" w:hAnsi="Times New Roman;Times;serif"/>
                <w:sz w:val="20"/>
              </w:rPr>
              <w:t>”), representing 0.86% of equity interest in the Target Company after the completion of this Transaction;</w:t>
            </w:r>
          </w:p>
        </w:tc>
      </w:tr>
    </w:tbl>
    <w:tbl>
      <w:tblPr>
        <w:tblW w:w="10205" w:type="dxa"/>
        <w:jc w:val="left"/>
        <w:tblInd w:w="0" w:type="dxa"/>
        <w:tblLayout w:type="fixed"/>
        <w:tblCellMar>
          <w:top w:w="0" w:type="dxa"/>
          <w:left w:w="0" w:type="dxa"/>
          <w:bottom w:w="0" w:type="dxa"/>
          <w:right w:w="0" w:type="dxa"/>
        </w:tblCellMar>
      </w:tblPr>
      <w:tblGrid>
        <w:gridCol w:w="23"/>
        <w:gridCol w:w="278"/>
        <w:gridCol w:w="9904"/>
      </w:tblGrid>
      <w:tr>
        <w:trPr/>
        <w:tc>
          <w:tcPr>
            <w:tcW w:w="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(iii)</w:t>
            </w:r>
          </w:p>
        </w:tc>
        <w:tc>
          <w:tcPr>
            <w:tcW w:w="9904"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Anhui High-tech Co. and/or its designated investment entity shall subscribe for RMB 114,290,056.88 of the newly increased registered capital of the Target Company at a price of RMB 800,000,000.00 (the “</w:t>
            </w:r>
            <w:r>
              <w:rPr>
                <w:rFonts w:ascii="Times New Roman;Times;serif" w:hAnsi="Times New Roman;Times;serif"/>
                <w:b/>
                <w:sz w:val="20"/>
              </w:rPr>
              <w:t>Anhui High-tech Co. Capital Increase Price</w:t>
            </w:r>
            <w:r>
              <w:rPr>
                <w:rFonts w:ascii="Times New Roman;Times;serif" w:hAnsi="Times New Roman;Times;serif"/>
                <w:sz w:val="20"/>
              </w:rPr>
              <w:t>”), which represents 1.37% of equity interest in the Target Company after the completion of this Transaction.</w:t>
            </w:r>
          </w:p>
        </w:tc>
      </w:tr>
    </w:tbl>
    <w:tbl>
      <w:tblPr>
        <w:tblW w:w="10205" w:type="dxa"/>
        <w:jc w:val="left"/>
        <w:tblInd w:w="0" w:type="dxa"/>
        <w:tblLayout w:type="fixed"/>
        <w:tblCellMar>
          <w:top w:w="0" w:type="dxa"/>
          <w:left w:w="0" w:type="dxa"/>
          <w:bottom w:w="0" w:type="dxa"/>
          <w:right w:w="0" w:type="dxa"/>
        </w:tblCellMar>
      </w:tblPr>
      <w:tblGrid>
        <w:gridCol w:w="23"/>
        <w:gridCol w:w="575"/>
        <w:gridCol w:w="9607"/>
      </w:tblGrid>
      <w:tr>
        <w:trPr/>
        <w:tc>
          <w:tcPr>
            <w:tcW w:w="2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2.1.1.2</w:t>
            </w:r>
          </w:p>
        </w:tc>
        <w:tc>
          <w:tcPr>
            <w:tcW w:w="960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Among the Investors Capital Increase Price, RMB 471,446,484.61 shall become the newly increased registered capital of the Target Company and RMB 2,828,553,515.39 shall be included as surplus in the capital reserves of the Target Company. Specifically: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834"/>
        <w:gridCol w:w="1759"/>
        <w:gridCol w:w="1841"/>
        <w:gridCol w:w="2463"/>
        <w:gridCol w:w="2308"/>
      </w:tblGrid>
      <w:tr>
        <w:trPr/>
        <w:tc>
          <w:tcPr>
            <w:tcW w:w="1834" w:type="dxa"/>
            <w:tcBorders/>
            <w:vAlign w:val="center"/>
          </w:tcPr>
          <w:p>
            <w:pPr>
              <w:pStyle w:val="TableContents"/>
              <w:bidi w:val="0"/>
              <w:spacing w:before="0" w:after="283"/>
              <w:ind w:left="0" w:right="0" w:hanging="0"/>
              <w:jc w:val="left"/>
              <w:rPr>
                <w:sz w:val="4"/>
                <w:szCs w:val="4"/>
              </w:rPr>
            </w:pPr>
            <w:r>
              <w:rPr>
                <w:sz w:val="4"/>
                <w:szCs w:val="4"/>
              </w:rPr>
            </w:r>
          </w:p>
        </w:tc>
        <w:tc>
          <w:tcPr>
            <w:tcW w:w="1759" w:type="dxa"/>
            <w:tcBorders/>
            <w:vAlign w:val="center"/>
          </w:tcPr>
          <w:p>
            <w:pPr>
              <w:pStyle w:val="TableContents"/>
              <w:bidi w:val="0"/>
              <w:spacing w:before="0" w:after="283"/>
              <w:ind w:left="0" w:right="0" w:hanging="0"/>
              <w:jc w:val="left"/>
              <w:rPr>
                <w:sz w:val="4"/>
                <w:szCs w:val="4"/>
              </w:rPr>
            </w:pPr>
            <w:r>
              <w:rPr>
                <w:sz w:val="4"/>
                <w:szCs w:val="4"/>
              </w:rPr>
            </w:r>
          </w:p>
        </w:tc>
        <w:tc>
          <w:tcPr>
            <w:tcW w:w="1841" w:type="dxa"/>
            <w:tcBorders/>
            <w:vAlign w:val="center"/>
          </w:tcPr>
          <w:p>
            <w:pPr>
              <w:pStyle w:val="TableContents"/>
              <w:bidi w:val="0"/>
              <w:spacing w:before="0" w:after="283"/>
              <w:ind w:left="0" w:right="0" w:hanging="0"/>
              <w:jc w:val="left"/>
              <w:rPr>
                <w:sz w:val="4"/>
                <w:szCs w:val="4"/>
              </w:rPr>
            </w:pPr>
            <w:r>
              <w:rPr>
                <w:sz w:val="4"/>
                <w:szCs w:val="4"/>
              </w:rPr>
            </w:r>
          </w:p>
        </w:tc>
        <w:tc>
          <w:tcPr>
            <w:tcW w:w="2463" w:type="dxa"/>
            <w:tcBorders/>
            <w:vAlign w:val="center"/>
          </w:tcPr>
          <w:p>
            <w:pPr>
              <w:pStyle w:val="TableContents"/>
              <w:bidi w:val="0"/>
              <w:spacing w:before="0" w:after="283"/>
              <w:ind w:left="0" w:right="0" w:hanging="0"/>
              <w:jc w:val="left"/>
              <w:rPr>
                <w:sz w:val="4"/>
                <w:szCs w:val="4"/>
              </w:rPr>
            </w:pPr>
            <w:r>
              <w:rPr>
                <w:sz w:val="4"/>
                <w:szCs w:val="4"/>
              </w:rPr>
            </w:r>
          </w:p>
        </w:tc>
        <w:tc>
          <w:tcPr>
            <w:tcW w:w="2308" w:type="dxa"/>
            <w:tcBorders/>
            <w:vAlign w:val="center"/>
          </w:tcPr>
          <w:p>
            <w:pPr>
              <w:pStyle w:val="TableContents"/>
              <w:bidi w:val="0"/>
              <w:spacing w:before="0" w:after="283"/>
              <w:ind w:left="0" w:right="0" w:hanging="0"/>
              <w:jc w:val="left"/>
              <w:rPr>
                <w:sz w:val="4"/>
                <w:szCs w:val="4"/>
              </w:rPr>
            </w:pPr>
            <w:r>
              <w:rPr>
                <w:sz w:val="4"/>
                <w:szCs w:val="4"/>
              </w:rPr>
            </w:r>
          </w:p>
        </w:tc>
      </w:tr>
      <w:tr>
        <w:trPr/>
        <w:tc>
          <w:tcPr>
            <w:tcW w:w="1834" w:type="dxa"/>
            <w:tcBorders>
              <w:top w:val="single" w:sz="2" w:space="0" w:color="000000"/>
              <w:left w:val="single" w:sz="2" w:space="0" w:color="000000"/>
              <w:bottom w:val="single" w:sz="2" w:space="0" w:color="000000"/>
              <w:right w:val="single" w:sz="2" w:space="0" w:color="000000"/>
            </w:tcBorders>
            <w:shd w:fill="767171" w:val="clear"/>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Name of Investor</w:t>
            </w:r>
          </w:p>
        </w:tc>
        <w:tc>
          <w:tcPr>
            <w:tcW w:w="1759" w:type="dxa"/>
            <w:tcBorders>
              <w:top w:val="single" w:sz="2" w:space="0" w:color="000000"/>
              <w:left w:val="single" w:sz="2" w:space="0" w:color="000000"/>
              <w:bottom w:val="single" w:sz="2" w:space="0" w:color="000000"/>
              <w:right w:val="single" w:sz="2" w:space="0" w:color="000000"/>
            </w:tcBorders>
            <w:shd w:fill="767171" w:val="clear"/>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color w:val="FFFFFF"/>
                <w:sz w:val="20"/>
              </w:rPr>
              <w:t>Capital Increase Price</w:t>
            </w:r>
            <w:r>
              <w:rPr>
                <w:rFonts w:ascii="Times New Roman;Times;serif" w:hAnsi="Times New Roman;Times;serif"/>
                <w:color w:val="FFFFFF"/>
                <w:sz w:val="20"/>
              </w:rPr>
              <w:t xml:space="preserve"> </w:t>
            </w:r>
            <w:r>
              <w:rPr>
                <w:rFonts w:ascii="Times New Roman;Times;serif" w:hAnsi="Times New Roman;Times;serif"/>
                <w:b/>
                <w:color w:val="FFFFFF"/>
                <w:sz w:val="20"/>
              </w:rPr>
              <w:t>(RMB)</w:t>
            </w:r>
          </w:p>
        </w:tc>
        <w:tc>
          <w:tcPr>
            <w:tcW w:w="1841" w:type="dxa"/>
            <w:tcBorders>
              <w:top w:val="single" w:sz="2" w:space="0" w:color="000000"/>
              <w:left w:val="single" w:sz="2" w:space="0" w:color="000000"/>
              <w:bottom w:val="single" w:sz="2" w:space="0" w:color="000000"/>
              <w:right w:val="single" w:sz="2" w:space="0" w:color="000000"/>
            </w:tcBorders>
            <w:shd w:fill="767171" w:val="clear"/>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color w:val="FFFFFF"/>
                <w:sz w:val="20"/>
              </w:rPr>
              <w:t>Corresponding Registered Capital</w:t>
            </w:r>
            <w:r>
              <w:rPr>
                <w:rFonts w:ascii="Times New Roman;Times;serif" w:hAnsi="Times New Roman;Times;serif"/>
                <w:color w:val="FFFFFF"/>
                <w:sz w:val="20"/>
              </w:rPr>
              <w:t xml:space="preserve"> </w:t>
            </w:r>
            <w:r>
              <w:rPr>
                <w:rFonts w:ascii="Times New Roman;Times;serif" w:hAnsi="Times New Roman;Times;serif"/>
                <w:b/>
                <w:color w:val="FFFFFF"/>
                <w:sz w:val="20"/>
              </w:rPr>
              <w:t>(RMB)</w:t>
            </w:r>
          </w:p>
        </w:tc>
        <w:tc>
          <w:tcPr>
            <w:tcW w:w="2463" w:type="dxa"/>
            <w:tcBorders>
              <w:top w:val="single" w:sz="2" w:space="0" w:color="000000"/>
              <w:left w:val="single" w:sz="2" w:space="0" w:color="000000"/>
              <w:bottom w:val="single" w:sz="2" w:space="0" w:color="000000"/>
              <w:right w:val="single" w:sz="2" w:space="0" w:color="000000"/>
            </w:tcBorders>
            <w:shd w:fill="767171" w:val="clear"/>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Percentage of Equity Interests in the Target Company after Completion of the Transaction</w:t>
            </w:r>
          </w:p>
        </w:tc>
        <w:tc>
          <w:tcPr>
            <w:tcW w:w="2308" w:type="dxa"/>
            <w:tcBorders>
              <w:top w:val="single" w:sz="2" w:space="0" w:color="000000"/>
              <w:left w:val="single" w:sz="2" w:space="0" w:color="000000"/>
              <w:bottom w:val="single" w:sz="2" w:space="0" w:color="000000"/>
              <w:right w:val="single" w:sz="2" w:space="0" w:color="000000"/>
            </w:tcBorders>
            <w:shd w:fill="767171" w:val="clear"/>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color w:val="FFFFFF"/>
                <w:sz w:val="20"/>
              </w:rPr>
              <w:t>Premium included as Surplus in the Capital Reserve</w:t>
            </w:r>
            <w:r>
              <w:rPr>
                <w:rFonts w:ascii="Times New Roman;Times;serif" w:hAnsi="Times New Roman;Times;serif"/>
                <w:color w:val="FFFFFF"/>
                <w:sz w:val="20"/>
              </w:rPr>
              <w:t xml:space="preserve"> </w:t>
            </w:r>
            <w:r>
              <w:rPr>
                <w:rFonts w:ascii="Times New Roman;Times;serif" w:hAnsi="Times New Roman;Times;serif"/>
                <w:b/>
                <w:color w:val="FFFFFF"/>
                <w:sz w:val="20"/>
              </w:rPr>
              <w:t>(RMB)</w:t>
            </w:r>
          </w:p>
        </w:tc>
      </w:tr>
      <w:tr>
        <w:trPr/>
        <w:tc>
          <w:tcPr>
            <w:tcW w:w="183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 xml:space="preserve">Jianheng New Energy Fund </w:t>
            </w:r>
          </w:p>
        </w:tc>
        <w:tc>
          <w:tcPr>
            <w:tcW w:w="175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2,000,000,000.00</w:t>
            </w:r>
          </w:p>
        </w:tc>
        <w:tc>
          <w:tcPr>
            <w:tcW w:w="18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285,725,142.19</w:t>
            </w:r>
          </w:p>
        </w:tc>
        <w:tc>
          <w:tcPr>
            <w:tcW w:w="246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3.43%</w:t>
            </w:r>
          </w:p>
        </w:tc>
        <w:tc>
          <w:tcPr>
            <w:tcW w:w="230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1,714,274,857.81</w:t>
            </w:r>
          </w:p>
        </w:tc>
      </w:tr>
      <w:tr>
        <w:trPr/>
        <w:tc>
          <w:tcPr>
            <w:tcW w:w="183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 xml:space="preserve">SDIC and/or its designated investment entity </w:t>
            </w:r>
          </w:p>
        </w:tc>
        <w:tc>
          <w:tcPr>
            <w:tcW w:w="175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500,000,000.00</w:t>
            </w:r>
          </w:p>
        </w:tc>
        <w:tc>
          <w:tcPr>
            <w:tcW w:w="18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71,431,285.54</w:t>
            </w:r>
          </w:p>
        </w:tc>
        <w:tc>
          <w:tcPr>
            <w:tcW w:w="246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0.86%</w:t>
            </w:r>
          </w:p>
        </w:tc>
        <w:tc>
          <w:tcPr>
            <w:tcW w:w="230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428,568,714.46</w:t>
            </w:r>
          </w:p>
        </w:tc>
      </w:tr>
      <w:tr>
        <w:trPr/>
        <w:tc>
          <w:tcPr>
            <w:tcW w:w="183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 xml:space="preserve">Anhui High-tech Co. and/or its designated investment entity </w:t>
            </w:r>
          </w:p>
        </w:tc>
        <w:tc>
          <w:tcPr>
            <w:tcW w:w="175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800,000,000.00</w:t>
            </w:r>
          </w:p>
        </w:tc>
        <w:tc>
          <w:tcPr>
            <w:tcW w:w="18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114,290,056.88</w:t>
            </w:r>
          </w:p>
        </w:tc>
        <w:tc>
          <w:tcPr>
            <w:tcW w:w="246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1.37%</w:t>
            </w:r>
          </w:p>
        </w:tc>
        <w:tc>
          <w:tcPr>
            <w:tcW w:w="230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685,709,943.12</w:t>
            </w:r>
          </w:p>
        </w:tc>
      </w:tr>
      <w:tr>
        <w:trPr/>
        <w:tc>
          <w:tcPr>
            <w:tcW w:w="183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TOTAL</w:t>
            </w:r>
          </w:p>
        </w:tc>
        <w:tc>
          <w:tcPr>
            <w:tcW w:w="175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3,300,000,000.00</w:t>
            </w:r>
          </w:p>
        </w:tc>
        <w:tc>
          <w:tcPr>
            <w:tcW w:w="18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471,446,484.61</w:t>
            </w:r>
          </w:p>
        </w:tc>
        <w:tc>
          <w:tcPr>
            <w:tcW w:w="246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5.66%</w:t>
            </w:r>
          </w:p>
        </w:tc>
        <w:tc>
          <w:tcPr>
            <w:tcW w:w="230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2,828,553,515.39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90"/>
        <w:ind w:left="0" w:right="0" w:hanging="0"/>
        <w:jc w:val="left"/>
        <w:rPr/>
      </w:pPr>
      <w:r>
        <w:rPr/>
        <w:t>​</w:t>
      </w:r>
    </w:p>
    <w:tbl>
      <w:tblPr>
        <w:tblW w:w="2733" w:type="dxa"/>
        <w:jc w:val="left"/>
        <w:tblInd w:w="0" w:type="dxa"/>
        <w:tblLayout w:type="fixed"/>
        <w:tblCellMar>
          <w:top w:w="0" w:type="dxa"/>
          <w:left w:w="0" w:type="dxa"/>
          <w:bottom w:w="0" w:type="dxa"/>
          <w:right w:w="0" w:type="dxa"/>
        </w:tblCellMar>
      </w:tblPr>
      <w:tblGrid>
        <w:gridCol w:w="23"/>
        <w:gridCol w:w="425"/>
        <w:gridCol w:w="2285"/>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2.1.2</w:t>
            </w:r>
          </w:p>
        </w:tc>
        <w:tc>
          <w:tcPr>
            <w:tcW w:w="228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NIO Parties Capital Increase</w:t>
            </w:r>
          </w:p>
        </w:tc>
      </w:tr>
    </w:tbl>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w:t>
            </w:r>
          </w:p>
        </w:tc>
        <w:tc>
          <w:tcPr>
            <w:tcW w:w="9983"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Parties agree that NIO Parties shall subscribe for RMB 1,428,625,710.96 of the newly increased registered capital of the Target Company at the price of RMB 10,000,000,000.00 (the “</w:t>
            </w:r>
            <w:r>
              <w:rPr>
                <w:rFonts w:ascii="Times New Roman;Times;serif" w:hAnsi="Times New Roman;Times;serif"/>
                <w:b/>
                <w:sz w:val="20"/>
              </w:rPr>
              <w:t>NIO Parties Capital Increase Price</w:t>
            </w:r>
            <w:r>
              <w:rPr>
                <w:rFonts w:ascii="Times New Roman;Times;serif" w:hAnsi="Times New Roman;Times;serif"/>
                <w:sz w:val="20"/>
              </w:rPr>
              <w:t>”, together with the Investors Capital Increase Price, the “</w:t>
            </w:r>
            <w:r>
              <w:rPr>
                <w:rFonts w:ascii="Times New Roman;Times;serif" w:hAnsi="Times New Roman;Times;serif"/>
                <w:b/>
                <w:sz w:val="20"/>
              </w:rPr>
              <w:t>Capital Increase Price</w:t>
            </w:r>
            <w:r>
              <w:rPr>
                <w:rFonts w:ascii="Times New Roman;Times;serif" w:hAnsi="Times New Roman;Times;serif"/>
                <w:sz w:val="20"/>
              </w:rPr>
              <w:t>”) in accordance with this Agreement, representing 17.15% of equity interest in the Target Company after the completion of this Transaction, among which:</w:t>
            </w:r>
          </w:p>
        </w:tc>
      </w:tr>
    </w:tbl>
    <w:tbl>
      <w:tblPr>
        <w:tblW w:w="10205" w:type="dxa"/>
        <w:jc w:val="left"/>
        <w:tblInd w:w="0" w:type="dxa"/>
        <w:tblLayout w:type="fixed"/>
        <w:tblCellMar>
          <w:top w:w="0" w:type="dxa"/>
          <w:left w:w="0" w:type="dxa"/>
          <w:bottom w:w="0" w:type="dxa"/>
          <w:right w:w="0" w:type="dxa"/>
        </w:tblCellMar>
      </w:tblPr>
      <w:tblGrid>
        <w:gridCol w:w="23"/>
        <w:gridCol w:w="163"/>
        <w:gridCol w:w="10019"/>
      </w:tblGrid>
      <w:tr>
        <w:trPr/>
        <w:tc>
          <w:tcPr>
            <w:tcW w:w="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w:t>
            </w:r>
          </w:p>
        </w:tc>
        <w:tc>
          <w:tcPr>
            <w:tcW w:w="10019"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NIO HK shall subscribe for RMB 1,112,116,715.97 of the Target Company’s newly increased registered capital at a price of RMB 7,784,521,218.12 (the “</w:t>
            </w:r>
            <w:r>
              <w:rPr>
                <w:rFonts w:ascii="Times New Roman;Times;serif" w:hAnsi="Times New Roman;Times;serif"/>
                <w:b/>
                <w:sz w:val="20"/>
              </w:rPr>
              <w:t>NIO HK Capital Increase Price</w:t>
            </w:r>
            <w:r>
              <w:rPr>
                <w:rFonts w:ascii="Times New Roman;Times;serif" w:hAnsi="Times New Roman;Times;serif"/>
                <w:sz w:val="20"/>
              </w:rPr>
              <w:t>”), representing 13.35% of equity interest in the Target Company after the completion of this Transaction;</w:t>
            </w:r>
          </w:p>
        </w:tc>
      </w:tr>
    </w:tbl>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(ii)</w:t>
            </w:r>
          </w:p>
        </w:tc>
        <w:tc>
          <w:tcPr>
            <w:tcW w:w="996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UE HK shall subscribe for RMB 302,074,951.52 of the newly increased registered capital of the Target Company at a price of RMB 2,114,444,316.66 (the “</w:t>
            </w:r>
            <w:r>
              <w:rPr>
                <w:rFonts w:ascii="Times New Roman;Times;serif" w:hAnsi="Times New Roman;Times;serif"/>
                <w:b/>
                <w:sz w:val="20"/>
              </w:rPr>
              <w:t>UE HK</w:t>
            </w:r>
            <w:r>
              <w:rPr>
                <w:rFonts w:ascii="Times New Roman;Times;serif" w:hAnsi="Times New Roman;Times;serif"/>
                <w:sz w:val="20"/>
              </w:rPr>
              <w:t xml:space="preserve"> </w:t>
            </w:r>
            <w:r>
              <w:rPr>
                <w:rFonts w:ascii="Times New Roman;Times;serif" w:hAnsi="Times New Roman;Times;serif"/>
                <w:b/>
                <w:sz w:val="20"/>
              </w:rPr>
              <w:t>Capital Increase Price</w:t>
            </w:r>
            <w:r>
              <w:rPr>
                <w:rFonts w:ascii="Times New Roman;Times;serif" w:hAnsi="Times New Roman;Times;serif"/>
                <w:sz w:val="20"/>
              </w:rPr>
              <w:t>”), which represents 3.63% of equity interest in the Target Company after the completion of this Transaction;</w:t>
            </w:r>
          </w:p>
        </w:tc>
      </w:tr>
    </w:tbl>
    <w:tbl>
      <w:tblPr>
        <w:tblW w:w="10205" w:type="dxa"/>
        <w:jc w:val="left"/>
        <w:tblInd w:w="0" w:type="dxa"/>
        <w:tblLayout w:type="fixed"/>
        <w:tblCellMar>
          <w:top w:w="0" w:type="dxa"/>
          <w:left w:w="0" w:type="dxa"/>
          <w:bottom w:w="0" w:type="dxa"/>
          <w:right w:w="0" w:type="dxa"/>
        </w:tblCellMar>
      </w:tblPr>
      <w:tblGrid>
        <w:gridCol w:w="23"/>
        <w:gridCol w:w="283"/>
        <w:gridCol w:w="9899"/>
      </w:tblGrid>
      <w:tr>
        <w:trPr/>
        <w:tc>
          <w:tcPr>
            <w:tcW w:w="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(iii)</w:t>
            </w:r>
          </w:p>
        </w:tc>
        <w:tc>
          <w:tcPr>
            <w:tcW w:w="9899"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PE HK shall subscribe for RMB 14,434,043.47 of the Target Company’s newly increased registered capital at a price of RMB 101,034,465.21 (the “</w:t>
            </w:r>
            <w:r>
              <w:rPr>
                <w:rFonts w:ascii="Times New Roman;Times;serif" w:hAnsi="Times New Roman;Times;serif"/>
                <w:b/>
                <w:sz w:val="20"/>
              </w:rPr>
              <w:t>PE HK Capital Increase Price</w:t>
            </w:r>
            <w:r>
              <w:rPr>
                <w:rFonts w:ascii="Times New Roman;Times;serif" w:hAnsi="Times New Roman;Times;serif"/>
                <w:sz w:val="20"/>
              </w:rPr>
              <w:t>”), representing 0.17% of equity interest in the Target Company after the completion of this Transaction.</w:t>
            </w:r>
          </w:p>
        </w:tc>
      </w:tr>
    </w:tbl>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w:t>
            </w:r>
          </w:p>
        </w:tc>
        <w:tc>
          <w:tcPr>
            <w:tcW w:w="997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Among the NIO Parties Capital Increase Price, RMB 1,428,625,710.96 shall become the newly increased registered capital of the Target Company and RMB 8,571,374,289.04 shall be included as surplus in the capital reserves of the Target Company. Specifically:</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103" w:type="dxa"/>
          <w:bottom w:w="28" w:type="dxa"/>
          <w:right w:w="103" w:type="dxa"/>
        </w:tblCellMar>
      </w:tblPr>
      <w:tblGrid>
        <w:gridCol w:w="1013"/>
        <w:gridCol w:w="1816"/>
        <w:gridCol w:w="2071"/>
        <w:gridCol w:w="2811"/>
        <w:gridCol w:w="2494"/>
      </w:tblGrid>
      <w:tr>
        <w:trPr/>
        <w:tc>
          <w:tcPr>
            <w:tcW w:w="1013" w:type="dxa"/>
            <w:tcBorders>
              <w:top w:val="single" w:sz="2" w:space="0" w:color="000000"/>
              <w:left w:val="single" w:sz="2" w:space="0" w:color="000000"/>
              <w:bottom w:val="single" w:sz="2" w:space="0" w:color="000000"/>
              <w:right w:val="single" w:sz="2" w:space="0" w:color="000000"/>
            </w:tcBorders>
            <w:shd w:fill="767171" w:val="cle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Name of NIO Parties</w:t>
            </w:r>
          </w:p>
        </w:tc>
        <w:tc>
          <w:tcPr>
            <w:tcW w:w="1816" w:type="dxa"/>
            <w:tcBorders>
              <w:top w:val="single" w:sz="2" w:space="0" w:color="000000"/>
              <w:left w:val="single" w:sz="2" w:space="0" w:color="000000"/>
              <w:bottom w:val="single" w:sz="2" w:space="0" w:color="000000"/>
              <w:right w:val="single" w:sz="2" w:space="0" w:color="000000"/>
            </w:tcBorders>
            <w:shd w:fill="767171"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color w:val="FFFFFF"/>
                <w:sz w:val="20"/>
              </w:rPr>
              <w:t>Capital Increase Price</w:t>
            </w:r>
            <w:r>
              <w:rPr>
                <w:rFonts w:ascii="Times New Roman;Times;serif" w:hAnsi="Times New Roman;Times;serif"/>
                <w:color w:val="FFFFFF"/>
                <w:sz w:val="20"/>
              </w:rPr>
              <w:t xml:space="preserve"> </w:t>
            </w:r>
            <w:r>
              <w:rPr>
                <w:rFonts w:ascii="Times New Roman;Times;serif" w:hAnsi="Times New Roman;Times;serif"/>
                <w:b/>
                <w:color w:val="FFFFFF"/>
                <w:sz w:val="20"/>
              </w:rPr>
              <w:t>(RMB)</w:t>
            </w:r>
          </w:p>
        </w:tc>
        <w:tc>
          <w:tcPr>
            <w:tcW w:w="2071" w:type="dxa"/>
            <w:tcBorders>
              <w:top w:val="single" w:sz="2" w:space="0" w:color="000000"/>
              <w:left w:val="single" w:sz="2" w:space="0" w:color="000000"/>
              <w:bottom w:val="single" w:sz="2" w:space="0" w:color="000000"/>
              <w:right w:val="single" w:sz="2" w:space="0" w:color="000000"/>
            </w:tcBorders>
            <w:shd w:fill="767171"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color w:val="FFFFFF"/>
                <w:sz w:val="20"/>
              </w:rPr>
              <w:t>Corresponding Registered Capital</w:t>
            </w:r>
            <w:r>
              <w:rPr>
                <w:rFonts w:ascii="Times New Roman;Times;serif" w:hAnsi="Times New Roman;Times;serif"/>
                <w:color w:val="FFFFFF"/>
                <w:sz w:val="20"/>
              </w:rPr>
              <w:t xml:space="preserve"> </w:t>
            </w:r>
            <w:r>
              <w:rPr>
                <w:rFonts w:ascii="Times New Roman;Times;serif" w:hAnsi="Times New Roman;Times;serif"/>
                <w:b/>
                <w:color w:val="FFFFFF"/>
                <w:sz w:val="20"/>
              </w:rPr>
              <w:t>(RMB)</w:t>
            </w:r>
          </w:p>
        </w:tc>
        <w:tc>
          <w:tcPr>
            <w:tcW w:w="2811" w:type="dxa"/>
            <w:tcBorders>
              <w:top w:val="single" w:sz="2" w:space="0" w:color="000000"/>
              <w:left w:val="single" w:sz="2" w:space="0" w:color="000000"/>
              <w:bottom w:val="single" w:sz="2" w:space="0" w:color="000000"/>
              <w:right w:val="single" w:sz="2" w:space="0" w:color="000000"/>
            </w:tcBorders>
            <w:shd w:fill="767171" w:val="cle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Percentage of Equity Interests in the Target Company after Completion of the Transaction</w:t>
            </w:r>
          </w:p>
        </w:tc>
        <w:tc>
          <w:tcPr>
            <w:tcW w:w="2494" w:type="dxa"/>
            <w:tcBorders>
              <w:top w:val="single" w:sz="2" w:space="0" w:color="000000"/>
              <w:left w:val="single" w:sz="2" w:space="0" w:color="000000"/>
              <w:bottom w:val="single" w:sz="2" w:space="0" w:color="000000"/>
              <w:right w:val="single" w:sz="2" w:space="0" w:color="000000"/>
            </w:tcBorders>
            <w:shd w:fill="767171"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color w:val="FFFFFF"/>
                <w:sz w:val="20"/>
              </w:rPr>
              <w:t>Premium included as Surplus in the Capital Reserve</w:t>
            </w:r>
            <w:r>
              <w:rPr>
                <w:rFonts w:ascii="Times New Roman;Times;serif" w:hAnsi="Times New Roman;Times;serif"/>
                <w:color w:val="FFFFFF"/>
                <w:sz w:val="20"/>
              </w:rPr>
              <w:t xml:space="preserve"> </w:t>
            </w:r>
            <w:r>
              <w:rPr>
                <w:rFonts w:ascii="Times New Roman;Times;serif" w:hAnsi="Times New Roman;Times;serif"/>
                <w:b/>
                <w:color w:val="FFFFFF"/>
                <w:sz w:val="20"/>
              </w:rPr>
              <w:t>(RMB)</w:t>
            </w:r>
          </w:p>
        </w:tc>
      </w:tr>
      <w:tr>
        <w:trPr/>
        <w:tc>
          <w:tcPr>
            <w:tcW w:w="10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NIO HK</w:t>
            </w:r>
          </w:p>
        </w:tc>
        <w:tc>
          <w:tcPr>
            <w:tcW w:w="18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7,784,521,218.12</w:t>
            </w:r>
          </w:p>
        </w:tc>
        <w:tc>
          <w:tcPr>
            <w:tcW w:w="20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1,112,116,715.97</w:t>
            </w:r>
          </w:p>
        </w:tc>
        <w:tc>
          <w:tcPr>
            <w:tcW w:w="2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13.35%</w:t>
            </w:r>
          </w:p>
        </w:tc>
        <w:tc>
          <w:tcPr>
            <w:tcW w:w="24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6,672,404,502.15</w:t>
            </w:r>
          </w:p>
        </w:tc>
      </w:tr>
      <w:tr>
        <w:trPr/>
        <w:tc>
          <w:tcPr>
            <w:tcW w:w="10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UE HK</w:t>
            </w:r>
          </w:p>
        </w:tc>
        <w:tc>
          <w:tcPr>
            <w:tcW w:w="18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2,114,444,316.66</w:t>
            </w:r>
          </w:p>
        </w:tc>
        <w:tc>
          <w:tcPr>
            <w:tcW w:w="20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302,074,951.52</w:t>
            </w:r>
          </w:p>
        </w:tc>
        <w:tc>
          <w:tcPr>
            <w:tcW w:w="2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3.63%</w:t>
            </w:r>
          </w:p>
        </w:tc>
        <w:tc>
          <w:tcPr>
            <w:tcW w:w="24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1,812,369,365.15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275" w:type="dxa"/>
        <w:jc w:val="left"/>
        <w:tblInd w:w="0" w:type="dxa"/>
        <w:tblLayout w:type="fixed"/>
        <w:tblCellMar>
          <w:top w:w="28" w:type="dxa"/>
          <w:left w:w="103" w:type="dxa"/>
          <w:bottom w:w="28" w:type="dxa"/>
          <w:right w:w="103" w:type="dxa"/>
        </w:tblCellMar>
      </w:tblPr>
      <w:tblGrid>
        <w:gridCol w:w="751"/>
        <w:gridCol w:w="1651"/>
        <w:gridCol w:w="1546"/>
        <w:gridCol w:w="736"/>
        <w:gridCol w:w="1591"/>
      </w:tblGrid>
      <w:tr>
        <w:trPr/>
        <w:tc>
          <w:tcPr>
            <w:tcW w:w="7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 HK</w:t>
            </w:r>
          </w:p>
        </w:tc>
        <w:tc>
          <w:tcPr>
            <w:tcW w:w="16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101,034,465.21</w:t>
            </w:r>
          </w:p>
        </w:tc>
        <w:tc>
          <w:tcPr>
            <w:tcW w:w="15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14,434,043.47</w:t>
            </w:r>
          </w:p>
        </w:tc>
        <w:tc>
          <w:tcPr>
            <w:tcW w:w="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0.17%</w:t>
            </w:r>
          </w:p>
        </w:tc>
        <w:tc>
          <w:tcPr>
            <w:tcW w:w="15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86,600,421.74</w:t>
            </w:r>
          </w:p>
        </w:tc>
      </w:tr>
      <w:tr>
        <w:trPr/>
        <w:tc>
          <w:tcPr>
            <w:tcW w:w="7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16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10,000,000,000.00</w:t>
            </w:r>
          </w:p>
        </w:tc>
        <w:tc>
          <w:tcPr>
            <w:tcW w:w="15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1,428,625,710.96</w:t>
            </w:r>
          </w:p>
        </w:tc>
        <w:tc>
          <w:tcPr>
            <w:tcW w:w="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17.15%</w:t>
            </w:r>
          </w:p>
        </w:tc>
        <w:tc>
          <w:tcPr>
            <w:tcW w:w="15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8,571,374,289.04</w:t>
            </w:r>
          </w:p>
        </w:tc>
      </w:tr>
    </w:tbl>
    <w:p>
      <w:pPr>
        <w:pStyle w:val="TextBody"/>
        <w:bidi w:val="0"/>
        <w:spacing w:before="0" w:after="0"/>
        <w:ind w:left="0" w:right="0" w:hanging="0"/>
        <w:jc w:val="both"/>
        <w:rPr/>
      </w:pPr>
      <w:r>
        <w:rPr/>
        <w:t>​</w:t>
      </w:r>
    </w:p>
    <w:tbl>
      <w:tblPr>
        <w:tblW w:w="1833" w:type="dxa"/>
        <w:jc w:val="left"/>
        <w:tblInd w:w="0" w:type="dxa"/>
        <w:tblLayout w:type="fixed"/>
        <w:tblCellMar>
          <w:top w:w="0" w:type="dxa"/>
          <w:left w:w="0" w:type="dxa"/>
          <w:bottom w:w="0" w:type="dxa"/>
          <w:right w:w="0" w:type="dxa"/>
        </w:tblCellMar>
      </w:tblPr>
      <w:tblGrid>
        <w:gridCol w:w="23"/>
        <w:gridCol w:w="425"/>
        <w:gridCol w:w="1385"/>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2.1.3</w:t>
            </w:r>
          </w:p>
        </w:tc>
        <w:tc>
          <w:tcPr>
            <w:tcW w:w="138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This Transaction</w:t>
            </w:r>
          </w:p>
        </w:tc>
      </w:tr>
    </w:tbl>
    <w:p>
      <w:pPr>
        <w:pStyle w:val="TextBody"/>
        <w:bidi w:val="0"/>
        <w:spacing w:before="0" w:after="190"/>
        <w:ind w:left="1701" w:right="0" w:hanging="0"/>
        <w:jc w:val="both"/>
        <w:rPr>
          <w:rFonts w:ascii="Times New Roman;Times;serif" w:hAnsi="Times New Roman;Times;serif"/>
          <w:sz w:val="20"/>
        </w:rPr>
      </w:pPr>
      <w:r>
        <w:rPr>
          <w:rFonts w:ascii="Times New Roman;Times;serif" w:hAnsi="Times New Roman;Times;serif"/>
          <w:sz w:val="20"/>
        </w:rPr>
        <w:t>In accordance with this Agreement, this Capital Increase by the Investors and the NIO Parties, this “</w:t>
      </w:r>
      <w:r>
        <w:rPr>
          <w:rFonts w:ascii="Times New Roman;Times;serif" w:hAnsi="Times New Roman;Times;serif"/>
          <w:b/>
          <w:sz w:val="20"/>
        </w:rPr>
        <w:t>Transaction</w:t>
      </w:r>
      <w:r>
        <w:rPr>
          <w:rFonts w:ascii="Times New Roman;Times;serif" w:hAnsi="Times New Roman;Times;serif"/>
          <w:sz w:val="20"/>
        </w:rPr>
        <w:t>” or “</w:t>
      </w:r>
      <w:r>
        <w:rPr>
          <w:rFonts w:ascii="Times New Roman;Times;serif" w:hAnsi="Times New Roman;Times;serif"/>
          <w:b/>
          <w:sz w:val="20"/>
        </w:rPr>
        <w:t>Capital Increase</w:t>
      </w:r>
      <w:r>
        <w:rPr>
          <w:rFonts w:ascii="Times New Roman;Times;serif" w:hAnsi="Times New Roman;Times;serif"/>
          <w:sz w:val="20"/>
        </w:rPr>
        <w:t>”).</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2.1.4</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Parties agree that, the total value of the Target Company before this Transaction shall be RMB 45 billion, and the total value of the Target Company after this Transaction shall be RMB 58.3 billion.</w:t>
            </w:r>
          </w:p>
        </w:tc>
      </w:tr>
    </w:tbl>
    <w:tbl>
      <w:tblPr>
        <w:tblW w:w="2448" w:type="dxa"/>
        <w:jc w:val="left"/>
        <w:tblInd w:w="0" w:type="dxa"/>
        <w:tblLayout w:type="fixed"/>
        <w:tblCellMar>
          <w:top w:w="0" w:type="dxa"/>
          <w:left w:w="0" w:type="dxa"/>
          <w:bottom w:w="0" w:type="dxa"/>
          <w:right w:w="0" w:type="dxa"/>
        </w:tblCellMar>
      </w:tblPr>
      <w:tblGrid>
        <w:gridCol w:w="23"/>
        <w:gridCol w:w="425"/>
        <w:gridCol w:w="2000"/>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2.1.5</w:t>
            </w:r>
          </w:p>
        </w:tc>
        <w:tc>
          <w:tcPr>
            <w:tcW w:w="200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Termination and Waiver</w:t>
            </w:r>
          </w:p>
        </w:tc>
      </w:tr>
    </w:tbl>
    <w:p>
      <w:pPr>
        <w:pStyle w:val="TextBody"/>
        <w:bidi w:val="0"/>
        <w:spacing w:before="0" w:after="190"/>
        <w:ind w:left="1674" w:right="0" w:hanging="0"/>
        <w:jc w:val="both"/>
        <w:rPr>
          <w:rFonts w:ascii="Times New Roman;Times;serif" w:hAnsi="Times New Roman;Times;serif"/>
          <w:sz w:val="20"/>
        </w:rPr>
      </w:pPr>
      <w:r>
        <w:rPr>
          <w:rFonts w:ascii="Times New Roman;Times;serif" w:hAnsi="Times New Roman;Times;serif"/>
          <w:sz w:val="20"/>
        </w:rPr>
        <w:t>The Company and the NIO Parties undertake to procure the Existing Shareholders to waive the pre-emptive right relating to this Transaction available under applicable PRC laws, the Articles of Association, any previous agreements entered into among the direct/indirect shareholders of the Target Company.  The NIO Parties warrant that no third party or indirect shareholder shall have the pre-emptive right or any other prior or preemptive rights with respect to this Transaction.</w:t>
      </w:r>
    </w:p>
    <w:tbl>
      <w:tblPr>
        <w:tblW w:w="6835" w:type="dxa"/>
        <w:jc w:val="left"/>
        <w:tblInd w:w="0" w:type="dxa"/>
        <w:tblLayout w:type="fixed"/>
        <w:tblCellMar>
          <w:top w:w="0" w:type="dxa"/>
          <w:left w:w="0" w:type="dxa"/>
          <w:bottom w:w="0" w:type="dxa"/>
          <w:right w:w="0" w:type="dxa"/>
        </w:tblCellMar>
      </w:tblPr>
      <w:tblGrid>
        <w:gridCol w:w="275"/>
        <w:gridCol w:w="656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2.2</w:t>
            </w:r>
          </w:p>
        </w:tc>
        <w:tc>
          <w:tcPr>
            <w:tcW w:w="656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Equity Structure of the Target Company after the Completion of this Transaction</w:t>
            </w:r>
          </w:p>
        </w:tc>
      </w:tr>
    </w:tbl>
    <w:p>
      <w:pPr>
        <w:pStyle w:val="TextBody"/>
        <w:bidi w:val="0"/>
        <w:spacing w:before="0" w:after="0"/>
        <w:ind w:left="605" w:right="0" w:hanging="0"/>
        <w:jc w:val="both"/>
        <w:rPr>
          <w:rFonts w:ascii="Times New Roman;Times;serif" w:hAnsi="Times New Roman;Times;serif"/>
          <w:sz w:val="20"/>
        </w:rPr>
      </w:pPr>
      <w:r>
        <w:rPr>
          <w:rFonts w:ascii="Times New Roman;Times;serif" w:hAnsi="Times New Roman;Times;serif"/>
          <w:sz w:val="20"/>
        </w:rPr>
        <w:t>As of the Closing Date (as defined below), the registered capital of the Target Company shall be RMB 8,328,887,894.87 The amount of subscribed registered capital of each shareholder of the Target Company and the shareholding percentage of the shareholders in the Target Company shall be as follows: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386"/>
        <w:gridCol w:w="3166"/>
        <w:gridCol w:w="3653"/>
      </w:tblGrid>
      <w:tr>
        <w:trPr/>
        <w:tc>
          <w:tcPr>
            <w:tcW w:w="3386" w:type="dxa"/>
            <w:tcBorders/>
            <w:vAlign w:val="center"/>
          </w:tcPr>
          <w:p>
            <w:pPr>
              <w:pStyle w:val="TableContents"/>
              <w:bidi w:val="0"/>
              <w:spacing w:before="0" w:after="283"/>
              <w:ind w:left="0" w:right="0" w:hanging="0"/>
              <w:jc w:val="left"/>
              <w:rPr>
                <w:sz w:val="4"/>
                <w:szCs w:val="4"/>
              </w:rPr>
            </w:pPr>
            <w:r>
              <w:rPr>
                <w:sz w:val="4"/>
                <w:szCs w:val="4"/>
              </w:rPr>
            </w:r>
          </w:p>
        </w:tc>
        <w:tc>
          <w:tcPr>
            <w:tcW w:w="3166" w:type="dxa"/>
            <w:tcBorders/>
            <w:vAlign w:val="center"/>
          </w:tcPr>
          <w:p>
            <w:pPr>
              <w:pStyle w:val="TableContents"/>
              <w:bidi w:val="0"/>
              <w:spacing w:before="0" w:after="283"/>
              <w:ind w:left="0" w:right="0" w:hanging="0"/>
              <w:jc w:val="left"/>
              <w:rPr>
                <w:sz w:val="4"/>
                <w:szCs w:val="4"/>
              </w:rPr>
            </w:pPr>
            <w:r>
              <w:rPr>
                <w:sz w:val="4"/>
                <w:szCs w:val="4"/>
              </w:rPr>
            </w:r>
          </w:p>
        </w:tc>
        <w:tc>
          <w:tcPr>
            <w:tcW w:w="3653" w:type="dxa"/>
            <w:tcBorders/>
            <w:vAlign w:val="center"/>
          </w:tcPr>
          <w:p>
            <w:pPr>
              <w:pStyle w:val="TableContents"/>
              <w:bidi w:val="0"/>
              <w:spacing w:before="0" w:after="283"/>
              <w:ind w:left="0" w:right="0" w:hanging="0"/>
              <w:jc w:val="left"/>
              <w:rPr>
                <w:sz w:val="4"/>
                <w:szCs w:val="4"/>
              </w:rPr>
            </w:pPr>
            <w:r>
              <w:rPr>
                <w:sz w:val="4"/>
                <w:szCs w:val="4"/>
              </w:rPr>
            </w:r>
          </w:p>
        </w:tc>
      </w:tr>
      <w:tr>
        <w:trPr/>
        <w:tc>
          <w:tcPr>
            <w:tcW w:w="3386" w:type="dxa"/>
            <w:tcBorders>
              <w:top w:val="single" w:sz="2" w:space="0" w:color="000000"/>
              <w:left w:val="single" w:sz="2" w:space="0" w:color="000000"/>
              <w:bottom w:val="single" w:sz="2" w:space="0" w:color="000000"/>
              <w:right w:val="single" w:sz="2" w:space="0" w:color="000000"/>
            </w:tcBorders>
            <w:shd w:fill="767171" w:val="clear"/>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Name of Shareholder</w:t>
            </w:r>
          </w:p>
        </w:tc>
        <w:tc>
          <w:tcPr>
            <w:tcW w:w="3166" w:type="dxa"/>
            <w:tcBorders>
              <w:top w:val="single" w:sz="2" w:space="0" w:color="000000"/>
              <w:left w:val="single" w:sz="2" w:space="0" w:color="000000"/>
              <w:bottom w:val="single" w:sz="2" w:space="0" w:color="000000"/>
              <w:right w:val="single" w:sz="2" w:space="0" w:color="000000"/>
            </w:tcBorders>
            <w:shd w:fill="767171" w:val="clear"/>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Subscribed Capital Contribution (RMB)</w:t>
            </w:r>
          </w:p>
        </w:tc>
        <w:tc>
          <w:tcPr>
            <w:tcW w:w="3653" w:type="dxa"/>
            <w:tcBorders>
              <w:top w:val="single" w:sz="2" w:space="0" w:color="000000"/>
              <w:left w:val="single" w:sz="2" w:space="0" w:color="000000"/>
              <w:bottom w:val="single" w:sz="2" w:space="0" w:color="000000"/>
              <w:right w:val="single" w:sz="2" w:space="0" w:color="000000"/>
            </w:tcBorders>
            <w:shd w:fill="767171" w:val="clear"/>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Percentage of Subscribed Capital Contribution</w:t>
            </w:r>
          </w:p>
        </w:tc>
      </w:tr>
      <w:tr>
        <w:trPr/>
        <w:tc>
          <w:tcPr>
            <w:tcW w:w="33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NIO HK</w:t>
            </w:r>
          </w:p>
        </w:tc>
        <w:tc>
          <w:tcPr>
            <w:tcW w:w="31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5,721,972,155.78</w:t>
            </w:r>
          </w:p>
        </w:tc>
        <w:tc>
          <w:tcPr>
            <w:tcW w:w="365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68.70%</w:t>
            </w:r>
          </w:p>
        </w:tc>
      </w:tr>
      <w:tr>
        <w:trPr/>
        <w:tc>
          <w:tcPr>
            <w:tcW w:w="33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UE HK</w:t>
            </w:r>
          </w:p>
        </w:tc>
        <w:tc>
          <w:tcPr>
            <w:tcW w:w="31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1,554,211,385.12</w:t>
            </w:r>
          </w:p>
        </w:tc>
        <w:tc>
          <w:tcPr>
            <w:tcW w:w="365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18.66%</w:t>
            </w:r>
          </w:p>
        </w:tc>
      </w:tr>
      <w:tr>
        <w:trPr/>
        <w:tc>
          <w:tcPr>
            <w:tcW w:w="33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 HK</w:t>
            </w:r>
          </w:p>
        </w:tc>
        <w:tc>
          <w:tcPr>
            <w:tcW w:w="31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74,264,862.35</w:t>
            </w:r>
          </w:p>
        </w:tc>
        <w:tc>
          <w:tcPr>
            <w:tcW w:w="365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0.89%</w:t>
            </w:r>
          </w:p>
        </w:tc>
      </w:tr>
      <w:tr>
        <w:trPr/>
        <w:tc>
          <w:tcPr>
            <w:tcW w:w="33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Jianheng New Energy Fund </w:t>
            </w:r>
          </w:p>
        </w:tc>
        <w:tc>
          <w:tcPr>
            <w:tcW w:w="31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547,962,904.43</w:t>
            </w:r>
          </w:p>
        </w:tc>
        <w:tc>
          <w:tcPr>
            <w:tcW w:w="365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6.58%</w:t>
            </w:r>
          </w:p>
        </w:tc>
      </w:tr>
      <w:tr>
        <w:trPr/>
        <w:tc>
          <w:tcPr>
            <w:tcW w:w="33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Advanced Manufacturing Industry Fund</w:t>
            </w:r>
          </w:p>
        </w:tc>
        <w:tc>
          <w:tcPr>
            <w:tcW w:w="31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157,342,657.35</w:t>
            </w:r>
          </w:p>
        </w:tc>
        <w:tc>
          <w:tcPr>
            <w:tcW w:w="365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1.89%</w:t>
            </w:r>
          </w:p>
        </w:tc>
      </w:tr>
      <w:tr>
        <w:trPr/>
        <w:tc>
          <w:tcPr>
            <w:tcW w:w="33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SDIC and/or its designated investment entity</w:t>
            </w:r>
          </w:p>
        </w:tc>
        <w:tc>
          <w:tcPr>
            <w:tcW w:w="31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71,431,285.54</w:t>
            </w:r>
          </w:p>
        </w:tc>
        <w:tc>
          <w:tcPr>
            <w:tcW w:w="365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0.86%</w:t>
            </w:r>
          </w:p>
        </w:tc>
      </w:tr>
      <w:tr>
        <w:trPr/>
        <w:tc>
          <w:tcPr>
            <w:tcW w:w="33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Anhui Sanzhong Yichuang</w:t>
            </w:r>
          </w:p>
        </w:tc>
        <w:tc>
          <w:tcPr>
            <w:tcW w:w="31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52,447,552.45</w:t>
            </w:r>
          </w:p>
        </w:tc>
        <w:tc>
          <w:tcPr>
            <w:tcW w:w="365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0.63%</w:t>
            </w:r>
          </w:p>
        </w:tc>
      </w:tr>
      <w:tr>
        <w:trPr/>
        <w:tc>
          <w:tcPr>
            <w:tcW w:w="33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Energy Automobile Fund</w:t>
            </w:r>
          </w:p>
        </w:tc>
        <w:tc>
          <w:tcPr>
            <w:tcW w:w="31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34,965,034.97</w:t>
            </w:r>
          </w:p>
        </w:tc>
        <w:tc>
          <w:tcPr>
            <w:tcW w:w="365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0.42%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458" w:type="dxa"/>
        <w:jc w:val="left"/>
        <w:tblInd w:w="0" w:type="dxa"/>
        <w:tblLayout w:type="fixed"/>
        <w:tblCellMar>
          <w:top w:w="28" w:type="dxa"/>
          <w:left w:w="103" w:type="dxa"/>
          <w:bottom w:w="28" w:type="dxa"/>
          <w:right w:w="103" w:type="dxa"/>
        </w:tblCellMar>
      </w:tblPr>
      <w:tblGrid>
        <w:gridCol w:w="5026"/>
        <w:gridCol w:w="1546"/>
        <w:gridCol w:w="886"/>
      </w:tblGrid>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Anhui High-tech Co. and/or its designated investment entity</w:t>
            </w:r>
          </w:p>
        </w:tc>
        <w:tc>
          <w:tcPr>
            <w:tcW w:w="15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114,290,056.88</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1.37%</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15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8,328,887,894.87</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100.00%</w:t>
            </w:r>
          </w:p>
        </w:tc>
      </w:tr>
    </w:tbl>
    <w:p>
      <w:pPr>
        <w:pStyle w:val="TextBody"/>
        <w:bidi w:val="0"/>
        <w:spacing w:before="0" w:after="0"/>
        <w:ind w:left="0" w:right="0" w:hanging="0"/>
        <w:jc w:val="both"/>
        <w:rPr/>
      </w:pPr>
      <w:r>
        <w:rPr/>
        <w:t>​</w:t>
      </w:r>
    </w:p>
    <w:tbl>
      <w:tblPr>
        <w:tblW w:w="1990" w:type="dxa"/>
        <w:jc w:val="left"/>
        <w:tblInd w:w="0" w:type="dxa"/>
        <w:tblLayout w:type="fixed"/>
        <w:tblCellMar>
          <w:top w:w="0" w:type="dxa"/>
          <w:left w:w="0" w:type="dxa"/>
          <w:bottom w:w="0" w:type="dxa"/>
          <w:right w:w="0" w:type="dxa"/>
        </w:tblCellMar>
      </w:tblPr>
      <w:tblGrid>
        <w:gridCol w:w="275"/>
        <w:gridCol w:w="1715"/>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2.3</w:t>
            </w:r>
          </w:p>
        </w:tc>
        <w:tc>
          <w:tcPr>
            <w:tcW w:w="171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Shareholders’ Rights</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2.3.1</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capital reserves, accumulated undistributed profits and other matters of the Target Company on the Closing Date shall be enjoyed by the then existing shareholders of the Target Company in proportion to their paid-in capital contributions.</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2.3.2</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As from the Closing Date, all shareholders of the Target Company shall be entitled to the profits of the Target Company in proportion to their paid-in capital contributions in accordance with this Agreement, and bear the losses of the Target Company in proportion to their subscribed capital contributions in accordance with this Agreement.</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2.3.3</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As from the Closing Date, the equity interests obtained by the Investors in connection with this Transaction shall be entitled to various rights granted to the Investors by laws, regulations and the Transaction Documents. If any rights granted to the Investor under the Transaction Documents cannot be fully realized due to restrictions imposed by the  laws of the PRC, the NIO Parties, the Target Company and other Group Members shall adopt other methods permitted by the laws of the PRC to realize the rights and interests of the Investor under the Transaction Documents to the fullest extent.</w:t>
            </w:r>
          </w:p>
        </w:tc>
      </w:tr>
    </w:tbl>
    <w:tbl>
      <w:tblPr>
        <w:tblW w:w="2605" w:type="dxa"/>
        <w:jc w:val="left"/>
        <w:tblInd w:w="0" w:type="dxa"/>
        <w:tblLayout w:type="fixed"/>
        <w:tblCellMar>
          <w:top w:w="0" w:type="dxa"/>
          <w:left w:w="0" w:type="dxa"/>
          <w:bottom w:w="0" w:type="dxa"/>
          <w:right w:w="0" w:type="dxa"/>
        </w:tblCellMar>
      </w:tblPr>
      <w:tblGrid>
        <w:gridCol w:w="275"/>
        <w:gridCol w:w="23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2.4</w:t>
            </w:r>
          </w:p>
        </w:tc>
        <w:tc>
          <w:tcPr>
            <w:tcW w:w="23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Purpose of Increased Capital</w:t>
            </w:r>
          </w:p>
        </w:tc>
      </w:tr>
    </w:tbl>
    <w:p>
      <w:pPr>
        <w:pStyle w:val="TextBody"/>
        <w:bidi w:val="0"/>
        <w:spacing w:before="0" w:after="190"/>
        <w:ind w:left="600" w:right="0" w:hanging="0"/>
        <w:jc w:val="both"/>
        <w:rPr>
          <w:rFonts w:ascii="Times New Roman;Times;serif" w:hAnsi="Times New Roman;Times;serif"/>
          <w:sz w:val="20"/>
        </w:rPr>
      </w:pPr>
      <w:r>
        <w:rPr>
          <w:rFonts w:ascii="Times New Roman;Times;serif" w:hAnsi="Times New Roman;Times;serif"/>
          <w:sz w:val="20"/>
        </w:rPr>
        <w:t>Unless otherwise provided in the Transaction Documents or agreed upon by the Parties, the NIO Parties and the Target Company warrant that the Capital Increase Price under this Transaction shall be fully used for the development of the Main Businesses of the Target Company and other Group Members, including core technology, product research and development, production line upgradation, and capacity enhancement of new energy automobile industry. The Capital Increase Price shall not be possessed or used by the Affiliates of the Target Company, shall not be lent to the Affiliates of the Target Company or any other third parties for use, shall not be used for investment or shareholding of financial assets such as stocks or purchasing high-risk financial products and shall not be used to provide security in any form for the NIO Parties or other shareholders of the Target Company (if any) or any third party, except for the use of hedging instruments, such as derivatives and futures transactions, which are necessary to avoid the risks of fluctuations in foreign exchange rates and the prices of related products and raw materials based on the Target Company’s business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90"/>
        <w:ind w:left="600" w:right="0" w:hanging="0"/>
        <w:jc w:val="both"/>
        <w:rPr>
          <w:rFonts w:ascii="Times New Roman;Times;serif" w:hAnsi="Times New Roman;Times;serif"/>
          <w:sz w:val="20"/>
        </w:rPr>
      </w:pPr>
      <w:r>
        <w:rPr>
          <w:rFonts w:ascii="Times New Roman;Times;serif" w:hAnsi="Times New Roman;Times;serif"/>
          <w:sz w:val="20"/>
        </w:rPr>
        <w:t>characteristics and operational risk control considerations, rather than speculative transactions.</w:t>
      </w:r>
    </w:p>
    <w:p>
      <w:pPr>
        <w:pStyle w:val="TextBody"/>
        <w:bidi w:val="0"/>
        <w:spacing w:before="0" w:after="190"/>
        <w:ind w:left="600" w:right="0" w:hanging="0"/>
        <w:jc w:val="both"/>
        <w:rPr>
          <w:rFonts w:ascii="Times New Roman;Times;serif" w:hAnsi="Times New Roman;Times;serif"/>
          <w:sz w:val="20"/>
        </w:rPr>
      </w:pPr>
      <w:r>
        <w:rPr>
          <w:rFonts w:ascii="Times New Roman;Times;serif" w:hAnsi="Times New Roman;Times;serif"/>
          <w:sz w:val="20"/>
        </w:rPr>
        <w:t>Without the prior written consent of the Investors,  no funding transaction shall exist between the Target Company and other Group Members, on one hand, and the NIO Parties or the Affiliates of the Target Company, on the other hand, other than those arising from related-party transactions approved by the internal competent authorities or persons of the Company.</w:t>
      </w:r>
    </w:p>
    <w:tbl>
      <w:tblPr>
        <w:tblW w:w="5590" w:type="dxa"/>
        <w:jc w:val="left"/>
        <w:tblInd w:w="0" w:type="dxa"/>
        <w:tblLayout w:type="fixed"/>
        <w:tblCellMar>
          <w:top w:w="0" w:type="dxa"/>
          <w:left w:w="0" w:type="dxa"/>
          <w:bottom w:w="0" w:type="dxa"/>
          <w:right w:w="0" w:type="dxa"/>
        </w:tblCellMar>
      </w:tblPr>
      <w:tblGrid>
        <w:gridCol w:w="275"/>
        <w:gridCol w:w="5315"/>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2.5</w:t>
            </w:r>
          </w:p>
        </w:tc>
        <w:tc>
          <w:tcPr>
            <w:tcW w:w="531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Execution of Transaction Documents and Registration of Change</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2.5.1</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Parties agree to enter into, in respect of this Transaction, on the date of this Agreement (i) the NIO China Shareholders Agreement (the “</w:t>
            </w:r>
            <w:r>
              <w:rPr>
                <w:rFonts w:ascii="Times New Roman;Times;serif" w:hAnsi="Times New Roman;Times;serif"/>
                <w:b/>
                <w:sz w:val="20"/>
              </w:rPr>
              <w:t>Shareholders Agreement</w:t>
            </w:r>
            <w:r>
              <w:rPr>
                <w:rFonts w:ascii="Times New Roman;Times;serif" w:hAnsi="Times New Roman;Times;serif"/>
                <w:sz w:val="20"/>
              </w:rPr>
              <w:t>”); (ii) the Articles of Association of NIO China; and (iii) other ancillary agreements, resolutions and other documents which are necessary for the completion of this Transaction or are executed upon request of the Investors (the above documents and this Agreement collectively referred to as the “</w:t>
            </w:r>
            <w:r>
              <w:rPr>
                <w:rFonts w:ascii="Times New Roman;Times;serif" w:hAnsi="Times New Roman;Times;serif"/>
                <w:b/>
                <w:sz w:val="20"/>
              </w:rPr>
              <w:t>Transaction Documents</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2.5.2</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NIO Parties and the Target Company shall be responsible for completing the registration and filing formalities for this transaction with the AMR or other Authorities, for which the Investors shall provide necessary cooperation. The Parties agree to execute necessary and reasonable legal documents required by the AMR and other Authorities from time to time to cause the completion of the registration and/or filing procedures necessary for this Transaction as soon as practicable.</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2.5.3</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Matters that relate to this Transaction but are not mentioned in this Agreement and the Shareholders’ Agreement shall be governed by the Articles of Association and other Transaction Documents. In the event of any conflict or discrepancy between the Articles of Association (including the Articles of Association as amended from time to time and the Articles of Association after the change of the Target Company to a joint stock limited company as amended from time to time) and this Agreement or the Shareholders’ Agreement or in the absence of any specific provision in the Articles of Association, this Agreement and the Shareholders’ Agreement shall prevail.</w:t>
            </w:r>
          </w:p>
        </w:tc>
      </w:tr>
    </w:tbl>
    <w:p>
      <w:pPr>
        <w:pStyle w:val="TextBody"/>
        <w:bidi w:val="0"/>
        <w:spacing w:before="0" w:after="19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PAYMENT OF CAPITAL INCREASE PRICE</w:t>
      </w:r>
    </w:p>
    <w:tbl>
      <w:tblPr>
        <w:tblW w:w="3010" w:type="dxa"/>
        <w:jc w:val="left"/>
        <w:tblInd w:w="0" w:type="dxa"/>
        <w:tblLayout w:type="fixed"/>
        <w:tblCellMar>
          <w:top w:w="0" w:type="dxa"/>
          <w:left w:w="0" w:type="dxa"/>
          <w:bottom w:w="0" w:type="dxa"/>
          <w:right w:w="0" w:type="dxa"/>
        </w:tblCellMar>
      </w:tblPr>
      <w:tblGrid>
        <w:gridCol w:w="275"/>
        <w:gridCol w:w="2735"/>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3.1</w:t>
            </w:r>
          </w:p>
        </w:tc>
        <w:tc>
          <w:tcPr>
            <w:tcW w:w="273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Payment of Capital Increase Price</w:t>
            </w:r>
          </w:p>
        </w:tc>
      </w:tr>
    </w:tbl>
    <w:tbl>
      <w:tblPr>
        <w:tblW w:w="4818" w:type="dxa"/>
        <w:jc w:val="left"/>
        <w:tblInd w:w="0" w:type="dxa"/>
        <w:tblLayout w:type="fixed"/>
        <w:tblCellMar>
          <w:top w:w="0" w:type="dxa"/>
          <w:left w:w="0" w:type="dxa"/>
          <w:bottom w:w="0" w:type="dxa"/>
          <w:right w:w="0" w:type="dxa"/>
        </w:tblCellMar>
      </w:tblPr>
      <w:tblGrid>
        <w:gridCol w:w="23"/>
        <w:gridCol w:w="425"/>
        <w:gridCol w:w="4370"/>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3.1.1</w:t>
            </w:r>
          </w:p>
        </w:tc>
        <w:tc>
          <w:tcPr>
            <w:tcW w:w="437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Payment of First Installment of Capital Increase Price:</w:t>
            </w:r>
          </w:p>
        </w:tc>
      </w:tr>
    </w:tbl>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w:t>
            </w:r>
          </w:p>
        </w:tc>
        <w:tc>
          <w:tcPr>
            <w:tcW w:w="994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Within five (5) business days after all of the Closing conditions have been proved to be satisfied or waived or before November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90"/>
        <w:ind w:left="2155" w:right="0" w:hanging="0"/>
        <w:jc w:val="both"/>
        <w:rPr>
          <w:rFonts w:ascii="Times New Roman;Times;serif" w:hAnsi="Times New Roman;Times;serif"/>
          <w:sz w:val="20"/>
        </w:rPr>
      </w:pPr>
      <w:r>
        <w:rPr>
          <w:rFonts w:ascii="Times New Roman;Times;serif" w:hAnsi="Times New Roman;Times;serif"/>
          <w:sz w:val="20"/>
        </w:rPr>
        <w:t>30, 2024 (whichever is later), NIO Parties shall pay 70% of NIO Parties Capital Increase Price (i.e. RMB 7,000,000,000.00, “</w:t>
      </w:r>
      <w:r>
        <w:rPr>
          <w:rFonts w:ascii="Times New Roman;Times;serif" w:hAnsi="Times New Roman;Times;serif"/>
          <w:b/>
          <w:sz w:val="20"/>
        </w:rPr>
        <w:t>NIO Parties First Installment of Capital Increase Price</w:t>
      </w:r>
      <w:r>
        <w:rPr>
          <w:rFonts w:ascii="Times New Roman;Times;serif" w:hAnsi="Times New Roman;Times;serif"/>
          <w:sz w:val="20"/>
        </w:rPr>
        <w:t>”) to the bank account opened by the Target Company, of which RMB 1,000,037,997.67 shall be included in the registered capital of the Target Company and RMB 5,999,962,002.33 shall be included in the capital reserves of the Target Company;</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w:t>
            </w:r>
          </w:p>
        </w:tc>
        <w:tc>
          <w:tcPr>
            <w:tcW w:w="998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Within five (5) business days after NIO Parties have fulfilled its obligation to pay the NIO Parties First Installment of Capital Increase Price under Article 3.1.1(1) hereof, Jianheng New Energy Fund shall pay 70% of Jianheng New Energy Fund Capital Increase Price (i.e. RMB 1,400,000,000.00, “</w:t>
            </w:r>
            <w:r>
              <w:rPr>
                <w:rFonts w:ascii="Times New Roman;Times;serif" w:hAnsi="Times New Roman;Times;serif"/>
                <w:b/>
                <w:sz w:val="20"/>
              </w:rPr>
              <w:t>Jianheng New Energy Fund First Installment of Capital Increase Price</w:t>
            </w:r>
            <w:r>
              <w:rPr>
                <w:rFonts w:ascii="Times New Roman;Times;serif" w:hAnsi="Times New Roman;Times;serif"/>
                <w:sz w:val="20"/>
              </w:rPr>
              <w:t>”) to the bank account opened by the Target Company, of which RMB 200,007,599.53 shall be included in the registered capital of the Target Company and RMB 1,199,992,400.47 shall be included in the capital reserves of the Target Company;</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w:t>
            </w:r>
          </w:p>
        </w:tc>
        <w:tc>
          <w:tcPr>
            <w:tcW w:w="9986"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Within five (5) business days after NIO Parties have fulfilled its obligation to pay the NIO Parties First Installment of Capital Increase Price under Article 3.1.1(1) hereof, SDIC and/or its designated investment entity shall pay 70% of SDIC Capital Increase Price (i.e. RMB 350,000,000.00, “</w:t>
            </w:r>
            <w:r>
              <w:rPr>
                <w:rFonts w:ascii="Times New Roman;Times;serif" w:hAnsi="Times New Roman;Times;serif"/>
                <w:b/>
                <w:sz w:val="20"/>
              </w:rPr>
              <w:t>SDIC First Installment of Capital Increase Price</w:t>
            </w:r>
            <w:r>
              <w:rPr>
                <w:rFonts w:ascii="Times New Roman;Times;serif" w:hAnsi="Times New Roman;Times;serif"/>
                <w:sz w:val="20"/>
              </w:rPr>
              <w:t>”) to the bank account opened by the Target Company, of which RMB 50,001,899.89 shall be included in the registered capital of the Target Company and RMB 299,998,100.11 shall be included in the capital reserves of the Target Company;</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(4)</w:t>
            </w:r>
          </w:p>
        </w:tc>
        <w:tc>
          <w:tcPr>
            <w:tcW w:w="999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Within five (5) business days after NIO Parties have fulfilled its obligation to pay the NIO Parties First Installment of Capital Increase Price under Article 3.1.1(1) hereof, Anhui High-tech Co. and/or its designated investment entity shall pay 70% of Anhui High-tech Co. Capital Increase Price (i.e. RMB 560,000,000.00, “</w:t>
            </w:r>
            <w:r>
              <w:rPr>
                <w:rFonts w:ascii="Times New Roman;Times;serif" w:hAnsi="Times New Roman;Times;serif"/>
                <w:b/>
                <w:sz w:val="20"/>
              </w:rPr>
              <w:t>Anhui High-tech Co. First Installment of Capital Increase Price</w:t>
            </w:r>
            <w:r>
              <w:rPr>
                <w:rFonts w:ascii="Times New Roman;Times;serif" w:hAnsi="Times New Roman;Times;serif"/>
                <w:sz w:val="20"/>
              </w:rPr>
              <w:t>”, together with NIO Parties First Installment of Capital Increase Price, Jianheng New Energy Fund First Installment of Capital Increase Price and SDIC First Installment of Capital Increase Price, the “</w:t>
            </w:r>
            <w:r>
              <w:rPr>
                <w:rFonts w:ascii="Times New Roman;Times;serif" w:hAnsi="Times New Roman;Times;serif"/>
                <w:b/>
                <w:sz w:val="20"/>
              </w:rPr>
              <w:t>First Installment of Capital Increase Price</w:t>
            </w:r>
            <w:r>
              <w:rPr>
                <w:rFonts w:ascii="Times New Roman;Times;serif" w:hAnsi="Times New Roman;Times;serif"/>
                <w:sz w:val="20"/>
              </w:rPr>
              <w:t>”) to the bank account opened by the Target Company, of which RMB 80,003,039.82 shall be included in the registered capital of the Target Company and RMB 479,996,960.18 shall be included in the capital reserves of the Target Company.</w:t>
            </w:r>
          </w:p>
        </w:tc>
      </w:tr>
    </w:tbl>
    <w:tbl>
      <w:tblPr>
        <w:tblW w:w="5658" w:type="dxa"/>
        <w:jc w:val="left"/>
        <w:tblInd w:w="0" w:type="dxa"/>
        <w:tblLayout w:type="fixed"/>
        <w:tblCellMar>
          <w:top w:w="0" w:type="dxa"/>
          <w:left w:w="0" w:type="dxa"/>
          <w:bottom w:w="0" w:type="dxa"/>
          <w:right w:w="0" w:type="dxa"/>
        </w:tblCellMar>
      </w:tblPr>
      <w:tblGrid>
        <w:gridCol w:w="23"/>
        <w:gridCol w:w="425"/>
        <w:gridCol w:w="5210"/>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3.1.2</w:t>
            </w:r>
          </w:p>
        </w:tc>
        <w:tc>
          <w:tcPr>
            <w:tcW w:w="521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Payment of the Second Installment of the Capital Increase Price: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w:t>
            </w:r>
          </w:p>
        </w:tc>
        <w:tc>
          <w:tcPr>
            <w:tcW w:w="998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Before December 31, 2024, NIO Parties shall pay 30% of NIO Parties Capital Increase Price (i.e. RMB 3,000,000,000.00, “</w:t>
            </w:r>
            <w:r>
              <w:rPr>
                <w:rFonts w:ascii="Times New Roman;Times;serif" w:hAnsi="Times New Roman;Times;serif"/>
                <w:b/>
                <w:sz w:val="20"/>
              </w:rPr>
              <w:t>NIO Parties Second Installment of Capital Increase Price</w:t>
            </w:r>
            <w:r>
              <w:rPr>
                <w:rFonts w:ascii="Times New Roman;Times;serif" w:hAnsi="Times New Roman;Times;serif"/>
                <w:sz w:val="20"/>
              </w:rPr>
              <w:t>”) to the bank account opened by the Target Company, of which RMB 428,587,713.29 shall be included in the registered capital of the Target Company and RMB 2,571,412,286.71 shall be included in the capital reserves of the Target Company;</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w:t>
            </w:r>
          </w:p>
        </w:tc>
        <w:tc>
          <w:tcPr>
            <w:tcW w:w="998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Within five (5) business days after NIO Parties have fulfilled its obligation to pay the NIO Parties Second Installment of Capital Increase Price under Article 3.1.2(1) hereof, Jianheng New Energy Fund shall pay 30% of Jianheng New Energy Fund Capital Increase Price (i.e. RMB 600,000,000.00, “</w:t>
            </w:r>
            <w:r>
              <w:rPr>
                <w:rFonts w:ascii="Times New Roman;Times;serif" w:hAnsi="Times New Roman;Times;serif"/>
                <w:b/>
                <w:sz w:val="20"/>
              </w:rPr>
              <w:t>Jianheng New Energy Fund Second</w:t>
            </w:r>
            <w:r>
              <w:rPr>
                <w:rFonts w:ascii="Times New Roman;Times;serif" w:hAnsi="Times New Roman;Times;serif"/>
                <w:sz w:val="20"/>
              </w:rPr>
              <w:t xml:space="preserve"> </w:t>
            </w:r>
            <w:r>
              <w:rPr>
                <w:rFonts w:ascii="Times New Roman;Times;serif" w:hAnsi="Times New Roman;Times;serif"/>
                <w:b/>
                <w:sz w:val="20"/>
              </w:rPr>
              <w:t>Installment of Capital Increase Price</w:t>
            </w:r>
            <w:r>
              <w:rPr>
                <w:rFonts w:ascii="Times New Roman;Times;serif" w:hAnsi="Times New Roman;Times;serif"/>
                <w:sz w:val="20"/>
              </w:rPr>
              <w:t>”) to the bank account opened by the Target Company, of which RMB 85,717,542.66 shall be included in the registered capital of the Target Company and RMB 514,282,457.34 shall be included in the capital reserves of the Target Company;</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w:t>
            </w:r>
          </w:p>
        </w:tc>
        <w:tc>
          <w:tcPr>
            <w:tcW w:w="998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Within five (5) business days after NIO Parties have fulfilled its obligation to pay the NIO Parties Second Installment of Capital Increase Price under Article 3.1.2(1) hereof, SDIC and/or its designated investment entity shall pay 30% of SDIC Capital Increase Price (i.e. RMB 150,000,000.00, “</w:t>
            </w:r>
            <w:r>
              <w:rPr>
                <w:rFonts w:ascii="Times New Roman;Times;serif" w:hAnsi="Times New Roman;Times;serif"/>
                <w:b/>
                <w:sz w:val="20"/>
              </w:rPr>
              <w:t>SDIC Second</w:t>
            </w:r>
            <w:r>
              <w:rPr>
                <w:rFonts w:ascii="Times New Roman;Times;serif" w:hAnsi="Times New Roman;Times;serif"/>
                <w:sz w:val="20"/>
              </w:rPr>
              <w:t xml:space="preserve"> </w:t>
            </w:r>
            <w:r>
              <w:rPr>
                <w:rFonts w:ascii="Times New Roman;Times;serif" w:hAnsi="Times New Roman;Times;serif"/>
                <w:b/>
                <w:sz w:val="20"/>
              </w:rPr>
              <w:t>Installment of Capital Increase Price</w:t>
            </w:r>
            <w:r>
              <w:rPr>
                <w:rFonts w:ascii="Times New Roman;Times;serif" w:hAnsi="Times New Roman;Times;serif"/>
                <w:sz w:val="20"/>
              </w:rPr>
              <w:t>”) to the bank account opened by the Target Company, of which RMB 21,429,385.65 shall be included in the registered capital of the Target Company and RMB128,570,614.35 shall be included in the capital reserves of the Target Company;</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(4)</w:t>
            </w:r>
          </w:p>
        </w:tc>
        <w:tc>
          <w:tcPr>
            <w:tcW w:w="999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Within five (5) business days after NIO Parties have fulfilled its obligation to pay the NIO Parties Second Installment of Capital Increase Price under Article 3.1.2(1) hereof, Anhui High-tech Co. and/or its designated investment entity shall pay 30% of Anhui High-tech Co. Capital Increase Price (i.e. RMB 240,000,000.00, “</w:t>
            </w:r>
            <w:r>
              <w:rPr>
                <w:rFonts w:ascii="Times New Roman;Times;serif" w:hAnsi="Times New Roman;Times;serif"/>
                <w:b/>
                <w:sz w:val="20"/>
              </w:rPr>
              <w:t>Anhui High-tech Co. Second</w:t>
            </w:r>
            <w:r>
              <w:rPr>
                <w:rFonts w:ascii="Times New Roman;Times;serif" w:hAnsi="Times New Roman;Times;serif"/>
                <w:sz w:val="20"/>
              </w:rPr>
              <w:t xml:space="preserve"> </w:t>
            </w:r>
            <w:r>
              <w:rPr>
                <w:rFonts w:ascii="Times New Roman;Times;serif" w:hAnsi="Times New Roman;Times;serif"/>
                <w:b/>
                <w:sz w:val="20"/>
              </w:rPr>
              <w:t>Installment of Capital Increase Price</w:t>
            </w:r>
            <w:r>
              <w:rPr>
                <w:rFonts w:ascii="Times New Roman;Times;serif" w:hAnsi="Times New Roman;Times;serif"/>
                <w:sz w:val="20"/>
              </w:rPr>
              <w:t>”, together with NIO Parties Second Installment of Capital Increase Price, Jianheng New Energy Fund Second Installment of Capital Increase Price and SDIC Second Installment of Capital Increase Price, the “</w:t>
            </w:r>
            <w:r>
              <w:rPr>
                <w:rFonts w:ascii="Times New Roman;Times;serif" w:hAnsi="Times New Roman;Times;serif"/>
                <w:b/>
                <w:sz w:val="20"/>
              </w:rPr>
              <w:t>Second</w:t>
            </w:r>
            <w:r>
              <w:rPr>
                <w:rFonts w:ascii="Times New Roman;Times;serif" w:hAnsi="Times New Roman;Times;serif"/>
                <w:sz w:val="20"/>
              </w:rPr>
              <w:t xml:space="preserve"> </w:t>
            </w:r>
            <w:r>
              <w:rPr>
                <w:rFonts w:ascii="Times New Roman;Times;serif" w:hAnsi="Times New Roman;Times;serif"/>
                <w:b/>
                <w:sz w:val="20"/>
              </w:rPr>
              <w:t>Installment of Capital Increase Price</w:t>
            </w:r>
            <w:r>
              <w:rPr>
                <w:rFonts w:ascii="Times New Roman;Times;serif" w:hAnsi="Times New Roman;Times;serif"/>
                <w:sz w:val="20"/>
              </w:rPr>
              <w:t>”) to the bank account opened by the Target Company, of which RMB 34,287,017.06 shall be included in the registered capital of the Target Company and RMB 205,712,982.94 shall be included in the capital reserves of the Target Company.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3.1.3</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Target Company shall confirm receipt of each installment of the Capital Increase Price in writing to NIO Parties and Investors on the date of such receipt.</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3.2</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If any NIO Party or Investor fails to pay any installment of the Capital Increase Price in accordance with this Agreement, with respect to any installment of the Capital Increase Price paid by any overdue Party:</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3.2.1</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In respect of the First Installment of Capital Increase Price, the Company shall adjust the shareholding structure after the completion of this Transaction as set out in Exhibit 2 hereto and the shareholding structure as set out in Articles of Association, so as to ensure that the overdue party shall not enjoy any shareholders’ rights and interests in respect of the portion of the First Instalment of Capital Increase Price that has not been paid in full by such party, and shall complete the registration relating to change of its shareholding structure for the other Investors and/or NIO Parties that have already paid all of the First Installment of Capital Increase Price on time; If the Company decides to grant such overdue Party a grace period of twenty (20) business days from the expiration date of the payment of the First Installment of Capital Increase Price (the “</w:t>
            </w:r>
            <w:r>
              <w:rPr>
                <w:rFonts w:ascii="Times New Roman;Times;serif" w:hAnsi="Times New Roman;Times;serif"/>
                <w:b/>
                <w:sz w:val="20"/>
              </w:rPr>
              <w:t>Grace Period</w:t>
            </w:r>
            <w:r>
              <w:rPr>
                <w:rFonts w:ascii="Times New Roman;Times;serif" w:hAnsi="Times New Roman;Times;serif"/>
                <w:sz w:val="20"/>
              </w:rPr>
              <w:t>”, which applies only to the First Installment of Capital Increase Price), and such overdue Party actually pays the overdue capital increase price in full within the Grace Period, the Company shall readjust the shareholding structure after the completion of this Transaction as set out in Exhibit 2 hereto and the shareholding structure as set out in Articles of Association and complete the registration with AMR relating to change of its shareholding structure for such overdue Party; In respect of such overdue party, the commencement date for the registration with AMR as stipulated in Article 3.5 hereof shall be adjusted to be counted from the date on which such overdue party have actually paid all the overdue capital increase amount.</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3.2.2</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From the expiry of the Capital Increase Price payment period to the latest of (i) the completion of the payment of Capital Increase Price by the overdue Party and/or (ii) the completion of the Transfer of the unpaid registered capital corresponding to the overdue First Installment of Capital Increase Price or the transfer of the registered capital corresponding to the overdue Second Installment of Capital Increase Price and/or (iii) the completion of the cancellation of the unpaid registered capital corresponding to the overdue First Installment of Capital Increase Price or the completion of the transfer or reduction of the registered capital corresponding to the overdue Second Installment of Capital Increase Price (for the overdue First Installment of Capital Increase Price, the date of completion shall be the effective date of the termination notice issued by the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90"/>
        <w:ind w:left="1728" w:right="0" w:hanging="0"/>
        <w:jc w:val="both"/>
        <w:rPr>
          <w:rFonts w:ascii="Times New Roman;Times;serif" w:hAnsi="Times New Roman;Times;serif"/>
          <w:sz w:val="20"/>
        </w:rPr>
      </w:pPr>
      <w:r>
        <w:rPr>
          <w:rFonts w:ascii="Times New Roman;Times;serif" w:hAnsi="Times New Roman;Times;serif"/>
          <w:sz w:val="20"/>
        </w:rPr>
        <w:t>Target Company in accordance with Article 3.2.3 hereof; for the overdue Second Installment of Capital Increase Price, the date of completion of the transfer of unpaid registered capital and the date of completion of the capital reduction shall be the date of the completion of the relevant AMR registration) (whichever is later). For each day of delay, such overdue Party shall pay to the Target Company 0.02% of the unpaid Capital Increase Price as overdue fine.</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3.2.3</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If the Target Company fails to provide a Grace Period to the overdue party or the overdue party fails to pay the First Installment of Capital Increase Price due by the overdue party within the Grace Period or the applicable payment period as agreed in this Agreement (as the case may be), the Company has the right to give a written notice to such Party and other Parties to terminate the rights and obligations of such Party under this Agreement, stating the effective date of the termination, and also require such Party to bear the liability for breach of contract. In this case, each Party shall cooperate with the Company’s request to execute a supplemental agreement to the Transaction Documents or other legal documents to reflect the termination of such rights and obligations, but the effectiveness of such termination shall not be subject to the execution of the supplemental documents by the relevant Parties. In the event that the overdue party fails to pay the Second Installment of Capital Increase Price payable by it within the applicable payment period as agreed herein (as the case may be), the Company has the right to notify such overdue party in writing to request the overdue party to transfer or reduce the portion of registered capital corresponding to such overdue Second Installment of Capital Increase Price in accordance with the applicable laws and regulations and the Articles of Association of the Target Company (as the case may be).</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3.2.4</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Notwithstanding the foregoing, if any NIO Party (the “</w:t>
            </w:r>
            <w:r>
              <w:rPr>
                <w:rFonts w:ascii="Times New Roman;Times;serif" w:hAnsi="Times New Roman;Times;serif"/>
                <w:b/>
                <w:sz w:val="20"/>
              </w:rPr>
              <w:t>NIO Overdue Party</w:t>
            </w:r>
            <w:r>
              <w:rPr>
                <w:rFonts w:ascii="Times New Roman;Times;serif" w:hAnsi="Times New Roman;Times;serif"/>
                <w:sz w:val="20"/>
              </w:rPr>
              <w:t>”) fails to pay any installment of the Capital Increase Price on time in accordance with this Agreement, then as from sixty (60) days after the expiry  of the Capital Increase Price payment period for such installment or as from the date on which the NIO Party notifies the Target Company, and Investors in writing of its failure to perform the obligation to pay the Capital Increase Price, Investors shall have the right to notify the NIO Overdue Party and the Target Company in writing and request the NIO Overdue Party to transfer the capital contribution/registered capital (as the case may be) corresponding to the overdue Capital Increase Price to Investors or the third party designated by them free of charge, and Investors or the third party designated by them shall pay the total subscription price that is calculated using the subscription price per newly increased registered capital in this Transaction. The NIO Overdue Party shall, within twenty (20) business days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90"/>
        <w:ind w:left="1728" w:right="0" w:hanging="0"/>
        <w:jc w:val="both"/>
        <w:rPr>
          <w:rFonts w:ascii="Times New Roman;Times;serif" w:hAnsi="Times New Roman;Times;serif"/>
          <w:sz w:val="20"/>
        </w:rPr>
      </w:pPr>
      <w:r>
        <w:rPr>
          <w:rFonts w:ascii="Times New Roman;Times;serif" w:hAnsi="Times New Roman;Times;serif"/>
          <w:sz w:val="20"/>
        </w:rPr>
        <w:t>from the date of receiving the aforesaid written notice, transfer the aforesaid capital contribution/registered capital (as the case may be) to Investors or any third party designated thereby free of charge (in respect of aforesaid registered capital, the NIO Overdue Party shall complete the registration formalities with AMR and other competent Authorities). If after the transfer, the transferee cannot pay the capital increase price within twenty (20) business days, Investor shall be entitled to require the Target Company to send a termination notice to the transferee to cancel such capital contribution under Article 3.2.3 hereof, or decrease such overdue registered capital (as the case may be) in accordance with applicable laws and the Articles of Association of the Target Company. If Investors exercise the rights described in this Article at the same time, they shall exercise such rights in proportion to their paid-in capital contributions to the Target Company.</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3.2.5</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If the NIO Overdue Party fails to pay the Capital Increase Price within sixty (60) days after the expiry of the Capital Increase Price payment period for such installment,  and Investors choose not to exercise or only partially exercise the right provided under Article 3.2.4 hereof to request the NIO Overdue Party to transfer the overdue capital contribution/registered capital (as the case may be) without consideration, then with respect to the part of the registered capital that Investors do not exercise the right, Investors shall have the right to request the Target Company to send a termination notice to the NIO Overdue Party to cancel such capital contribution under Article 3.2.3 hereof or decrease such overdue registered capital in accordance with applicable laws and the Articles of Association of the Target Company (as the case may be).</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3.2.6</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Once the NIO Parties (i) have paid the NIO Parties Capital Increase Price for the current installment, and have provided the Investors with the bank receipts and other supporting materials for the current payment; or (ii) transferred the capital contribution/registered capital corresponding to the overdue Capital Increase Price and/or cancelled the capital contribution/registered capital corresponding to the overdue Capital Increase Price in accordance with Article 3.2.4 and/or Article 3.2.5 (as the case may be), the Investors shall pay their respective installment of the Capital Increase Price within the corresponding time period specified in this Agreement. The following circumstances will not be considered as overdue payment by the Investors, and the Investors do not need to pay an overdue fine:</w:t>
            </w:r>
          </w:p>
        </w:tc>
      </w:tr>
    </w:tbl>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w:t>
            </w:r>
          </w:p>
        </w:tc>
        <w:tc>
          <w:tcPr>
            <w:tcW w:w="9961"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NIO Parties fail to make due payment of any installment of NIO Parties Capital Increase Price, which causes the Investors’ failure to pay the same installment of the Capital Increase Price in time;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NIO Parties fail to provide the Investors with bank receipts and other supporting materials when or after the NIO Parties Capital Increase Price has been paid, which causes the Investors’ failure to pay the same installment of Capital Increase Price in time.</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3.2.7</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For the avoidance of doubt, exercise by Investors of their rights set forth in this Article 3.2 shall not release the NIO Overdue Party from any obligation to pay the overdue fine.</w:t>
            </w:r>
          </w:p>
        </w:tc>
      </w:tr>
    </w:tbl>
    <w:tbl>
      <w:tblPr>
        <w:tblW w:w="6175" w:type="dxa"/>
        <w:jc w:val="left"/>
        <w:tblInd w:w="0" w:type="dxa"/>
        <w:tblLayout w:type="fixed"/>
        <w:tblCellMar>
          <w:top w:w="0" w:type="dxa"/>
          <w:left w:w="0" w:type="dxa"/>
          <w:bottom w:w="0" w:type="dxa"/>
          <w:right w:w="0" w:type="dxa"/>
        </w:tblCellMar>
      </w:tblPr>
      <w:tblGrid>
        <w:gridCol w:w="275"/>
        <w:gridCol w:w="590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3.3</w:t>
            </w:r>
          </w:p>
        </w:tc>
        <w:tc>
          <w:tcPr>
            <w:tcW w:w="590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Capital Verification, Investment Certificate and Register of Shareholders</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3.3.1</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Target Company shall, within ten (10) business days after the Investors and the NIO Parties make each installment payment for the Capital Increase Price, complete the capital verification for the relevant installment of capital increase and deliver a scanned copy of the original capital verification report to the Investors and the NIO Parties.</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3.3.2</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Target Company shall issue the scanned copy of corresponding capital contribution certificates to the Investors and NIO Parties on the date when the respective installments of Capital Increase Price are paid by the Investors and NIO Parties and provide an original copy to each Investor within five (5) business days after Closing Date (in respect of First Installment of Capital Increase Price) or on the payment date of Second Installment of Capital Increase Price. A capital contribution certificate shall specify the following items: name of the Target Company, date of establishment, registered capital, name of shareholders, amount of subscribed capital contribution, amount of paid-in capital contribution, method of contribution, date of payment, serial number and date of issuance of the capital contribution certificate. The capital contribution certificates shall be signed by the legal representative of the Target Company and affixed with the seals of the Target Company.</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3.3.3</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Target Company shall register and maintain a register of shareholders, and prepare a new register of shareholders for this Capital Increase as of the date when Investors and NIO Parties pay the First Installment of Capital Increase Price. Such register of shareholders shall be kept by the board of directors after it is executed by the legal representative of the Target Company and affixed with the seal of the Target Company, and an original shall be provided to the Investors within five (5) business days after the Closing Date. A register of shareholders shall specify the following items: the name and domicile of the shareholders, the amount of capital contribution subscribed and paid-in by the shareholders, the method of capital contribution and the date of capital contribution, the number of the capital contribution certificate, and the date of acquisition and loss of the shareholders’ qualification. The Target Company shall update the paid-in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90"/>
        <w:ind w:left="1728" w:right="0" w:hanging="0"/>
        <w:jc w:val="both"/>
        <w:rPr>
          <w:rFonts w:ascii="Times New Roman;Times;serif" w:hAnsi="Times New Roman;Times;serif"/>
          <w:sz w:val="20"/>
        </w:rPr>
      </w:pPr>
      <w:r>
        <w:rPr>
          <w:rFonts w:ascii="Times New Roman;Times;serif" w:hAnsi="Times New Roman;Times;serif"/>
          <w:sz w:val="20"/>
        </w:rPr>
        <w:t>capital in the register of shareholders after the Investors and the NIO Parties have paid the Second Installment of Capital Increase Price and provide each Investor with an original copy of the updated register of shareholders within five (5) business days after the payment of the Second Installment of Capital Increase Price.</w:t>
      </w:r>
    </w:p>
    <w:tbl>
      <w:tblPr>
        <w:tblW w:w="1360" w:type="dxa"/>
        <w:jc w:val="left"/>
        <w:tblInd w:w="0" w:type="dxa"/>
        <w:tblLayout w:type="fixed"/>
        <w:tblCellMar>
          <w:top w:w="0" w:type="dxa"/>
          <w:left w:w="0" w:type="dxa"/>
          <w:bottom w:w="0" w:type="dxa"/>
          <w:right w:w="0" w:type="dxa"/>
        </w:tblCellMar>
      </w:tblPr>
      <w:tblGrid>
        <w:gridCol w:w="275"/>
        <w:gridCol w:w="1085"/>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3.4</w:t>
            </w:r>
          </w:p>
        </w:tc>
        <w:tc>
          <w:tcPr>
            <w:tcW w:w="108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Closing Date</w:t>
            </w:r>
          </w:p>
        </w:tc>
      </w:tr>
    </w:tbl>
    <w:p>
      <w:pPr>
        <w:pStyle w:val="TextBody"/>
        <w:bidi w:val="0"/>
        <w:spacing w:before="0" w:after="190"/>
        <w:ind w:left="567" w:right="0" w:hanging="0"/>
        <w:jc w:val="both"/>
        <w:rPr>
          <w:rFonts w:ascii="Times New Roman;Times;serif" w:hAnsi="Times New Roman;Times;serif"/>
          <w:sz w:val="20"/>
        </w:rPr>
      </w:pPr>
      <w:r>
        <w:rPr>
          <w:rFonts w:ascii="Times New Roman;Times;serif" w:hAnsi="Times New Roman;Times;serif"/>
          <w:sz w:val="20"/>
        </w:rPr>
        <w:t>The date on which the Investors pay the first installment of Capital Increase Price in accordance with the provisions of Article 3 hereof (“</w:t>
      </w:r>
      <w:r>
        <w:rPr>
          <w:rFonts w:ascii="Times New Roman;Times;serif" w:hAnsi="Times New Roman;Times;serif"/>
          <w:b/>
          <w:sz w:val="20"/>
        </w:rPr>
        <w:t>Closing</w:t>
      </w:r>
      <w:r>
        <w:rPr>
          <w:rFonts w:ascii="Times New Roman;Times;serif" w:hAnsi="Times New Roman;Times;serif"/>
          <w:sz w:val="20"/>
        </w:rPr>
        <w:t>”) shall be referred to as the closing date  (the “</w:t>
      </w:r>
      <w:r>
        <w:rPr>
          <w:rFonts w:ascii="Times New Roman;Times;serif" w:hAnsi="Times New Roman;Times;serif"/>
          <w:b/>
          <w:sz w:val="20"/>
        </w:rPr>
        <w:t>Closing Date</w:t>
      </w:r>
      <w:r>
        <w:rPr>
          <w:rFonts w:ascii="Times New Roman;Times;serif" w:hAnsi="Times New Roman;Times;serif"/>
          <w:sz w:val="20"/>
        </w:rPr>
        <w:t>”). For the avoidance of doubt, if the payment dates of the first installment of Capital Increase Price by each Investor are not the same, the Closing Date shall apply to each Investor respectively.</w:t>
      </w:r>
    </w:p>
    <w:tbl>
      <w:tblPr>
        <w:tblW w:w="2200" w:type="dxa"/>
        <w:jc w:val="left"/>
        <w:tblInd w:w="0" w:type="dxa"/>
        <w:tblLayout w:type="fixed"/>
        <w:tblCellMar>
          <w:top w:w="0" w:type="dxa"/>
          <w:left w:w="0" w:type="dxa"/>
          <w:bottom w:w="0" w:type="dxa"/>
          <w:right w:w="0" w:type="dxa"/>
        </w:tblCellMar>
      </w:tblPr>
      <w:tblGrid>
        <w:gridCol w:w="275"/>
        <w:gridCol w:w="1925"/>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3.5</w:t>
            </w:r>
          </w:p>
        </w:tc>
        <w:tc>
          <w:tcPr>
            <w:tcW w:w="19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Registration with AMR</w:t>
            </w:r>
          </w:p>
        </w:tc>
      </w:tr>
    </w:tbl>
    <w:p>
      <w:pPr>
        <w:pStyle w:val="TextBody"/>
        <w:bidi w:val="0"/>
        <w:spacing w:before="0" w:after="190"/>
        <w:ind w:left="567" w:right="0" w:hanging="0"/>
        <w:jc w:val="both"/>
        <w:rPr>
          <w:rFonts w:ascii="Times New Roman;Times;serif" w:hAnsi="Times New Roman;Times;serif"/>
          <w:sz w:val="20"/>
        </w:rPr>
      </w:pPr>
      <w:r>
        <w:rPr>
          <w:rFonts w:ascii="Times New Roman;Times;serif" w:hAnsi="Times New Roman;Times;serif"/>
          <w:sz w:val="20"/>
        </w:rPr>
        <w:t>Subject to Article 3.2 hereof, the Target Company shall, within twenty (20) business days (and no later than January 6, 2025) from the actual payment date of the first installment of Capital Increase Price by the Investors under Article 3 hereof (if the payment dates of the first installment of Capital Increase Price by each Investor are not the same, it shall refer to the date on which the latest Investor who fully pays the first installment of the corresponding Capital Increase Price before the payment date of such Capital Increase Price required by this Agreement (excluding the Grace Period)), complete the registration with AMR relating to change of its shareholding structure for the Investors and/or NIO Parties that have already paid all of the first installment of Capital Increase Price (the date of completion of the registration shall be referred to as the “</w:t>
      </w:r>
      <w:r>
        <w:rPr>
          <w:rFonts w:ascii="Times New Roman;Times;serif" w:hAnsi="Times New Roman;Times;serif"/>
          <w:b/>
          <w:sz w:val="20"/>
        </w:rPr>
        <w:t>AMR Registration Completion Date</w:t>
      </w:r>
      <w:r>
        <w:rPr>
          <w:rFonts w:ascii="Times New Roman;Times;serif" w:hAnsi="Times New Roman;Times;serif"/>
          <w:sz w:val="20"/>
        </w:rPr>
        <w:t>”), provided that the Parties shall provide the necessary cooperation to the Target Company in the process of registration as described in this Article 3.5 hereof. In the event that the registration involved in the Transaction is not completed within the aforesaid period due to the failure of any Investor to provide the appropriate co-operation, for such Investor, such failure shall not constitute a breach of this Article 3.5 by the Target Company.</w:t>
      </w:r>
    </w:p>
    <w:tbl>
      <w:tblPr>
        <w:tblW w:w="4420" w:type="dxa"/>
        <w:jc w:val="left"/>
        <w:tblInd w:w="0" w:type="dxa"/>
        <w:tblLayout w:type="fixed"/>
        <w:tblCellMar>
          <w:top w:w="0" w:type="dxa"/>
          <w:left w:w="0" w:type="dxa"/>
          <w:bottom w:w="0" w:type="dxa"/>
          <w:right w:w="0" w:type="dxa"/>
        </w:tblCellMar>
      </w:tblPr>
      <w:tblGrid>
        <w:gridCol w:w="275"/>
        <w:gridCol w:w="4145"/>
      </w:tblGrid>
      <w:tr>
        <w:trPr/>
        <w:tc>
          <w:tcPr>
            <w:tcW w:w="275" w:type="dxa"/>
            <w:tcBorders/>
            <w:vAlign w:val="center"/>
          </w:tcPr>
          <w:p>
            <w:pPr>
              <w:pStyle w:val="TableContents"/>
              <w:bidi w:val="0"/>
              <w:spacing w:before="0" w:after="140"/>
              <w:jc w:val="both"/>
              <w:rPr>
                <w:rFonts w:ascii="Times New Roman;Times;serif" w:hAnsi="Times New Roman;Times;serif"/>
                <w:sz w:val="20"/>
              </w:rPr>
            </w:pPr>
            <w:r>
              <w:rPr>
                <w:rFonts w:ascii="Times New Roman;Times;serif" w:hAnsi="Times New Roman;Times;serif"/>
                <w:sz w:val="20"/>
              </w:rPr>
              <w:t>3.6</w:t>
            </w:r>
          </w:p>
        </w:tc>
        <w:tc>
          <w:tcPr>
            <w:tcW w:w="4145" w:type="dxa"/>
            <w:tcBorders/>
            <w:vAlign w:val="center"/>
          </w:tcPr>
          <w:p>
            <w:pPr>
              <w:pStyle w:val="TableContents"/>
              <w:bidi w:val="0"/>
              <w:spacing w:before="0" w:after="140"/>
              <w:jc w:val="both"/>
              <w:rPr>
                <w:rFonts w:ascii="Times New Roman;Times;serif" w:hAnsi="Times New Roman;Times;serif"/>
                <w:sz w:val="20"/>
              </w:rPr>
            </w:pPr>
            <w:r>
              <w:rPr>
                <w:rFonts w:ascii="Times New Roman;Times;serif" w:hAnsi="Times New Roman;Times;serif"/>
                <w:sz w:val="20"/>
              </w:rPr>
              <w:t>Independence of Investors’ Rights and Obligations</w:t>
            </w:r>
          </w:p>
        </w:tc>
      </w:tr>
    </w:tbl>
    <w:p>
      <w:pPr>
        <w:pStyle w:val="TextBody"/>
        <w:bidi w:val="0"/>
        <w:spacing w:before="0" w:after="190"/>
        <w:ind w:left="567" w:right="0" w:hanging="0"/>
        <w:jc w:val="both"/>
        <w:rPr>
          <w:rFonts w:ascii="Times New Roman;Times;serif" w:hAnsi="Times New Roman;Times;serif"/>
          <w:sz w:val="20"/>
        </w:rPr>
      </w:pPr>
      <w:r>
        <w:rPr>
          <w:rFonts w:ascii="Times New Roman;Times;serif" w:hAnsi="Times New Roman;Times;serif"/>
          <w:sz w:val="20"/>
        </w:rPr>
        <w:t>The responsibilities, obligations, statements, representations and warranties of each Investor hereunder are independent and separate, and are not conditional upon those of any other Investors. No Investor shall be responsible or obligated for the payment of any Capital Increase Price by any other Investors. Furthermore, the failure of any Investor for Closing in accordance with the Articles hereof shall not affect the rights of the other Investors.</w:t>
      </w:r>
    </w:p>
    <w:p>
      <w:pPr>
        <w:pStyle w:val="TextBody"/>
        <w:bidi w:val="0"/>
        <w:spacing w:before="0" w:after="19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CONDITIONS PRCEDENT TO CLOSING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90"/>
        <w:ind w:left="0" w:right="0" w:hanging="0"/>
        <w:jc w:val="both"/>
        <w:rPr>
          <w:rFonts w:ascii="Times New Roman;Times;serif" w:hAnsi="Times New Roman;Times;serif"/>
          <w:sz w:val="20"/>
        </w:rPr>
      </w:pPr>
      <w:r>
        <w:rPr>
          <w:rFonts w:ascii="Times New Roman;Times;serif" w:hAnsi="Times New Roman;Times;serif"/>
          <w:sz w:val="20"/>
        </w:rPr>
        <w:t>With respect to each Investor, unless waived by such Investor in writing, the obligations of such Investor to pay First Installment of Capital Increase Price shall be subject to the satisfaction of each of the following conditions precedent: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4.1</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There is no judgment, award, ruling, decree or injunction of any PRC laws, court, arbitral body or competent governmental Authorities that restricts, prohibits or cancels this Transaction, nor is there pending or potential litigation, arbitration, judgment, ruling, ruling or injunction which, in the reasonable, good faith judgment of the Investors, has had or will have material adverse effect on this Transaction, including restricting, prohibiting or cancelling this Transaction;</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4.2</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Target Company and its Existing Shareholders as of the Execution Date shall have made resolutions approving this Transaction at the shareholders’ meeting, and the Existing Shareholders have waived in writing the applicable pre-emptive right;</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4.3</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Target Company shall have obtained all permits, approvals, consents, exemptions, authorizations and waivers for the execution and performance of the Transaction Documents. The execution and performance of the Transaction Documents will not result in the breach by the Target Company and other Group Members of any applicable laws of the PRC or any contracts, agreements or other documents applicable to them;</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4.4</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Completion of the execution of various Transaction Documents, including this Agreement, the Shareholders’ Agreement, the Articles of Association or the Amendment to the Articles of Association and other ancillary agreements, resolutions and other documents necessary for the consummation of this Transaction or reasonably requested by the Investors, including, without limitation, all filing and registration application materials required by the market supervision and administration Authorities in connection with this Transaction;</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4.5</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representations, representations and warranties made by the Target Company and the NIO Parties under Article 6 hereof shall continue to be true, complete and accurate, and the covenants required by the Transaction Documents to be performed on or prior to the Closing Date shall have been performed. There is no breach of the Transaction Documents;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4.6</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requisite assets of the Target Company and other Core Group Members in connection with their Main Businesses are fully kept and all requisite core technicians have been retained;</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4.7</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As from the date hereof until the Closing Date, there is no event, fact, condition, change or other circumstance that has had or is reasonably expected to have Material Adverse Effect on the assets, financial structure, liabilities, technologies, profit prospect, normal operation and asset contribution of the Target Company and other Group Members;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4.8</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SDIC’s designated investment entity, Anhui High-tech Co. and/or its designated investment entity and Jianheng New Energy Fund have obtained the applicable internal and external approvals in connection with the Transaction and such approvals remain effective until the Closing Date;</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4.9</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Target Company and the NIO Parties shall have issued to the Investors a confirmation letter confirming that all the above conditions precedent, except for those waived by the Investors in writing (except for the aforesaid Article 4.8 hereof), have been satisfied and provided relevant documents evidencing the satisfaction of such conditions precedent.</w:t>
            </w:r>
          </w:p>
        </w:tc>
      </w:tr>
    </w:tbl>
    <w:p>
      <w:pPr>
        <w:pStyle w:val="TextBody"/>
        <w:bidi w:val="0"/>
        <w:spacing w:before="0" w:after="19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TRANSITIONAL PERIOD</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5.1</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During the period from the Execution Date hereof to the Closing Date (the “</w:t>
            </w:r>
            <w:r>
              <w:rPr>
                <w:rFonts w:ascii="Times New Roman;Times;serif" w:hAnsi="Times New Roman;Times;serif"/>
                <w:b/>
                <w:sz w:val="20"/>
              </w:rPr>
              <w:t>Transitional Period</w:t>
            </w:r>
            <w:r>
              <w:rPr>
                <w:rFonts w:ascii="Times New Roman;Times;serif" w:hAnsi="Times New Roman;Times;serif"/>
                <w:sz w:val="20"/>
              </w:rPr>
              <w:t>”), the Target Company and the other Group Members shall, and the NIO Parties shall cause the Target Company and the other Group Members to, conduct the business in the ordinary course consistent with past practice, and shall use their best efforts to preserve intact the assets and business, maintain business cooperation relationship with existing customers, suppliers and other third parties, retain existing officers and employees, and maintain the current status (except for normal wear and tear) of all assets and properties owned or used by the Target Company and the other Group Members.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5.2</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During the Transitional Period, subject to the receipt of reasonable prior notice from the Investor and the normal operation of the Target Company and the other Group Members, during normal business hours of the Target Company and the other Group Members, the NIO Parties and the Target Company shall provide the Investors and its Representatives with such information regarding the Target Company and the other Core Group Members as reasonably requested by the Investors in connection with this Transaction, including, without limitation, adequate provision of the books, records, contracts, technical data, personnel data, management information and other documents of the Target Company by the lawyers, accountants and other representatives engaged by the Investors, and prudent examination of the financial, assets and operation status of the Target Company and the other Core Group Members. In addition, upon occurrence or expected occurrence of any breach of this Agreement by the NIO Parties or the Target Company,  the NIO Parties and the Target Company shall promptly notify the Investor in writing of such breach.</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5.3</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During the Transitional Period, the NIO Parties and the Target Company shall promptly notify the Investors in writing of the following matters and discuss with the Investor about the effect of such matters on the Target Company and other Group Members so as to ensure the stable operation of the Target Company and other Group Members in the ordinary course of business consistent with past practice: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5.3.1</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Change in the equity structure, financial condition, assets, liabilities, business or operations of the Target Company and other Group Members that has or is likely to have any Material Adverse Effect on the Target Company; and</w:t>
            </w:r>
          </w:p>
        </w:tc>
      </w:tr>
    </w:tbl>
    <w:tbl>
      <w:tblPr>
        <w:tblW w:w="7128" w:type="dxa"/>
        <w:jc w:val="left"/>
        <w:tblInd w:w="0" w:type="dxa"/>
        <w:tblLayout w:type="fixed"/>
        <w:tblCellMar>
          <w:top w:w="0" w:type="dxa"/>
          <w:left w:w="0" w:type="dxa"/>
          <w:bottom w:w="0" w:type="dxa"/>
          <w:right w:w="0" w:type="dxa"/>
        </w:tblCellMar>
      </w:tblPr>
      <w:tblGrid>
        <w:gridCol w:w="23"/>
        <w:gridCol w:w="425"/>
        <w:gridCol w:w="6680"/>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5.3.2</w:t>
            </w:r>
          </w:p>
        </w:tc>
        <w:tc>
          <w:tcPr>
            <w:tcW w:w="66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Progress of approval by/registration with governmental Authorities (if applicable).</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5.4</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During the Transitional Period, the Target Company and the NIO Parties shall, and shall cause their Affiliates and advisors, as well as their respective directors, the NIO Parties management and representatives to, (i) on an exclusive basis, deal with the matters relating to this Transaction jointly with the Investors and their Affiliates; (ii) not engage in any similar transaction or any other transactions in conflict with the transactions contemplated in the Transaction Documents (any of such transactions being referred to as the “</w:t>
            </w:r>
            <w:r>
              <w:rPr>
                <w:rFonts w:ascii="Times New Roman;Times;serif" w:hAnsi="Times New Roman;Times;serif"/>
                <w:b/>
                <w:sz w:val="20"/>
              </w:rPr>
              <w:t>Third Party Transaction</w:t>
            </w:r>
            <w:r>
              <w:rPr>
                <w:rFonts w:ascii="Times New Roman;Times;serif" w:hAnsi="Times New Roman;Times;serif"/>
                <w:sz w:val="20"/>
              </w:rPr>
              <w:t>”); (iii) immediately terminate any discussion or negotiation with any Person in connection with the Third Party Transaction, and hereafter, refrain from discussing or negotiating with any Person in connection with the Third Party Transaction or providing any information to any Person in connection with the Third Party Transaction; and (iv) not encourage any inquiry or proposal with respect to the possible Third Party Transaction or take any other action to facilitate such inquiry or proposal. The Investors shall be notified promptly if the Target Company or other Group Members or the NIO Parties receives any inquiry from any other party in respect of possible Third Party Transaction.</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5.5</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Without limiting the normal business operation, unless with the prior written consent of the Investor, during the Transitional Period, the NIO Parties shall cause the Target Company and the other Group Members not to, and the Target Company and the other Group Members not to, take the following actions (except for those relevant to this Transaction; neither Article 5.5.1 hereof nor Article 5.5.7 hereof shall apply to Group Members other than Core Group Members):</w:t>
            </w:r>
          </w:p>
        </w:tc>
      </w:tr>
    </w:tbl>
    <w:tbl>
      <w:tblPr>
        <w:tblW w:w="8808" w:type="dxa"/>
        <w:jc w:val="left"/>
        <w:tblInd w:w="0" w:type="dxa"/>
        <w:tblLayout w:type="fixed"/>
        <w:tblCellMar>
          <w:top w:w="0" w:type="dxa"/>
          <w:left w:w="0" w:type="dxa"/>
          <w:bottom w:w="0" w:type="dxa"/>
          <w:right w:w="0" w:type="dxa"/>
        </w:tblCellMar>
      </w:tblPr>
      <w:tblGrid>
        <w:gridCol w:w="23"/>
        <w:gridCol w:w="425"/>
        <w:gridCol w:w="8360"/>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5.5.1</w:t>
            </w:r>
          </w:p>
        </w:tc>
        <w:tc>
          <w:tcPr>
            <w:tcW w:w="836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Increase, decrease, allot, issue, acquire, repay, assign, pledge or redeem any registered capital or equity;</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5.5.2</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Take any action that may result in the dilution of the Investor’s equity interest in the Target Company on the Closing Date by amending its articles of association or through reorganization, merger, sale of share capital, acquisition, sale of assets or otherwise;</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5.5.3</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Any sale, lease, transfer, authorization or assignment of any asset exceeding RMB 100 million individually or in aggregate, except for those conducted in the ordinary course of business in a manner consistent with past practices;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5.5.4</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Any new assumption or incurrence of indebtedness, liability, obligation or expense exceeding RMB 100 million (or the equivalent thereof in other currencies) in aggregate except in the ordinary course of business;</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5.5.5</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Make any capital expenditure in excess of RMB 300 million (or its equivalent) other than in the ordinary course of business;</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5.5.6</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Create any mortgage, pledge, security interest or other types of encumbrances on any assets in excess of RMB 100 million, except in the ordinary course of business;</w:t>
            </w:r>
          </w:p>
        </w:tc>
      </w:tr>
    </w:tbl>
    <w:tbl>
      <w:tblPr>
        <w:tblW w:w="6003" w:type="dxa"/>
        <w:jc w:val="left"/>
        <w:tblInd w:w="0" w:type="dxa"/>
        <w:tblLayout w:type="fixed"/>
        <w:tblCellMar>
          <w:top w:w="0" w:type="dxa"/>
          <w:left w:w="0" w:type="dxa"/>
          <w:bottom w:w="0" w:type="dxa"/>
          <w:right w:w="0" w:type="dxa"/>
        </w:tblCellMar>
      </w:tblPr>
      <w:tblGrid>
        <w:gridCol w:w="23"/>
        <w:gridCol w:w="425"/>
        <w:gridCol w:w="5555"/>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5.5.7</w:t>
            </w:r>
          </w:p>
        </w:tc>
        <w:tc>
          <w:tcPr>
            <w:tcW w:w="555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Declare, pay and make any distribution or declaration of a dividend;</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5.5.8</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Entry into any related-party transaction with an Affiliate exceeding RMB100 million individually or RMB200 million in aggregate beyond the annual budget;</w:t>
            </w:r>
          </w:p>
        </w:tc>
      </w:tr>
    </w:tbl>
    <w:tbl>
      <w:tblPr>
        <w:tblW w:w="4233" w:type="dxa"/>
        <w:jc w:val="left"/>
        <w:tblInd w:w="0" w:type="dxa"/>
        <w:tblLayout w:type="fixed"/>
        <w:tblCellMar>
          <w:top w:w="0" w:type="dxa"/>
          <w:left w:w="0" w:type="dxa"/>
          <w:bottom w:w="0" w:type="dxa"/>
          <w:right w:w="0" w:type="dxa"/>
        </w:tblCellMar>
      </w:tblPr>
      <w:tblGrid>
        <w:gridCol w:w="23"/>
        <w:gridCol w:w="425"/>
        <w:gridCol w:w="3785"/>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5.5.9</w:t>
            </w:r>
          </w:p>
        </w:tc>
        <w:tc>
          <w:tcPr>
            <w:tcW w:w="378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Conduct or become a party to any acquisition;</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5.5.10</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Incorporation of any subsidiary or acquisition of any equity interest or other interest in any other entity for consideration in excess of RMB 100 million;</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5.5.11</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Unless expressly provided for in the Transaction Documents, formulate or adopt any employee equity incentive plan, or distribute options to or make commitments on distribution options to employees; or</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5.5.12</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Agree or commit to do any of the foregoing, including, without limitation, execution of a letter of intent, commitment letter and letter of consent.</w:t>
            </w:r>
          </w:p>
        </w:tc>
      </w:tr>
    </w:tbl>
    <w:p>
      <w:pPr>
        <w:pStyle w:val="TextBody"/>
        <w:bidi w:val="0"/>
        <w:spacing w:before="0" w:after="19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REPRESENTATIONS AND WARRANTIES</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6.1</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Representations and Warranties of the Target Company and the NIO Parties. Except for the matters expressly disclosed in the Disclosure Letter attached hereto as Exhibit 4, the Target Company and the NIO Parties make the following statements, representations and warranties and severally and jointly ensure that each of the following statements, representations and warranties shall be true, complete and accurate as of the Execution Date hereof and the Closing Date; provided that the Target Company and the NIO Parties shall have the right to make update and supplement to the Disclosure Letter attached as Exhibit 4 with respect to any occurrence after the Execution Date on the Closing Date respectively.  The Disclosure Letter refers to particular sections of this Agreement which are subject to amendment, and shall be read with this Agreement and form an integral part of this Agreement. The matters of the Target Company and its Group Members that have or may have Material Adverse Effect as from the Balance Sheet Date to the Execution Date shall also be disclosed in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90"/>
        <w:ind w:left="567" w:right="0" w:hanging="0"/>
        <w:jc w:val="both"/>
        <w:rPr>
          <w:rFonts w:ascii="Times New Roman;Times;serif" w:hAnsi="Times New Roman;Times;serif"/>
          <w:sz w:val="20"/>
        </w:rPr>
      </w:pPr>
      <w:r>
        <w:rPr>
          <w:rFonts w:ascii="Times New Roman;Times;serif" w:hAnsi="Times New Roman;Times;serif"/>
          <w:sz w:val="20"/>
        </w:rPr>
        <w:t>the Disclosure Letter. The Target Company and the NIO Parties agree that, for the purpose of the following matters of this Article 6 (unless otherwise provided in Article 6 hereof in respect of the following matters), their statements, representations and warranties in respect of the matters involving Target Company shall, to the extent applicable, apply to Target Company, its Core Group Members and/or other Group Members at the same time.</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6.1.1</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Authority</w:t>
            </w:r>
            <w:r>
              <w:rPr>
                <w:rFonts w:ascii="Times New Roman;Times;serif" w:hAnsi="Times New Roman;Times;serif"/>
                <w:sz w:val="20"/>
              </w:rPr>
              <w:t>. The execution of the Transaction Documents, performance by the Target Company of all their obligations thereunder and consummation of the transactions thereunder have been fully and duly authorized by all Transaction Authorities; and the NIO Parties has full capacity for civil conduct and civil rights to execute the Transaction Documents and perform their obligations thereunder. Upon execution, the Transaction Documents shall have legal binding force on the Target Company and the NIO Parties.</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6.1.2</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Investments</w:t>
            </w:r>
            <w:r>
              <w:rPr>
                <w:rFonts w:ascii="Times New Roman;Times;serif" w:hAnsi="Times New Roman;Times;serif"/>
                <w:sz w:val="20"/>
              </w:rPr>
              <w:t>. As of the Execution Date or the Closing Date, if applicable, other than the disclosed Group Members in the Disclosure Letter, Group Members have no other Subsidiaries, partnerships, branches or offices in the PRC or overseas and do not directly or indirectly hold or own similar interests in any other Persons.</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6.1.3</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No Conflict</w:t>
            </w:r>
            <w:r>
              <w:rPr>
                <w:rFonts w:ascii="Times New Roman;Times;serif" w:hAnsi="Times New Roman;Times;serif"/>
                <w:sz w:val="20"/>
              </w:rPr>
              <w:t>. The execution and performance of the Transaction Documents do not violate or conflict with any provisions of the articles of association or other constitutional documents of Group Members ; both the Group Members and the NIO Parties have obtained all the necessary third party consents or authorizations for the transactions under the Transaction Documents. the NIO Parties has performed necessary internal and external approval procedures for this Transaction, and there is no breach of relevant laws and regulations of the NIO Parties’ place of incorporation, NIO Group’s place of listing and the registered place of the Target Company, nor is there any breach of written agreements or covenants between the NIO Parties or its Affiliates and any other third party. The material agreements or contracts between the Target Company and other Group Members, the NIO Parties and any other entities will not be terminated or materially affected by the Transaction Documents due to the execution or performance thereof.</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6.1.4</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Validly Existing</w:t>
            </w:r>
            <w:r>
              <w:rPr>
                <w:rFonts w:ascii="Times New Roman;Times;serif" w:hAnsi="Times New Roman;Times;serif"/>
                <w:sz w:val="20"/>
              </w:rPr>
              <w:t>. The Target Company and the other Group Members are legally incorporated and validly existing Persons. The registered capital of the Target Company and other Core Group Members has been paid in full in a timely manner in accordance with the provisions of its articles of association, and complies with the requirements of Chinese laws. There is no failure to pay on time, delay in payment, false registration, inadequate capital or withdrawal of registered capital. All of the articles of associations of the Target Company and the other Group Members have been legally and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90"/>
        <w:ind w:left="1728" w:right="0" w:hanging="0"/>
        <w:jc w:val="both"/>
        <w:rPr>
          <w:rFonts w:ascii="Times New Roman;Times;serif" w:hAnsi="Times New Roman;Times;serif"/>
          <w:sz w:val="20"/>
        </w:rPr>
      </w:pPr>
      <w:r>
        <w:rPr>
          <w:rFonts w:ascii="Times New Roman;Times;serif" w:hAnsi="Times New Roman;Times;serif"/>
          <w:sz w:val="20"/>
        </w:rPr>
        <w:t>validly registered (if required), and are valid and enforceable. The business scope specified in the articles of association of the Target Company and the Group Members is in conformity with the requirements of the PRC Laws. The Target Company and the other Group Members have conducted operation activities in strict compliance with the business scope set forth in their articles of association and applicable PRC Laws. All licenses, approvals, permits and filings (collectively, the “</w:t>
      </w:r>
      <w:r>
        <w:rPr>
          <w:rFonts w:ascii="Times New Roman;Times;serif" w:hAnsi="Times New Roman;Times;serif"/>
          <w:b/>
          <w:sz w:val="20"/>
        </w:rPr>
        <w:t>Permits</w:t>
      </w:r>
      <w:r>
        <w:rPr>
          <w:rFonts w:ascii="Times New Roman;Times;serif" w:hAnsi="Times New Roman;Times;serif"/>
          <w:sz w:val="20"/>
        </w:rPr>
        <w:t>”) required for the Target Company and other Group Members to carry out production and business activities under the Laws of the PRC have been applied for and obtained in material respects in accordance with law. All such permits are validly existing. The Target Company and the other Group Members have passed the annual inspection (if any) over such Permits conducted by relevant competent governmental Authorities. The documents of the Target Company (including minutes of board meetings, shareholders’ meeting/general meetings, and register of shareholders of the Target Company) have been properly kept and completely and accurately recorded the matters that shall be recorded in such documents.</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6.1.5</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Financial Reporting</w:t>
            </w:r>
            <w:r>
              <w:rPr>
                <w:rFonts w:ascii="Times New Roman;Times;serif" w:hAnsi="Times New Roman;Times;serif"/>
                <w:sz w:val="20"/>
              </w:rPr>
              <w:t>. As of March 31, 2024 (the “</w:t>
            </w:r>
            <w:r>
              <w:rPr>
                <w:rFonts w:ascii="Times New Roman;Times;serif" w:hAnsi="Times New Roman;Times;serif"/>
                <w:b/>
                <w:sz w:val="20"/>
              </w:rPr>
              <w:t>Balance Sheet Date</w:t>
            </w:r>
            <w:r>
              <w:rPr>
                <w:rFonts w:ascii="Times New Roman;Times;serif" w:hAnsi="Times New Roman;Times;serif"/>
                <w:sz w:val="20"/>
              </w:rPr>
              <w:t>”) and the Execution Date or the Closing Date, if applicable, all audited accounts and management accounts (including transfer accounts) of the Target Company and other Group Members have been prepared in accordance with the Laws of the PRC and truly, completely and accurately reflect the financial and operation conditions of the Target Company and other Group Members as of the relevant account dates, and the financial records and data of the Target Company and other Group Members fully comply with the requirements of the Laws of the PRC and the PRC Accounting Standards. All documents including books, records of changes in shareholdings, financial statements and all other records shall be kept and be in the possession of the Target Company or other Group Members in accordance with the Laws and commercial practices of the PRC and all major transactions relating to the business of the Target Company or other Group Members shall be recorded accurately and on file. The Target Company and other Group Members do not have such problems as off-balance-sheet cash sales income, off-balance-sheet liabilities, shareholders' occupation of the capital of the Target Company and material internal control loopholes.</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6.1.6</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Undisclosed Liabilities</w:t>
            </w:r>
            <w:r>
              <w:rPr>
                <w:rFonts w:ascii="Times New Roman;Times;serif" w:hAnsi="Times New Roman;Times;serif"/>
                <w:sz w:val="20"/>
              </w:rPr>
              <w:t>. Neither the Target Company nor any other Group Member has any other material liabilities (meaning debts exceeding RMB 100 million in the aggregate) not reflected in the balance sheet provided to the Investor as of the Balance Sheet Date; the Target Company or other Group Members have never provided any guarantee or other security for others other than Group Members or created any mortgage,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90"/>
        <w:ind w:left="1728" w:right="0" w:hanging="0"/>
        <w:jc w:val="both"/>
        <w:rPr>
          <w:rFonts w:ascii="Times New Roman;Times;serif" w:hAnsi="Times New Roman;Times;serif"/>
          <w:sz w:val="20"/>
        </w:rPr>
      </w:pPr>
      <w:r>
        <w:rPr>
          <w:rFonts w:ascii="Times New Roman;Times;serif" w:hAnsi="Times New Roman;Times;serif"/>
          <w:sz w:val="20"/>
        </w:rPr>
        <w:t>pledge or other security right on their properties for the debts of others other than Group Members.</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6.1.7</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Equity Structure</w:t>
            </w:r>
            <w:r>
              <w:rPr>
                <w:rFonts w:ascii="Times New Roman;Times;serif" w:hAnsi="Times New Roman;Times;serif"/>
                <w:sz w:val="20"/>
              </w:rPr>
              <w:t>. The registered capital structure of the Target Company and other Group Members as set forth in the articles of association of the Target Company and in the amendments to the articles of association registered with market supervision and administration authorities on the Execution Date is fully consistent with the records in Exhibit 1 hereto and the relevant articles of association of the Target Company and other Group Members provided to the Investor, and truly, completely and accurately reflects the equity structure of the Target Company and other Group Members, and there is no false capital contribution. The Target Company and other Group Members have never committed to or actually issued any equity interests, shares, convertible bonds, warrants, options or equity interests of the same or similar nature other than the above shareholder equity interests in any form or to any person. The equity interests in the Target Company and other Group Members are free and clear of any nominee holding or similar arrangement, pledge or other security interest of any kind, or Encumbrance or any other third party rights (including, with respect to the equity interests in any person, any option or conversion right or pre-emptive right of any nature). The shareholding structure of direct or indirect equity holders of the Target Company (the equity interest in the Target Company penetrating through natural persons or governmental Authorities) will not have material adverse effect on the Target Company’s Qualified IPO. All the registration and filing procedures applicable to the NIO Parties having obtained the shares and interests in the registered capital of the Target Company and other Group Members have been completed.</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6.1.8</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No Change</w:t>
            </w:r>
            <w:r>
              <w:rPr>
                <w:rFonts w:ascii="Times New Roman;Times;serif" w:hAnsi="Times New Roman;Times;serif"/>
                <w:sz w:val="20"/>
              </w:rPr>
              <w:t>. From the Balance Sheet Date, unless acknowledged by the Investors in writing or otherwise provided herein, none of the Target Company and other Group Members has taken the following actions (of which items (5) and (12) of Article 6.1.8 hereof shall do not apply to other Group Members other than the Core Group Members), unless for the purpose of consummation of this Transaction (unless the Target Company shall notify the Investor in writing within five (5) days from the occurrence of such actions):</w:t>
            </w:r>
          </w:p>
        </w:tc>
      </w:tr>
    </w:tbl>
    <w:tbl>
      <w:tblPr>
        <w:tblW w:w="4998" w:type="dxa"/>
        <w:jc w:val="left"/>
        <w:tblInd w:w="0" w:type="dxa"/>
        <w:tblLayout w:type="fixed"/>
        <w:tblCellMar>
          <w:top w:w="0" w:type="dxa"/>
          <w:left w:w="0" w:type="dxa"/>
          <w:bottom w:w="0" w:type="dxa"/>
          <w:right w:w="0" w:type="dxa"/>
        </w:tblCellMar>
      </w:tblPr>
      <w:tblGrid>
        <w:gridCol w:w="23"/>
        <w:gridCol w:w="245"/>
        <w:gridCol w:w="473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w:t>
            </w:r>
          </w:p>
        </w:tc>
        <w:tc>
          <w:tcPr>
            <w:tcW w:w="47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prepay debts in excess of RMB 100 million cumulatively;</w:t>
            </w:r>
          </w:p>
        </w:tc>
      </w:tr>
    </w:tbl>
    <w:tbl>
      <w:tblPr>
        <w:tblW w:w="8583" w:type="dxa"/>
        <w:jc w:val="left"/>
        <w:tblInd w:w="0" w:type="dxa"/>
        <w:tblLayout w:type="fixed"/>
        <w:tblCellMar>
          <w:top w:w="0" w:type="dxa"/>
          <w:left w:w="0" w:type="dxa"/>
          <w:bottom w:w="0" w:type="dxa"/>
          <w:right w:w="0" w:type="dxa"/>
        </w:tblCellMar>
      </w:tblPr>
      <w:tblGrid>
        <w:gridCol w:w="23"/>
        <w:gridCol w:w="245"/>
        <w:gridCol w:w="831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w:t>
            </w:r>
          </w:p>
        </w:tc>
        <w:tc>
          <w:tcPr>
            <w:tcW w:w="831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provide guarantee to other persons or create mortgage, pledge and other security rights on its property;</w:t>
            </w:r>
          </w:p>
        </w:tc>
      </w:tr>
    </w:tbl>
    <w:tbl>
      <w:tblPr>
        <w:tblW w:w="8508" w:type="dxa"/>
        <w:jc w:val="left"/>
        <w:tblInd w:w="0" w:type="dxa"/>
        <w:tblLayout w:type="fixed"/>
        <w:tblCellMar>
          <w:top w:w="0" w:type="dxa"/>
          <w:left w:w="0" w:type="dxa"/>
          <w:bottom w:w="0" w:type="dxa"/>
          <w:right w:w="0" w:type="dxa"/>
        </w:tblCellMar>
      </w:tblPr>
      <w:tblGrid>
        <w:gridCol w:w="23"/>
        <w:gridCol w:w="245"/>
        <w:gridCol w:w="824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w:t>
            </w:r>
          </w:p>
        </w:tc>
        <w:tc>
          <w:tcPr>
            <w:tcW w:w="824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release debts owed by others exceeding RMB 50 million in the aggregate or waive any right of claim;</w:t>
            </w:r>
          </w:p>
        </w:tc>
      </w:tr>
    </w:tbl>
    <w:tbl>
      <w:tblPr>
        <w:tblW w:w="8913" w:type="dxa"/>
        <w:jc w:val="left"/>
        <w:tblInd w:w="0" w:type="dxa"/>
        <w:tblLayout w:type="fixed"/>
        <w:tblCellMar>
          <w:top w:w="0" w:type="dxa"/>
          <w:left w:w="0" w:type="dxa"/>
          <w:bottom w:w="0" w:type="dxa"/>
          <w:right w:w="0" w:type="dxa"/>
        </w:tblCellMar>
      </w:tblPr>
      <w:tblGrid>
        <w:gridCol w:w="23"/>
        <w:gridCol w:w="245"/>
        <w:gridCol w:w="864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(4)</w:t>
            </w:r>
          </w:p>
        </w:tc>
        <w:tc>
          <w:tcPr>
            <w:tcW w:w="864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amend any existing material agreement or contract, which is obviously detrimental to the Group Members;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0"/>
        <w:gridCol w:w="9962"/>
      </w:tblGrid>
      <w:tr>
        <w:trPr/>
        <w:tc>
          <w:tcPr>
            <w:tcW w:w="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(5)</w:t>
            </w:r>
          </w:p>
        </w:tc>
        <w:tc>
          <w:tcPr>
            <w:tcW w:w="996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appoint or dismiss directors, the general manager, the deputy general managers, the finance controller and other officers of the Target Company or make substantial amendment to their labor contracts;</w:t>
            </w:r>
          </w:p>
        </w:tc>
      </w:tr>
    </w:tbl>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w:t>
            </w:r>
          </w:p>
        </w:tc>
        <w:tc>
          <w:tcPr>
            <w:tcW w:w="9958"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incur any loss, or have any change in its relationship with suppliers, clients or employees, which will have Material Adverse Effect on the Target Company or other Group Members;</w:t>
            </w:r>
          </w:p>
        </w:tc>
      </w:tr>
    </w:tbl>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(7)</w:t>
            </w:r>
          </w:p>
        </w:tc>
        <w:tc>
          <w:tcPr>
            <w:tcW w:w="9961"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modify the accounting methods, policies or principles and financial accounting rules and systems of the Target Company, except for the modification required by applicable accounting standards;</w:t>
            </w:r>
          </w:p>
        </w:tc>
      </w:tr>
    </w:tbl>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(8)</w:t>
            </w:r>
          </w:p>
        </w:tc>
        <w:tc>
          <w:tcPr>
            <w:tcW w:w="9961"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transfer or exclusive license other persons to use the intellectual properties of the Target Company other than in the ordinary course of business of the Target Company and other Group Members;</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(9)</w:t>
            </w:r>
          </w:p>
        </w:tc>
        <w:tc>
          <w:tcPr>
            <w:tcW w:w="994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experience material change in any sales practice or accounting methods of sales, or material change in employees’ policies, rules or regulations;</w:t>
            </w:r>
          </w:p>
        </w:tc>
      </w:tr>
    </w:tbl>
    <w:tbl>
      <w:tblPr>
        <w:tblW w:w="10205" w:type="dxa"/>
        <w:jc w:val="left"/>
        <w:tblInd w:w="0" w:type="dxa"/>
        <w:tblLayout w:type="fixed"/>
        <w:tblCellMar>
          <w:top w:w="0" w:type="dxa"/>
          <w:left w:w="0" w:type="dxa"/>
          <w:bottom w:w="0" w:type="dxa"/>
          <w:right w:w="0" w:type="dxa"/>
        </w:tblCellMar>
      </w:tblPr>
      <w:tblGrid>
        <w:gridCol w:w="23"/>
        <w:gridCol w:w="315"/>
        <w:gridCol w:w="9867"/>
      </w:tblGrid>
      <w:tr>
        <w:trPr/>
        <w:tc>
          <w:tcPr>
            <w:tcW w:w="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(10)</w:t>
            </w:r>
          </w:p>
        </w:tc>
        <w:tc>
          <w:tcPr>
            <w:tcW w:w="986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experience material adverse change in the financial condition of the Target Company or any other Core Group Members, or any transaction or behavior outside the Main Businesses which has Material Adverse Effect on the Target Company or other Core Group Members;</w:t>
            </w:r>
          </w:p>
        </w:tc>
      </w:tr>
    </w:tbl>
    <w:tbl>
      <w:tblPr>
        <w:tblW w:w="10205" w:type="dxa"/>
        <w:jc w:val="left"/>
        <w:tblInd w:w="0" w:type="dxa"/>
        <w:tblLayout w:type="fixed"/>
        <w:tblCellMar>
          <w:top w:w="0" w:type="dxa"/>
          <w:left w:w="0" w:type="dxa"/>
          <w:bottom w:w="0" w:type="dxa"/>
          <w:right w:w="0" w:type="dxa"/>
        </w:tblCellMar>
      </w:tblPr>
      <w:tblGrid>
        <w:gridCol w:w="23"/>
        <w:gridCol w:w="320"/>
        <w:gridCol w:w="9862"/>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(11)</w:t>
            </w:r>
          </w:p>
        </w:tc>
        <w:tc>
          <w:tcPr>
            <w:tcW w:w="986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adopt any resolutions of shareholders’ meeting or board of directors other than in connection with the operation of its Main Businesses, except for those adopted for the performance of matters agreed by the Investor hereunder;</w:t>
            </w:r>
          </w:p>
        </w:tc>
      </w:tr>
    </w:tbl>
    <w:tbl>
      <w:tblPr>
        <w:tblW w:w="9648" w:type="dxa"/>
        <w:jc w:val="left"/>
        <w:tblInd w:w="0" w:type="dxa"/>
        <w:tblLayout w:type="fixed"/>
        <w:tblCellMar>
          <w:top w:w="0" w:type="dxa"/>
          <w:left w:w="0" w:type="dxa"/>
          <w:bottom w:w="0" w:type="dxa"/>
          <w:right w:w="0" w:type="dxa"/>
        </w:tblCellMar>
      </w:tblPr>
      <w:tblGrid>
        <w:gridCol w:w="23"/>
        <w:gridCol w:w="350"/>
        <w:gridCol w:w="9275"/>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(12)</w:t>
            </w:r>
          </w:p>
        </w:tc>
        <w:tc>
          <w:tcPr>
            <w:tcW w:w="9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declare, pay or plan to declare or plan to pay any dividend, bonus or other form of distribution to the shareholders;</w:t>
            </w:r>
          </w:p>
        </w:tc>
      </w:tr>
    </w:tbl>
    <w:tbl>
      <w:tblPr>
        <w:tblW w:w="10205" w:type="dxa"/>
        <w:jc w:val="left"/>
        <w:tblInd w:w="0" w:type="dxa"/>
        <w:tblLayout w:type="fixed"/>
        <w:tblCellMar>
          <w:top w:w="0" w:type="dxa"/>
          <w:left w:w="0" w:type="dxa"/>
          <w:bottom w:w="0" w:type="dxa"/>
          <w:right w:w="0" w:type="dxa"/>
        </w:tblCellMar>
      </w:tblPr>
      <w:tblGrid>
        <w:gridCol w:w="23"/>
        <w:gridCol w:w="300"/>
        <w:gridCol w:w="9882"/>
      </w:tblGrid>
      <w:tr>
        <w:trPr/>
        <w:tc>
          <w:tcPr>
            <w:tcW w:w="2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(13)</w:t>
            </w:r>
          </w:p>
        </w:tc>
        <w:tc>
          <w:tcPr>
            <w:tcW w:w="988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 sale, mortgage, pledge, lease, transfer and other disposal of assets exceeding RMB 100 million in aggregate outside the course of Main Businesses, except for the bank loan or corresponding provisions of guarantee as approved by the board of directors  of the Company; (ii) dispose of any fixed assets with an original value exceeding RMB 100 million or agree to the disposal or acquisition of any fixed assets with an original value exceeding RMB 100 million, waive its control over the assets of any Target Company or other member of the Group with the original value exceeding RMB 100 million in aggregate,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90"/>
        <w:ind w:left="2155" w:right="0" w:hanging="0"/>
        <w:jc w:val="both"/>
        <w:rPr>
          <w:rFonts w:ascii="Times New Roman;Times;serif" w:hAnsi="Times New Roman;Times;serif"/>
          <w:sz w:val="20"/>
        </w:rPr>
      </w:pPr>
      <w:r>
        <w:rPr>
          <w:rFonts w:ascii="Times New Roman;Times;serif" w:hAnsi="Times New Roman;Times;serif"/>
          <w:sz w:val="20"/>
        </w:rPr>
        <w:t>and entry into any contract resulting in the expenditure of fixed assets where the original value of such fixed assets exceeding RMB 300 million in aggregate; or (iii) any expenditure or purchase of any tangible or intangible assets (including equity or equity investment in any person) exceeding RMB 300 million in aggregate;</w:t>
      </w:r>
    </w:p>
    <w:tbl>
      <w:tblPr>
        <w:tblW w:w="10205" w:type="dxa"/>
        <w:jc w:val="left"/>
        <w:tblInd w:w="0" w:type="dxa"/>
        <w:tblLayout w:type="fixed"/>
        <w:tblCellMar>
          <w:top w:w="0" w:type="dxa"/>
          <w:left w:w="0" w:type="dxa"/>
          <w:bottom w:w="0" w:type="dxa"/>
          <w:right w:w="0" w:type="dxa"/>
        </w:tblCellMar>
      </w:tblPr>
      <w:tblGrid>
        <w:gridCol w:w="23"/>
        <w:gridCol w:w="344"/>
        <w:gridCol w:w="9838"/>
      </w:tblGrid>
      <w:tr>
        <w:trPr/>
        <w:tc>
          <w:tcPr>
            <w:tcW w:w="2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(14)</w:t>
            </w:r>
          </w:p>
        </w:tc>
        <w:tc>
          <w:tcPr>
            <w:tcW w:w="9838"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demerger, merger with or acquisition of a third party’s equity interest, assets or business other than in the ordinary course of business;</w:t>
            </w:r>
          </w:p>
        </w:tc>
      </w:tr>
    </w:tbl>
    <w:tbl>
      <w:tblPr>
        <w:tblW w:w="10205" w:type="dxa"/>
        <w:jc w:val="left"/>
        <w:tblInd w:w="0" w:type="dxa"/>
        <w:tblLayout w:type="fixed"/>
        <w:tblCellMar>
          <w:top w:w="0" w:type="dxa"/>
          <w:left w:w="0" w:type="dxa"/>
          <w:bottom w:w="0" w:type="dxa"/>
          <w:right w:w="0" w:type="dxa"/>
        </w:tblCellMar>
      </w:tblPr>
      <w:tblGrid>
        <w:gridCol w:w="23"/>
        <w:gridCol w:w="346"/>
        <w:gridCol w:w="9836"/>
      </w:tblGrid>
      <w:tr>
        <w:trPr/>
        <w:tc>
          <w:tcPr>
            <w:tcW w:w="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(15)</w:t>
            </w:r>
          </w:p>
        </w:tc>
        <w:tc>
          <w:tcPr>
            <w:tcW w:w="9836"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breach of the provisions of the statements, representations and warranties under this Agreement by way of acts or omissions; and</w:t>
            </w:r>
          </w:p>
        </w:tc>
      </w:tr>
    </w:tbl>
    <w:tbl>
      <w:tblPr>
        <w:tblW w:w="6933" w:type="dxa"/>
        <w:jc w:val="left"/>
        <w:tblInd w:w="0" w:type="dxa"/>
        <w:tblLayout w:type="fixed"/>
        <w:tblCellMar>
          <w:top w:w="0" w:type="dxa"/>
          <w:left w:w="0" w:type="dxa"/>
          <w:bottom w:w="0" w:type="dxa"/>
          <w:right w:w="0" w:type="dxa"/>
        </w:tblCellMar>
      </w:tblPr>
      <w:tblGrid>
        <w:gridCol w:w="23"/>
        <w:gridCol w:w="350"/>
        <w:gridCol w:w="6560"/>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(16)</w:t>
            </w:r>
          </w:p>
        </w:tc>
        <w:tc>
          <w:tcPr>
            <w:tcW w:w="656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any act or omission that may result in the occurrence of the above circumstances.</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6.1.9</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Taxes</w:t>
            </w:r>
            <w:r>
              <w:rPr>
                <w:rFonts w:ascii="Times New Roman;Times;serif" w:hAnsi="Times New Roman;Times;serif"/>
                <w:sz w:val="20"/>
              </w:rPr>
              <w:t>. (i) The Target Company and other Group Members declare and pay taxes in accordance with the PRC tax laws and regulations and the requirements of the competent taxation authorities; (ii) the Target Company and other Group Members have assumed the tax obligations or burdens that they should have assumed or accrued prior to the Execution Date hereof in accordance with the requirements of the PRC tax laws and regulations;; (iii) there has not been any encumbrance on the equity interests and assets of the Target Company and other Group Members as a result of the failure to complete any tax matters; (iv) to the knowledge of the Target Company and the NIO Parties, there is no pending or potential Tax dispute, nor have any matters found which may give rise to Tax investigation or Tax dispute with any Governmental Authority prior to the date hereof; and (v) the completion of this Transaction hereunder will not have any material adverse effect on any Tax preference currently enjoyed by the Target Company and other Group Members at the date hereof. None of the Target Company and other Group Members has entered into or got involved in, or is a party to or otherwise gets involved in, any transaction, plan or arrangement in violation of applicable Laws for the purpose of avoiding or reducing Tax liabilities.</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6.1.10</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Assets</w:t>
            </w:r>
            <w:r>
              <w:rPr>
                <w:rFonts w:ascii="Times New Roman;Times;serif" w:hAnsi="Times New Roman;Times;serif"/>
                <w:sz w:val="20"/>
              </w:rPr>
              <w:t>. The Target Company and other Group Members (i) own good title to all of their owned properties and assets used in their operations of Main Business free and clear of any Encumbrance that may have a material adverse effect on the Company’s business operations, and (ii) have legitimate leasehold interest in their leased properties or assets, and their leasehold use of such properties or assets is free from defects in compliance that would have a material adverse effect on the Qualified IPO of the Target Company. The Target Company and other Group Members own or have the right to use, in material respects, all necessary properties and assets, both</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90"/>
        <w:ind w:left="1728" w:right="0" w:hanging="0"/>
        <w:jc w:val="both"/>
        <w:rPr>
          <w:rFonts w:ascii="Times New Roman;Times;serif" w:hAnsi="Times New Roman;Times;serif"/>
          <w:sz w:val="20"/>
        </w:rPr>
      </w:pPr>
      <w:r>
        <w:rPr>
          <w:rFonts w:ascii="Times New Roman;Times;serif" w:hAnsi="Times New Roman;Times;serif"/>
          <w:sz w:val="20"/>
        </w:rPr>
        <w:t>tangible and intangible, for the conduct of their current business. The property and equipment used by the Company in its operation, except for normal wear and tear, are in good operating condition and repair and satisfy and meet the current purpose of use.</w:t>
      </w:r>
    </w:p>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6.1.11</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Related Party Matters.</w:t>
            </w:r>
            <w:r>
              <w:rPr>
                <w:rFonts w:ascii="Times New Roman;Times;serif" w:hAnsi="Times New Roman;Times;serif"/>
                <w:sz w:val="20"/>
              </w:rPr>
              <w:t xml:space="preserve"> Except as already disclosed in the Company’s 2023 Annual Financial Statements and Audit Report issued by PwC on April 30, 2024, any Existing Shareholders of the Target Company and other Group Members (other than the Target Company and other Group Members), directors and Core Management Team, or to the knowledge of the Target Company and the NIO Parties, the affiliates of such persons and the Target Company or other Group Members: (i) do not have any transactions conducted or being conducted; (ii) are not indebted (other than current payables for salary and welfare benefits or receivables and payables arising from related-party transactions that have been approved by the competent parties within the Company, etc.), not committed to providing loans or security directly or indirectly, unilaterally or bilaterally; (iii) to the knowledge of the Target Company and the NIO Parties, have no material interest in or material business relationship with the Group Members or contracts entered into by the Group Members, including purchase, sale, license, authorization of use, provision of any material assets and services such as products and intellectual property of the Group Members. To the knowledge of the Target Company and the NIO Parties, none of the directors/Core Management Team of the NIO Parties, the Target Company and other Group Members, or the Affiliates of such directors/Core Management Team members hold any direct or indirect ownership interest in any company in which business that competes with the Target Company or other Group Members (other than the Target Company and other Group Members), have (except for the acquisition of less than 1% of the stocks of the listed company through the public securities market), or controls such company by loan, agreement or otherwise, or serves as a senior officer or director at any business that competes with the Target Company or other Group Members (other than the Target Company and other Group Members). Group Members have executed formal transaction documents in respect of the related-party transactions in accordance with their internal systems for related-party transactions, and the pricing of such related-party transactions is fair, and there are no circumstances that are detrimental to the interests of the Group Members or have a material adverse effect on the Qualified IPO.</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6.1.12</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Contracts.</w:t>
            </w:r>
            <w:r>
              <w:rPr>
                <w:rFonts w:ascii="Times New Roman;Times;serif" w:hAnsi="Times New Roman;Times;serif"/>
                <w:sz w:val="20"/>
              </w:rPr>
              <w:t xml:space="preserve"> The Target Company and other Core Group Members have provided the Investor with the copies of some of their material agreements or contracts currently in effect and in conformity with the originals, and the NIO Parties and the Target Company warrant that such material agreements or contracts are legal, valid and enforceable, and there is no material breach</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90"/>
        <w:ind w:left="1670" w:right="0" w:hanging="0"/>
        <w:jc w:val="both"/>
        <w:rPr>
          <w:rFonts w:ascii="Times New Roman;Times;serif" w:hAnsi="Times New Roman;Times;serif"/>
          <w:sz w:val="20"/>
        </w:rPr>
      </w:pPr>
      <w:r>
        <w:rPr>
          <w:rFonts w:ascii="Times New Roman;Times;serif" w:hAnsi="Times New Roman;Times;serif"/>
          <w:sz w:val="20"/>
        </w:rPr>
        <w:t>by the Target Company or other Core Group Members or any other Transaction Party.</w:t>
      </w:r>
    </w:p>
    <w:p>
      <w:pPr>
        <w:pStyle w:val="TextBody"/>
        <w:bidi w:val="0"/>
        <w:spacing w:before="0" w:after="190"/>
        <w:ind w:left="1674" w:right="0" w:hanging="0"/>
        <w:jc w:val="both"/>
        <w:rPr>
          <w:rFonts w:ascii="Times New Roman;Times;serif" w:hAnsi="Times New Roman;Times;serif"/>
          <w:sz w:val="20"/>
        </w:rPr>
      </w:pPr>
      <w:r>
        <w:rPr>
          <w:rFonts w:ascii="Times New Roman;Times;serif" w:hAnsi="Times New Roman;Times;serif"/>
          <w:sz w:val="20"/>
        </w:rPr>
        <w:t>Neither the Target Company nor any other Group Member is a party to or bound by any of the following contracts, agreements or documents:</w:t>
      </w:r>
    </w:p>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w:t>
            </w:r>
          </w:p>
        </w:tc>
        <w:tc>
          <w:tcPr>
            <w:tcW w:w="9943"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contracts, agreements or documents in an amount exceeding RMB 100 million that are not formed in the ordinary course of business;</w:t>
            </w:r>
          </w:p>
        </w:tc>
      </w:tr>
    </w:tbl>
    <w:tbl>
      <w:tblPr>
        <w:tblW w:w="8538" w:type="dxa"/>
        <w:jc w:val="left"/>
        <w:tblInd w:w="0" w:type="dxa"/>
        <w:tblLayout w:type="fixed"/>
        <w:tblCellMar>
          <w:top w:w="0" w:type="dxa"/>
          <w:left w:w="0" w:type="dxa"/>
          <w:bottom w:w="0" w:type="dxa"/>
          <w:right w:w="0" w:type="dxa"/>
        </w:tblCellMar>
      </w:tblPr>
      <w:tblGrid>
        <w:gridCol w:w="23"/>
        <w:gridCol w:w="245"/>
        <w:gridCol w:w="827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w:t>
            </w:r>
          </w:p>
        </w:tc>
        <w:tc>
          <w:tcPr>
            <w:tcW w:w="827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contracts, agreements or documents which are not made at arm’s length between independent persons;</w:t>
            </w:r>
          </w:p>
        </w:tc>
      </w:tr>
    </w:tbl>
    <w:tbl>
      <w:tblPr>
        <w:tblW w:w="10083" w:type="dxa"/>
        <w:jc w:val="left"/>
        <w:tblInd w:w="0" w:type="dxa"/>
        <w:tblLayout w:type="fixed"/>
        <w:tblCellMar>
          <w:top w:w="0" w:type="dxa"/>
          <w:left w:w="0" w:type="dxa"/>
          <w:bottom w:w="0" w:type="dxa"/>
          <w:right w:w="0" w:type="dxa"/>
        </w:tblCellMar>
      </w:tblPr>
      <w:tblGrid>
        <w:gridCol w:w="23"/>
        <w:gridCol w:w="245"/>
        <w:gridCol w:w="981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w:t>
            </w:r>
          </w:p>
        </w:tc>
        <w:tc>
          <w:tcPr>
            <w:tcW w:w="981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contracts, agreements or documents detrimental to the material interests of the Target Company or other Group Members;</w:t>
            </w:r>
          </w:p>
        </w:tc>
      </w:tr>
    </w:tbl>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(4)</w:t>
            </w:r>
          </w:p>
        </w:tc>
        <w:tc>
          <w:tcPr>
            <w:tcW w:w="9964"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contracts, agreements or documents restricting the Target Company or other Group Members from engaging in the Main Businesses operation and with a material adverse effect on the conduct of its Main Business;</w:t>
            </w:r>
          </w:p>
        </w:tc>
      </w:tr>
    </w:tbl>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(5)</w:t>
            </w:r>
          </w:p>
        </w:tc>
        <w:tc>
          <w:tcPr>
            <w:tcW w:w="996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contracts, agreements or documents involving an amount greater than RMB 300 million that is payable but not yet paid and not in the ordinary course of the operations of Main Business; or</w:t>
            </w:r>
          </w:p>
        </w:tc>
      </w:tr>
    </w:tbl>
    <w:tbl>
      <w:tblPr>
        <w:tblW w:w="10205" w:type="dxa"/>
        <w:jc w:val="left"/>
        <w:tblInd w:w="0" w:type="dxa"/>
        <w:tblLayout w:type="fixed"/>
        <w:tblCellMar>
          <w:top w:w="0" w:type="dxa"/>
          <w:left w:w="0" w:type="dxa"/>
          <w:bottom w:w="0" w:type="dxa"/>
          <w:right w:w="0" w:type="dxa"/>
        </w:tblCellMar>
      </w:tblPr>
      <w:tblGrid>
        <w:gridCol w:w="23"/>
        <w:gridCol w:w="223"/>
        <w:gridCol w:w="9959"/>
      </w:tblGrid>
      <w:tr>
        <w:trPr/>
        <w:tc>
          <w:tcPr>
            <w:tcW w:w="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w:t>
            </w:r>
          </w:p>
        </w:tc>
        <w:tc>
          <w:tcPr>
            <w:tcW w:w="9959"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contracts, agreements or documents which have material adverse effect on this Transaction or will be materially affected by this Transaction and have not been disclosed to the Investors.</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6.1.13</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Intellectual Property</w:t>
            </w:r>
            <w:r>
              <w:rPr>
                <w:rFonts w:ascii="Times New Roman;Times;serif" w:hAnsi="Times New Roman;Times;serif"/>
                <w:sz w:val="20"/>
              </w:rPr>
              <w:t>. The Target Company and other Group Members own all legal ownership or use rights of intellectual properties necessary for the conduct of Main Business in material respects, (including without limitation patents, trademarks, copyrights, know-how, domain names and trade secrets). Such intellectual properties are valid and enforceable in accordance with law. To the reasonable knowledge of the Target Company and the NIO Parties, there is no issue that may lead to the invalidity or unenforceability of aforesaid intellectual property. To the knowledge of the Target Company and the NIO Parties, save as disclosed in the Disclosure Letter and as announced by Nio Inc., the Target Company and the other Group Members have not licensed or permitted any third party to use any Intellectual Property Rights in which the Target Company or other Group Members have any right, title or interest, resulting in a material adverse effect on any of the Group Members; to the reasonable knowledge of the Target Company and the NIO Parties, except for the pending litigation and outstanding disputes as disclosed in Exhibit 4 hereto, neither the Target Company nor other Group Members have infringed upon others’ intellectual</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90"/>
        <w:ind w:left="1670" w:right="0" w:hanging="0"/>
        <w:jc w:val="both"/>
        <w:rPr>
          <w:rFonts w:ascii="Times New Roman;Times;serif" w:hAnsi="Times New Roman;Times;serif"/>
          <w:sz w:val="20"/>
        </w:rPr>
      </w:pPr>
      <w:r>
        <w:rPr>
          <w:rFonts w:ascii="Times New Roman;Times;serif" w:hAnsi="Times New Roman;Times;serif"/>
          <w:sz w:val="20"/>
        </w:rPr>
        <w:t>property, trade secrets, proprietary information or other similar rights, and there is no pending or foreseeable claim, dispute or litigation proceedings requiring the Target Company or other Group Members to make a claim for any infringement upon any third party’s intellectual property, trade secrets, proprietary information or other similar rights. To the knowledge of the Target Company and the NIO Parties, there is no infringement by any third party of the intellectual property lawfully owned by the Target Company or other Group Members. The patents, trademarks, software copyrights and domain names owned by the Target Company and the Group Members have been duly registered in accordance with law and are in valid status (except when still in the process of registration or enrolment) or proper and effective protection measures have been taken.</w:t>
      </w:r>
    </w:p>
    <w:p>
      <w:pPr>
        <w:pStyle w:val="TextBody"/>
        <w:bidi w:val="0"/>
        <w:spacing w:before="0" w:after="190"/>
        <w:ind w:left="1670" w:right="0" w:hanging="0"/>
        <w:jc w:val="both"/>
        <w:rPr>
          <w:rFonts w:ascii="Times New Roman;Times;serif" w:hAnsi="Times New Roman;Times;serif"/>
          <w:sz w:val="20"/>
        </w:rPr>
      </w:pPr>
      <w:r>
        <w:rPr>
          <w:rFonts w:ascii="Times New Roman;Times;serif" w:hAnsi="Times New Roman;Times;serif"/>
          <w:sz w:val="20"/>
        </w:rPr>
        <w:t>Except for the patents set forth in Exhibit 3, the NIO Parties or its Affiliates does not hold any other intellectual property (including without limitation patent, trademark, copyright, non-patented technology, and domain name) in relation to Group Members’ Main Business. To the knowledge of the Target Company and the NIO Parties, such key employees have not violated any confidentiality obligations entered into with their former employers, and will not constitute infringement upon the legitimate rights of their former employers or other intellectual property rights holders.</w:t>
      </w:r>
    </w:p>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6.1.14</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Construction Projects</w:t>
            </w:r>
            <w:r>
              <w:rPr>
                <w:rFonts w:ascii="Times New Roman;Times;serif" w:hAnsi="Times New Roman;Times;serif"/>
                <w:sz w:val="20"/>
              </w:rPr>
              <w:t>. The construction projects of the Group members (including but not limited to the construction of plants and production lines) have all gone through the relevant formalities (including but not limited to project establishment, land use planning, construction planning, energy-saving evaluation, construction permits, environmental impact evaluation, safety evaluation and acceptance) in accordance with the provisions of the applicable laws and regulations and the progress of the construction of the projects in material respects. There is no circumstance that constitutes a material adverse effect on the Target Company or other Group Members in breach of the laws and regulations or the relevant agreements.</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6.1.15</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Battery Charge and Swap Stations</w:t>
            </w:r>
            <w:r>
              <w:rPr>
                <w:rFonts w:ascii="Times New Roman;Times;serif" w:hAnsi="Times New Roman;Times;serif"/>
                <w:sz w:val="20"/>
              </w:rPr>
              <w:t>. The construction, installation and operation of battery charge and swap Stations of Group Members shall not violate any laws or regulations that may have a material adverse effect on the Target Company or other Group Members.</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6.1.16</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Environment, Health and Safety</w:t>
            </w:r>
            <w:r>
              <w:rPr>
                <w:rFonts w:ascii="Times New Roman;Times;serif" w:hAnsi="Times New Roman;Times;serif"/>
                <w:sz w:val="20"/>
              </w:rPr>
              <w:t>. Since the establishment of the Target Company and other Group Members, they have complied with all applicable Laws of the PRC concerning environmental protection, health and safety in connection with their business operations in material respects., and there has been no breach of such Laws of the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90"/>
        <w:ind w:left="1670" w:right="0" w:hanging="0"/>
        <w:jc w:val="both"/>
        <w:rPr>
          <w:rFonts w:ascii="Times New Roman;Times;serif" w:hAnsi="Times New Roman;Times;serif"/>
          <w:sz w:val="20"/>
        </w:rPr>
      </w:pPr>
      <w:r>
        <w:rPr>
          <w:rFonts w:ascii="Times New Roman;Times;serif" w:hAnsi="Times New Roman;Times;serif"/>
          <w:sz w:val="20"/>
        </w:rPr>
        <w:t>PRC that would have a material adverse effect on the Target Company or other Group Members.</w:t>
      </w:r>
    </w:p>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6.1.17</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Litigation and Other Legal Proceedings</w:t>
            </w:r>
            <w:r>
              <w:rPr>
                <w:rFonts w:ascii="Times New Roman;Times;serif" w:hAnsi="Times New Roman;Times;serif"/>
                <w:sz w:val="20"/>
              </w:rPr>
              <w:t>. To the knowledge of the Target Company and the NIO Parties, there is no litigation, arbitration, mediation, investigation, inquiry and other legal or administrative proceedings which may have a Material Adverse Effect on the Target Company or other Group Members or materially and adversely affect the formation, validity and enforceability of the Transaction Documents and the transactions thereunder, whether completed, pending or foreseeable to occur.</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6.1.18</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Obey the Laws</w:t>
            </w:r>
            <w:r>
              <w:rPr>
                <w:rFonts w:ascii="Times New Roman;Times;serif" w:hAnsi="Times New Roman;Times;serif"/>
                <w:sz w:val="20"/>
              </w:rPr>
              <w:t>. The activities of the Target Company and other Group Members have at all times complied with the valid Laws of the PRC and the requirements of relevant governmental Authorities in material respects, and do not violate any Laws of the PRC so as to constitute material adverse effect on the Target Company or other Group Members.</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6.1.19</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Non-competition Restrictions</w:t>
            </w:r>
            <w:r>
              <w:rPr>
                <w:rFonts w:ascii="Times New Roman;Times;serif" w:hAnsi="Times New Roman;Times;serif"/>
                <w:sz w:val="20"/>
              </w:rPr>
              <w:t>. Any operation activities of the Target Company and other Group Members within the business scope are not subject to any non-competition restrictions of any nature or with respect to any entities. To the knowledge of the Target Company and the NIO Parties, there is no agreement, judgment, injunction, order or decree which would reasonably be expected to restrict or materially and adversely affect the current or future business activities of the Target Company or other Group Members or the conduct of current or proposed business in any material respect.</w:t>
            </w:r>
          </w:p>
        </w:tc>
      </w:tr>
    </w:tbl>
    <w:tbl>
      <w:tblPr>
        <w:tblW w:w="1518" w:type="dxa"/>
        <w:jc w:val="left"/>
        <w:tblInd w:w="0" w:type="dxa"/>
        <w:tblLayout w:type="fixed"/>
        <w:tblCellMar>
          <w:top w:w="0" w:type="dxa"/>
          <w:left w:w="0" w:type="dxa"/>
          <w:bottom w:w="0" w:type="dxa"/>
          <w:right w:w="0" w:type="dxa"/>
        </w:tblCellMar>
      </w:tblPr>
      <w:tblGrid>
        <w:gridCol w:w="23"/>
        <w:gridCol w:w="530"/>
        <w:gridCol w:w="965"/>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6.1.20</w:t>
            </w:r>
          </w:p>
        </w:tc>
        <w:tc>
          <w:tcPr>
            <w:tcW w:w="96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Employees</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w:t>
            </w:r>
          </w:p>
        </w:tc>
        <w:tc>
          <w:tcPr>
            <w:tcW w:w="9986"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To the knowledge of the Target Company and the NIO Parties, there is no pending or, to the knowledge or expected to the knowledge of the Target Company or other Group Members, potential labor dispute or controversy between the Target Company or other Group Members and its Core Management Team, current or former officers; and to the knowledge or expected to the knowledge of the Target Company or other Group Members, there is no potential labor dispute or controversy between any of its Core Management Team, key technical personnel and other officers and any other business;</w:t>
            </w:r>
          </w:p>
        </w:tc>
      </w:tr>
    </w:tbl>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w:t>
            </w:r>
          </w:p>
        </w:tc>
        <w:tc>
          <w:tcPr>
            <w:tcW w:w="9979"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Target Company and other Group Members shall have entered into proper intellectual property ownership agreements, confidentiality agreements and non-competition agreements with the Core Management Team; to the knowledge of the Target Company and NIO Parties, the Target Company’s Core Management Team, key technicians and other senior executives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90"/>
        <w:ind w:left="2155" w:right="0" w:hanging="0"/>
        <w:jc w:val="both"/>
        <w:rPr>
          <w:rFonts w:ascii="Times New Roman;Times;serif" w:hAnsi="Times New Roman;Times;serif"/>
          <w:sz w:val="20"/>
        </w:rPr>
      </w:pPr>
      <w:r>
        <w:rPr>
          <w:rFonts w:ascii="Times New Roman;Times;serif" w:hAnsi="Times New Roman;Times;serif"/>
          <w:sz w:val="20"/>
        </w:rPr>
        <w:t>are also not engaged in non-compete behavior with third party companies;</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w:t>
            </w:r>
          </w:p>
        </w:tc>
        <w:tc>
          <w:tcPr>
            <w:tcW w:w="9973"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None of the Target Company and other Group Members has any outstanding payable economic compensation for termination of employment or other similar indemnification or compensation with respect to employment, in an aggregate amount exceeding RMB 10 million;</w:t>
            </w:r>
          </w:p>
        </w:tc>
      </w:tr>
    </w:tbl>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(4)</w:t>
            </w:r>
          </w:p>
        </w:tc>
        <w:tc>
          <w:tcPr>
            <w:tcW w:w="9991"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Target Company and other Group Members have  paid and/or withheld pension, housing, medical care, unemployment and all other social insurance or employee benefits payable in accordance with the relevant PRC laws and all relevant laws in material respects, agreements and covenants of the PRC in accordance with the relevant PRC laws, and to the knowledge of the Target Company and the NIO Parties, there is no pending or, to the knowledge of the Target Company and the Group Members, threatened dispute with respect to such social insurance or employee benefits; other than employee benefits, social and pension security, housing fund and economic compensation for termination of labor contracts as required by the laws of the PRC, the Target Company and other Group Members have not provided or undertaken to provide to individual employees special benefits, other than those provided for according to the Company’s rules and regulations;</w:t>
            </w:r>
          </w:p>
        </w:tc>
      </w:tr>
    </w:tbl>
    <w:tbl>
      <w:tblPr>
        <w:tblW w:w="10205" w:type="dxa"/>
        <w:jc w:val="left"/>
        <w:tblInd w:w="0" w:type="dxa"/>
        <w:tblLayout w:type="fixed"/>
        <w:tblCellMar>
          <w:top w:w="0" w:type="dxa"/>
          <w:left w:w="0" w:type="dxa"/>
          <w:bottom w:w="0" w:type="dxa"/>
          <w:right w:w="0" w:type="dxa"/>
        </w:tblCellMar>
      </w:tblPr>
      <w:tblGrid>
        <w:gridCol w:w="23"/>
        <w:gridCol w:w="217"/>
        <w:gridCol w:w="9965"/>
      </w:tblGrid>
      <w:tr>
        <w:trPr/>
        <w:tc>
          <w:tcPr>
            <w:tcW w:w="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(5)</w:t>
            </w:r>
          </w:p>
        </w:tc>
        <w:tc>
          <w:tcPr>
            <w:tcW w:w="996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There is no agreement, covenant or contract restricting the Core Management Team and key technical personnel of the Target Company and other Group Members to operate, manage or engage in Main Businesses.</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w:t>
            </w:r>
          </w:p>
        </w:tc>
        <w:tc>
          <w:tcPr>
            <w:tcW w:w="999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directors, supervisors, senior management and core personnel of the Target Company have complied with the qualification requirements of the applicable laws and regulations (except for those appointed by the Investors) and there is no circumstance restricting them from acting as legal representatives, directors, supervisors or senior management. The Directors, Supervisors, senior management or core personnel do not have any of the following circumstances within the past three (3) years (except for those appointed by the Investors): (i) having been adjudicated guilty or under criminal or administrative investigation procedures; (ii) having been adjudicated by a court of competent jurisdiction or relevant competent authority to have violated the laws and regulations relating to economic laws such as the company law, the securities law, the anti-monopoly law or the anti-unfair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90"/>
        <w:ind w:left="2155" w:right="0" w:hanging="0"/>
        <w:jc w:val="both"/>
        <w:rPr>
          <w:rFonts w:ascii="Times New Roman;Times;serif" w:hAnsi="Times New Roman;Times;serif"/>
          <w:sz w:val="20"/>
        </w:rPr>
      </w:pPr>
      <w:r>
        <w:rPr>
          <w:rFonts w:ascii="Times New Roman;Times;serif" w:hAnsi="Times New Roman;Times;serif"/>
          <w:sz w:val="20"/>
        </w:rPr>
        <w:t>competition law; (iii) having other violations of laws and regulations that have a material adverse impact on his/her position in the Target Company or have a material adverse impact on the Target Company’s operations and development.</w:t>
      </w:r>
    </w:p>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6.1.21</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Insurance</w:t>
            </w:r>
            <w:r>
              <w:rPr>
                <w:rFonts w:ascii="Times New Roman;Times;serif" w:hAnsi="Times New Roman;Times;serif"/>
                <w:sz w:val="20"/>
              </w:rPr>
              <w:t>. The Target Company and other Group Members have purchased insurance consistent with general commercial practices in connection with their daily business operations in accordance with their business operations needs; to the knowledge of the Target Company and NIO Parties, none of the Target Company and other Group Members has taken action which may result in the invalidity of such insurance policies or increase of premium rates or would have a material adverse effect on the Group Members, nor is there any pending claim against such insurance policies which would have a material adverse effect on the Group Members,.</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6.1.22</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Anti-Corruption and Anti-Commercial Bribery</w:t>
            </w:r>
            <w:r>
              <w:rPr>
                <w:rFonts w:ascii="Times New Roman;Times;serif" w:hAnsi="Times New Roman;Times;serif"/>
                <w:sz w:val="20"/>
              </w:rPr>
              <w:t>. Except as has been disclosed to the Investor in writing, the Target Company and other Group Members have not engaged in any conduct that violates the legislations on corruption and bribery under the relevant Anti-Bribery Laws (as defined below), and have not received any allegation from a competent authority of competent jurisdiction that (i) the Target Company or the other Group Members; (ii) any employee, officer, director, shareholder of the Target Company or other Group Members; or (iii) any other person who is lawfully authorized to act on behalf of the Target Company or other Group Members, for a breach or threatened breach of any anti-corruption and anti-bribery laws that results in the Target Company or other Group Members incurring, or being likely to incur, any material liability under the anti-corruption and anti-bribery laws.</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6.1.23</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Data Compliance</w:t>
            </w:r>
            <w:r>
              <w:rPr>
                <w:rFonts w:ascii="Times New Roman;Times;serif" w:hAnsi="Times New Roman;Times;serif"/>
                <w:sz w:val="20"/>
              </w:rPr>
              <w:t>. The Target Company and other Group Members comply with applicable regulatory requirements for the protection of personal data in material respects and have taken measures in their business operations to enable the Target Company and other Group Members to comply with the principles and requirements set out in the applicable laws with respect to the collection, processing, use, sharing and external provision of personal data. To the knowledge of the Target Company and the NIO Parties, there is no leakage of personal data, use of personal data beyond the scope of use or authorization, to the extent that it would have a material adverse effect on the Target Company or other Group members.</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6.1.24</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Provision of Information</w:t>
            </w:r>
            <w:r>
              <w:rPr>
                <w:rFonts w:ascii="Times New Roman;Times;serif" w:hAnsi="Times New Roman;Times;serif"/>
                <w:sz w:val="20"/>
              </w:rPr>
              <w:t>. Prior to the Execution Date hereof, the Target Company and other Core Group Members have provided the Investors or the intermediaries engaged by the Investors with the originals or copies (in the case of copies, such copies are true copies) of all the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90"/>
        <w:ind w:left="1800" w:right="0" w:hanging="0"/>
        <w:jc w:val="both"/>
        <w:rPr>
          <w:rFonts w:ascii="Times New Roman;Times;serif" w:hAnsi="Times New Roman;Times;serif"/>
          <w:sz w:val="20"/>
        </w:rPr>
      </w:pPr>
      <w:r>
        <w:rPr>
          <w:rFonts w:ascii="Times New Roman;Times;serif" w:hAnsi="Times New Roman;Times;serif"/>
          <w:sz w:val="20"/>
        </w:rPr>
        <w:t>material documents (“</w:t>
      </w:r>
      <w:r>
        <w:rPr>
          <w:rFonts w:ascii="Times New Roman;Times;serif" w:hAnsi="Times New Roman;Times;serif"/>
          <w:b/>
          <w:sz w:val="20"/>
        </w:rPr>
        <w:t>Due Diligence Documents</w:t>
      </w:r>
      <w:r>
        <w:rPr>
          <w:rFonts w:ascii="Times New Roman;Times;serif" w:hAnsi="Times New Roman;Times;serif"/>
          <w:sz w:val="20"/>
        </w:rPr>
        <w:t>”) (such as documents, agreements, certificates, instruments, permits and other written statements and reports) relating to the Core Group Members and their Affiliates as required by the Investors or the intermediaries engaged by the Investors for its legal, financial or commercial due diligence on the Core Group Members and their Affiliates to carry out the Transaction. The Due Diligence Documents are true, accurate and complete, and there is no material omission or misleading or false representation, information or material which could be reasonably expected to materially affect the decision made by the Investors on whether to proceed with the Transaction in accordance with this Agreement.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6.2</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Representations and Warranties of the Investors. The Investors hereby severally but not jointly make the following representations, representations and warranties to the Target Company and the NIO Parties and ensures that each of the following representations, representations and warranties shall be true, complete and accurate as of the Execution Date hereof:</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6.2.1</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Organization and Permissions</w:t>
            </w:r>
            <w:r>
              <w:rPr>
                <w:rFonts w:ascii="Times New Roman;Times;serif" w:hAnsi="Times New Roman;Times;serif"/>
                <w:sz w:val="20"/>
              </w:rPr>
              <w:t>. It is a company or limited partnership duly organized, validly existing and in good standing under the Laws of the jurisdiction of its incorporation and has all necessary power and authority to enter into this Agreement and the Transaction Documents to which it is a party, perform its obligations hereunder and thereunder and consummate the transactions contemplated hereby and thereby. Its execution and delivery of this Agreement and the Transaction Documents to which it is a party, performance of its obligations hereunder and thereunder and consummation of the transactions contemplated hereby and thereby have been duly authorized by all requisite corporate actions for it  (if applicable), and it has obtained all approval, filing and appraisal procedures (including, without limitation, appraisal, examination, approval and filing in connection with state-owned investment) as required by the Laws and regulations of the PRC. This Agreement has been, and other Transaction Agreements to which it is a party will be, duly executed and delivered by it, and, assuming due authorization, execution and delivery by the other Parties, this Agreement constitutes, and other Transaction Agreements to which it is a party will upon its execution constitute, its legal, valid and binding obligations, enforceable against it in accordance with the terms hereof and thereof, unless otherwise provided in this Agreement.</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6.2.2</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No Conflicts</w:t>
            </w:r>
            <w:r>
              <w:rPr>
                <w:rFonts w:ascii="Times New Roman;Times;serif" w:hAnsi="Times New Roman;Times;serif"/>
                <w:sz w:val="20"/>
              </w:rPr>
              <w:t>. Its execution, delivery and performance of this Agreement and the Transaction Documents to which it is a party do not and will not (i) violate, conflict with, or result in a default under, if applicable, its articles of association or similar constitutional documents, (ii) violate or conflict with any Law or Governmental Order applicable to it, or (iii) violate, conflict with, constitute a default under, or constitute a default under, any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90"/>
        <w:ind w:left="1670" w:right="0" w:hanging="0"/>
        <w:jc w:val="both"/>
        <w:rPr>
          <w:rFonts w:ascii="Times New Roman;Times;serif" w:hAnsi="Times New Roman;Times;serif"/>
          <w:sz w:val="20"/>
        </w:rPr>
      </w:pPr>
      <w:r>
        <w:rPr>
          <w:rFonts w:ascii="Times New Roman;Times;serif" w:hAnsi="Times New Roman;Times;serif"/>
          <w:sz w:val="20"/>
        </w:rPr>
        <w:t>document or arrangement to which it is a party, including any note, bond, mortgage, contract, agreement, lease, sublease, license, permit or franchise, which will have an adverse effect on its ability to perform its obligations under this Agreement or other Transaction Documents or consummate the transactions contemplated hereby or thereby.</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6.2.3</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No Claim</w:t>
            </w:r>
            <w:r>
              <w:rPr>
                <w:rFonts w:ascii="Times New Roman;Times;serif" w:hAnsi="Times New Roman;Times;serif"/>
                <w:sz w:val="20"/>
              </w:rPr>
              <w:t>. There is no outstanding claim by or against the Investors or its Affiliates which may affect the legality, validity or enforceability of this Agreement or any Transaction Document or the consummation of the transactions contemplated hereby or thereby.</w:t>
            </w:r>
          </w:p>
        </w:tc>
      </w:tr>
    </w:tbl>
    <w:tbl>
      <w:tblPr>
        <w:tblW w:w="7683" w:type="dxa"/>
        <w:jc w:val="left"/>
        <w:tblInd w:w="0" w:type="dxa"/>
        <w:tblLayout w:type="fixed"/>
        <w:tblCellMar>
          <w:top w:w="0" w:type="dxa"/>
          <w:left w:w="0" w:type="dxa"/>
          <w:bottom w:w="0" w:type="dxa"/>
          <w:right w:w="0" w:type="dxa"/>
        </w:tblCellMar>
      </w:tblPr>
      <w:tblGrid>
        <w:gridCol w:w="23"/>
        <w:gridCol w:w="425"/>
        <w:gridCol w:w="7235"/>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6.2.4</w:t>
            </w:r>
          </w:p>
        </w:tc>
        <w:tc>
          <w:tcPr>
            <w:tcW w:w="723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u w:val="single"/>
              </w:rPr>
              <w:t>Own funds</w:t>
            </w:r>
            <w:r>
              <w:rPr>
                <w:rFonts w:ascii="Times New Roman;Times;serif" w:hAnsi="Times New Roman;Times;serif"/>
                <w:sz w:val="20"/>
              </w:rPr>
              <w:t>.  The Investors have sufficient internal funds to pay the Capital Increase Price.</w:t>
            </w:r>
          </w:p>
        </w:tc>
      </w:tr>
    </w:tbl>
    <w:p>
      <w:pPr>
        <w:pStyle w:val="TextBody"/>
        <w:bidi w:val="0"/>
        <w:spacing w:before="0" w:after="19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INDEMNIFICATION UNDERTAKINGS</w:t>
      </w:r>
    </w:p>
    <w:tbl>
      <w:tblPr>
        <w:tblW w:w="4555" w:type="dxa"/>
        <w:jc w:val="left"/>
        <w:tblInd w:w="0" w:type="dxa"/>
        <w:tblLayout w:type="fixed"/>
        <w:tblCellMar>
          <w:top w:w="0" w:type="dxa"/>
          <w:left w:w="0" w:type="dxa"/>
          <w:bottom w:w="0" w:type="dxa"/>
          <w:right w:w="0" w:type="dxa"/>
        </w:tblCellMar>
      </w:tblPr>
      <w:tblGrid>
        <w:gridCol w:w="275"/>
        <w:gridCol w:w="428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7.1</w:t>
            </w:r>
          </w:p>
        </w:tc>
        <w:tc>
          <w:tcPr>
            <w:tcW w:w="42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Indemnity Covenant regarding Breach of Agreement</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7.1.1</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If the Investors incur any losses due to breach of any provisions of this Agreement by any one or more Parties other than the Investors or breach of any statements, warranties and representations under Article 6 hereof, the NIO Parties shall indemnify the Investors and bear joint and several liability for such indemnification. In particular, if such losses are caused expressly by the reason attributable to one or more Parties, such liabilities shall be borne by the Party or Parties causing such losses, and the other NIO Parties shall remain jointly and severally liable for such liabilities.</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7.1.2</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Subject to Article 7.1 hereof, if the Target Company or other Group Members incur any losses or their assets are impaired due to the breach of any provisions of this Agreement or the breach of any terms of the statements, representations and warranties under Article 6 hereof, the loss of the Investors shall be calculated in proportion to their then actual capital contribution to the Target Company.</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7.1.3</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Investors shall indemnify the Target Company, other Group Members or the NIO Parties against any losses incurred by the Target Company, other Group Members or the NIO Parties due to any breach of any provisions of this Agreement by the Investors or the breach of any provisions of the statements, representations and warranties under Article 6 hereof.</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7.2</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Indemnification Undertaking for Special Matters: The Parties further agree that, if the Target Company and other Group Members incur any losses, costs or expenses (“</w:t>
            </w:r>
            <w:r>
              <w:rPr>
                <w:rFonts w:ascii="Times New Roman;Times;serif" w:hAnsi="Times New Roman;Times;serif"/>
                <w:b/>
                <w:sz w:val="20"/>
              </w:rPr>
              <w:t>Special Losses</w:t>
            </w:r>
            <w:r>
              <w:rPr>
                <w:rFonts w:ascii="Times New Roman;Times;serif" w:hAnsi="Times New Roman;Times;serif"/>
                <w:sz w:val="20"/>
              </w:rPr>
              <w:t>”) due to the following matters,  and the Target Company and other Group Members have failed to disclose such matters to the Investors in the disclosure letter set forth in Exhibit 4 (unless otherwise provided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90"/>
        <w:ind w:left="567" w:right="0" w:hanging="0"/>
        <w:jc w:val="both"/>
        <w:rPr>
          <w:rFonts w:ascii="Times New Roman;Times;serif" w:hAnsi="Times New Roman;Times;serif"/>
          <w:sz w:val="20"/>
        </w:rPr>
      </w:pPr>
      <w:r>
        <w:rPr>
          <w:rFonts w:ascii="Times New Roman;Times;serif" w:hAnsi="Times New Roman;Times;serif"/>
          <w:sz w:val="20"/>
        </w:rPr>
        <w:t>in this Agreement), upon written request by the Investors,  the NIO Parties shall pay the Target Company or other Group Members an amount equal to the Special Losses in cash within ten (10) business days from the date on which the Investors give a written notice so as to restore the Target Company or other Group Members to the status as if such matters have not occurred:</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7.2.1</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Any tax compliance issues (including but not limited to tax declaration and payment issues, individual income tax withholding issues, tax preference issues and financial subsidy issues) of the Group Members prior to the Closing Date, which cause the Group Members to be ordered to pay any outstanding taxes, refund the financial subsidies, pay the overdue fines and be imposed on administrative penalty by the competent governmental departments, or cause the Group Members to incur other losses;</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7.2.2</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Any compliance issues of the social insurance and housing funds of the Group Members before the Closing Date, and the labor contract disputes or other labor disputes that may exist between the Group Members and the employees, which result in the Group Members being ordered to pay any outstanding social insurance and the housing funds, pay the overdue fines, and be fined or subject to the administrative penalties by the competent governmental departments, or cause the Group Members to incur other losses;</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7.2.3</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Any other possible compliance issues of the Group Members prior to the Closing Date, resulting in the Group Members being ordered to pay overdue fine, fines or administrative penalties by the competent governmental departments, or cause the Group Members to incur other losses, and the aforesaid circumstances have caused the material obstacles to the Qualified IPO of the Target Company;</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7.2.4</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Any material or document submitted by the NIO Parties or the Group Members to any Governmental Authority prior to the Closing Date is untrue, inaccurate or incomplete, as a result of which the Group Members are required by relevant governmental Authorities to pay overdue fine, penalty or administrative penalty and such circumstances have caused the material obstacle to the Qualified IPO of the Target Company;</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7.2.5</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entitlement to any tax preference or financial subsidy is attributed in whole or in part to any irregular method, act, omission, fraud or circumvention, and the tax preference or financial subsidy is required to be refunded;</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7.2.6</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Any asset losses incurred by the Group Members or any claims, demands or claims made by any other party against the Group Members due to any dispute and encumbrance in the title of any assets of the Group Members, which violates applicable laws and regulations;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7.2.7</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Loss caused by product quality problems of Group Members in excess of RMB 100 million, either individually or cumulatively within a continuous period of twelve (12) months;</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7.2.8</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Group Members assume any responsibility, obligation or punishment for violating applicable laws and regulations before the Closing Date;</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7.2.9</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Any losses, expenditures, expenses, asset impairments, fines or encumbrances suffered by the Investors or Group Members, due to fines, litigation, arbitration and other disputes of any of Group Members which exceed RMB 100 million either individually or cumulatively within a continuous period of twelve (12) months, and are not disclosed by the NIO Parties and/or the Group Members;</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7.2.10</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Regardless of whether disclosure has been made to the Investors, the Target Company and other Group Members are subject to any administrative or criminal penalties due to insufficient capital contribution, false capital contribution or withdrawal of capital contribution and/or other legal defects on the part of the NIO Parties;</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7.2.11</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Regardless of whether disclosure has been made to the Investors, the Target Company and other Group Members suffer any compensation, asset impairment, fine or other losses (and the amount of asset impairment and/or other losses exceeds RMB 100 million) due to the securities class action matters relating to NIO Inc. and/or the actual controller; and</w:t>
            </w:r>
          </w:p>
        </w:tc>
      </w:tr>
    </w:tbl>
    <w:tbl>
      <w:tblPr>
        <w:tblW w:w="8853" w:type="dxa"/>
        <w:jc w:val="left"/>
        <w:tblInd w:w="0" w:type="dxa"/>
        <w:tblLayout w:type="fixed"/>
        <w:tblCellMar>
          <w:top w:w="0" w:type="dxa"/>
          <w:left w:w="0" w:type="dxa"/>
          <w:bottom w:w="0" w:type="dxa"/>
          <w:right w:w="0" w:type="dxa"/>
        </w:tblCellMar>
      </w:tblPr>
      <w:tblGrid>
        <w:gridCol w:w="23"/>
        <w:gridCol w:w="530"/>
        <w:gridCol w:w="8300"/>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7.2.12</w:t>
            </w:r>
          </w:p>
        </w:tc>
        <w:tc>
          <w:tcPr>
            <w:tcW w:w="830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Any of NIO Parties or the Target Company violates Article 2.4 hereof and cause losses to the Investors.</w:t>
            </w:r>
          </w:p>
        </w:tc>
      </w:tr>
    </w:tbl>
    <w:p>
      <w:pPr>
        <w:pStyle w:val="TextBody"/>
        <w:bidi w:val="0"/>
        <w:spacing w:before="0" w:after="19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POST CLOSING OBLIGATION</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8.1</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After the Closing, the Target Company and the NIO Parties undertake that, during the performance of this Agreement, they shall have the obligation to promptly, completely and accurately disclose to the Investors, the directors or the supervisors appointed by the Investors with respect to their breaches of the representations, warranties and covenants hereunder.</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8.2</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Unless acting in accordance with the Transaction Documents or with the prior written consent of the Investors, the Target Company and the NIO Parties covenant that the Target Company and other Group Members will at all times:</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8.2.1</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Carry out operations in the ordinary course, and maintain its normal business partnership with customers to ensure that the goodwill and operations of the Group Members will not suffer from the Material Adverse Effect after the Closing Date;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8.2.2</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To regulate the related-party transactions, and none of the Affiliates of the Group Members shall infringe upon the interests of the Group Members through related-party transactions and dealings;</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8.2.3</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Perform executed contracts, agreements or other documents relating to the assets and business of the Group Members in a timely manner;</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8.2.4</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Guarantee that the Target Company and other Group Members will continue to operate legally, and obtain and maintain the governmental approval documents and other permits and consents necessary for their production and operation;</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8.2.5</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Guarantee that Target Company and other Group Members obtain and maintain the authorizations and licenses required for their business operations in terms of intellectual property rights or other rights, and ensure that no material adverse impact is caused to the Qualified IPO due to the infringement of any third party's intellectual property rights or other legitimate rights and interests; and</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8.2.6</w:t>
            </w:r>
          </w:p>
        </w:tc>
        <w:tc>
          <w:tcPr>
            <w:tcW w:w="975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Promptly notify the Investor in writing of any event, fact, condition, change or other circumstances that have had or may have Material Adverse Effect on the Target Company or other Group Members.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8.3</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Target Company and NIO Parties hereby warrant that the Target Company shall engage intermediaries for listing on the A-share market in the PRC before December 31, 2025, and submit a preliminary plan for the perfection of listing matters for discussion to the board of directors within twelve (12) months after such engagement.</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8.4</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Target Company and NIO Parties hereby warrant that, in accordance with the applicable laws and regulations, the requirements of the regulatory authorities or the listing review authorities at that time, if an evaluation and re-examination of the non-monetary contributions made by NIO Parties to the Target Company are required, the Target Company shall evaluate and re-examine the value of the non-monetary contributions made by NIO Parties at the time of contribution and/or NIO Parties shall take measures to regulate such matter in accordance with the applicable laws and regulations and the relevant regulatory requirements for the Qualified IPO at that time.</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8.5</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Target Company shall complete the overall change from a limited liability company to a company limited by shares (the “</w:t>
            </w:r>
            <w:r>
              <w:rPr>
                <w:rFonts w:ascii="Times New Roman;Times;serif" w:hAnsi="Times New Roman;Times;serif"/>
                <w:b/>
                <w:sz w:val="20"/>
              </w:rPr>
              <w:t>Share Reform</w:t>
            </w:r>
            <w:r>
              <w:rPr>
                <w:rFonts w:ascii="Times New Roman;Times;serif" w:hAnsi="Times New Roman;Times;serif"/>
                <w:sz w:val="20"/>
              </w:rPr>
              <w:t>”) by December 31, 2026 (or such other date as agreed by Series A Investors (as defined in the Shareholders Agreement) and Anhui High-tech Co.), and the completion date of the Share Reform shall be determined by the date on which the Target Company obtains the business license of the Company as a company limited by shares issued by the competent AMR.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8.6</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NIO Parties and the Target Company shall ensure that the related-party transactions between the Group Members as one party and their Affiliates as the other party (including but not limited to the research and development commissioned by NIO USA, Inc. and related entities, sale of products and technology license between relevant persons including Anhui NIO Zhijia Technology Co., Ltd. and Jiangsu Weiran Automobile Technology Co., Ltd.) are fair, reasonable and necessary. The NIO Parties and the Target Company shall ensure that if there is any key intellectual property related to the Main Business of the Target Company and other Group Members that is created in the related-party transactions, the ownership arrangement of such key intellectual property  shall be in line with the fairness and reasonableness principle, and the NIO Parties and the Target Company shall ensure that related-party transactions regarding any key intellectual property related to the Main Business of the Target Company and other Group Members in the related-party transaction will not have material impact on the Qualified IPO of the Target Company in China's A-share market. If necessary, rectification shall be carried out in line with relevant requirements of the issuance and listing review authority to ensure that the Target Company's Qualified IPO can be conducted smoothly.</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8.7</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Target Company and the NIO Parties hereby warrant that the Target Company will complete the relevant matters within the time required by the intermediaries for listing, in accordance with the requirements of A-share market in the PRC and the opinions of the intermediaries for listing, to ensure that the Target Company complies with the requirements of the A-share market at that time in terms of independence and other aspects. The relevant matters includes, but is not limited to: (i) adjusting the appointment of directors and senior management of the NIO Parties and the Target Company to ensure the personnel independence of the Target Company; (ii) adjusting the entities, business, and assets (if necessary) included in the listing group companies, with the specific plan and pricing mechanism to be reviewed and approved by the board of directors in accordance with the Shareholders Agreement (for the avoidance of doubt, the transactions involved in the plan to adjust the scope of the listing group companies should be considered as a package transaction for the cumulative calculation of the amount and to go through the corresponding review procedures, and shall not evade the review by splitting and other means). In particular, before adjusting the entities included in the listing group companies, if Group Members need to use the relevant intellectual property rights owned by affiliated entities beyond the group companies, they should ensure that the Group Members have the full and unrestricted right to use such intellectual property rights.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8.8</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NIO Parties hereby undertake to promptly notify the Investors if any existing securities class action lawsuits against the NIO Inc. and/or the actual controller may have a material adverse effect on the Group Members. In the event that the NIO Parties and/or the actual controller are involved in any litigation, arbitration, administrative penalties, injunctions, or other events that may have a material</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90"/>
        <w:ind w:left="567" w:right="0" w:hanging="0"/>
        <w:jc w:val="both"/>
        <w:rPr>
          <w:rFonts w:ascii="Times New Roman;Times;serif" w:hAnsi="Times New Roman;Times;serif"/>
          <w:sz w:val="20"/>
        </w:rPr>
      </w:pPr>
      <w:r>
        <w:rPr>
          <w:rFonts w:ascii="Times New Roman;Times;serif" w:hAnsi="Times New Roman;Times;serif"/>
          <w:sz w:val="20"/>
        </w:rPr>
        <w:t>adverse effect on the Target Company and other Group Members, the NIO Parties shall also promptly notify the Investors after the occurrence of such events.</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8.9</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Target Company and the NIO Parties undertake to procure the Existing Shareholders to ensure that they have completed their internal approval procedures regarding the historical equity changes of the Target Company, and will obtain the compliance confirmation from the relevant state-owned asset supervision authority as required (if necessary) according to the opinions of the intermediaries for listing.</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8.10</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Target Company and the NIO Parties undertake to procure the Existing Shareholders and the Investors to ensure that they agree to take the necessary actions and cooperate with the Target Company and the NIO Parties in carrying out matters related to the Target Company’s Qualified IPO as advised by the intermediaries for listing, including but not limited to, cooperating with the Target Company to complete the Share Reform, rectify any normative issues required by the intermediaries for the listing at that time, and complete other related matters required to meet the relevant regulatory requirements for the Target Company’s Qualified IPO.</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8.11</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Target Company and the NIO Parties hereby undertake to deal with the redemption commitments related matters made by the Target Company to the minority shareholders of its subsidiaries according to the opinions of the intermediaries for listing, ensuring that they do not have a material adverse effect on the Qualified IPO.</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8.12</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Target Company and the NIO Parties undertake to perfect other normative issues (if any) according to the opinions of the intermediaries for listing to ensure that Group Members continue to comply with the provisions of relevant laws and regulations and the requirements for Qualified IPO in all material aspects.</w:t>
            </w:r>
          </w:p>
        </w:tc>
      </w:tr>
    </w:tbl>
    <w:p>
      <w:pPr>
        <w:pStyle w:val="TextBody"/>
        <w:bidi w:val="0"/>
        <w:spacing w:before="0" w:after="19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TRANSACTION EXPENSES</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9.1</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For the purpose of this Transaction, the lawyers, accountants and other intermediaries engaged by the Investors shall carry out comprehensive business, legal and financial due diligence on the assets, business and other aspects of the Group Members at the expense of the Investors.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9.2</w:t>
            </w:r>
          </w:p>
        </w:tc>
        <w:tc>
          <w:tcPr>
            <w:tcW w:w="99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Unless otherwise specified in this Agreement or other Transaction Documents, each of the Target Company,  the NIO Parties and the Investors shall be solely responsible for all transaction expenses and taxes and fees incurred by it as a result of the Transaction.</w:t>
            </w:r>
          </w:p>
        </w:tc>
      </w:tr>
    </w:tbl>
    <w:p>
      <w:pPr>
        <w:pStyle w:val="TextBody"/>
        <w:bidi w:val="0"/>
        <w:spacing w:before="0" w:after="19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CONFIDENTIALITY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10.1</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Unless with the prior written consent of the other Parties or as otherwise provided by this Agreement and Laws, none of the Parties shall, whether directly or indirectly, disclose, use, or permit its directors, employees, representatives, agents, consultants and counsels to disclose or use, the following Confidential Information:</w:t>
            </w:r>
          </w:p>
        </w:tc>
      </w:tr>
    </w:tbl>
    <w:tbl>
      <w:tblPr>
        <w:tblW w:w="7518" w:type="dxa"/>
        <w:jc w:val="left"/>
        <w:tblInd w:w="0" w:type="dxa"/>
        <w:tblLayout w:type="fixed"/>
        <w:tblCellMar>
          <w:top w:w="0" w:type="dxa"/>
          <w:left w:w="0" w:type="dxa"/>
          <w:bottom w:w="0" w:type="dxa"/>
          <w:right w:w="0" w:type="dxa"/>
        </w:tblCellMar>
      </w:tblPr>
      <w:tblGrid>
        <w:gridCol w:w="23"/>
        <w:gridCol w:w="530"/>
        <w:gridCol w:w="6965"/>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10.1.1</w:t>
            </w:r>
          </w:p>
        </w:tc>
        <w:tc>
          <w:tcPr>
            <w:tcW w:w="696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Existence of the Transaction Documents and information relevant to this Transaction;</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10.1.2</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Any discussions between the Parties regarding the execution and performance of this Agreement, the terms and conditions of this Agreement or any other information relating to this Transaction;</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10.1.3</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Any confidential or proprietary information relating to the other Parties or their Affiliates obtained by any Party in the course of the negotiation of the Transaction with the other Parties or the performance of this Agreement.</w:t>
            </w:r>
          </w:p>
        </w:tc>
      </w:tr>
    </w:tbl>
    <w:tbl>
      <w:tblPr>
        <w:tblW w:w="9220" w:type="dxa"/>
        <w:jc w:val="left"/>
        <w:tblInd w:w="0" w:type="dxa"/>
        <w:tblLayout w:type="fixed"/>
        <w:tblCellMar>
          <w:top w:w="0" w:type="dxa"/>
          <w:left w:w="0" w:type="dxa"/>
          <w:bottom w:w="0" w:type="dxa"/>
          <w:right w:w="0" w:type="dxa"/>
        </w:tblCellMar>
      </w:tblPr>
      <w:tblGrid>
        <w:gridCol w:w="380"/>
        <w:gridCol w:w="8840"/>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10.2</w:t>
            </w:r>
          </w:p>
        </w:tc>
        <w:tc>
          <w:tcPr>
            <w:tcW w:w="884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Parties shall be exempted from the confidentiality obligations hereunder in the following circumstances:</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10.2.1</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Any confidential information may be disclosed to the officers, representatives, agents, consultants, counsels and other persons who need to know such confidential information for the purpose of participation of any Party in this Transaction. Subject to such disclosure, such officers, representatives, agents, consultants, counsels and other persons shall be obliged to keep the Confidential Information confidential equivalent to the Confidential Information hereunder; and</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10.2.2</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If any Confidential Information has entered the public domain through no fault of any Party, such Party shall no longer be subject to the confidentiality obligations with respect to such Confidential Information;</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10.2.3</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relevant information that has been publicly disclosed or that has been disclosed according to the laws, regulations and/or the requirements of the securities regulatory departments, stock exchanges and the administrative organs that have handled the record-filing or examination and approval.</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10.3</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Parties hereto mutually agree that any breach of the confidentiality obligation hereunder by any Party shall constitute a breach by such Party and the non- breaching Party shall have the right to request the breaching Party to bear liabilities for breach of contract and initiate legal proceedings to request the cessation of such breach or the adoption of other remedies so as to prevent further breach.</w:t>
            </w:r>
          </w:p>
        </w:tc>
      </w:tr>
    </w:tbl>
    <w:tbl>
      <w:tblPr>
        <w:tblW w:w="9370" w:type="dxa"/>
        <w:jc w:val="left"/>
        <w:tblInd w:w="0" w:type="dxa"/>
        <w:tblLayout w:type="fixed"/>
        <w:tblCellMar>
          <w:top w:w="0" w:type="dxa"/>
          <w:left w:w="0" w:type="dxa"/>
          <w:bottom w:w="0" w:type="dxa"/>
          <w:right w:w="0" w:type="dxa"/>
        </w:tblCellMar>
      </w:tblPr>
      <w:tblGrid>
        <w:gridCol w:w="380"/>
        <w:gridCol w:w="8990"/>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10.4</w:t>
            </w:r>
          </w:p>
        </w:tc>
        <w:tc>
          <w:tcPr>
            <w:tcW w:w="899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confidentiality obligation set forth in this article shall not be terminated by termination of this Agreement.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90"/>
        <w:ind w:left="0" w:right="0" w:hanging="0"/>
        <w:jc w:val="left"/>
        <w:rPr/>
      </w:pPr>
      <w:r>
        <w:rPr/>
        <w:t>​</w:t>
      </w:r>
    </w:p>
    <w:p>
      <w:pPr>
        <w:pStyle w:val="TextBody"/>
        <w:bidi w:val="0"/>
        <w:spacing w:before="0" w:after="19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FORCE MAJEURE</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11.1</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If a Party encounters earthquake, typhoon, flood, fire, military action, strike, riot, war or other unforeseeable Force Majeure Event beyond the reasonable control of such Party (each, a “</w:t>
            </w:r>
            <w:r>
              <w:rPr>
                <w:rFonts w:ascii="Times New Roman;Times;serif" w:hAnsi="Times New Roman;Times;serif"/>
                <w:b/>
                <w:sz w:val="20"/>
              </w:rPr>
              <w:t>Force Majeure Event</w:t>
            </w:r>
            <w:r>
              <w:rPr>
                <w:rFonts w:ascii="Times New Roman;Times;serif" w:hAnsi="Times New Roman;Times;serif"/>
                <w:sz w:val="20"/>
              </w:rPr>
              <w:t>”) and materially impedes its performance of this Agreement, such Party shall immediately notify the other Parties without undue delay, and provide the other Parties with detailed information and documentary evidence in respect of such event to explain the reason for its inability to perform or delay in performing all or part of the obligations hereunder within fifteen (15) days after the notice is given. The Parties shall consult with each other to seek and implement a solution acceptable to both Parties.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11.2</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If an Force Majeure Event occurs, the Party affected by such event shall not be responsible for any damage, increased costs or losses which any of the other Parties may sustain by reason of the failure or delay of performance of its obligations under this Agreement and such failure or delay of performance of this Agreement shall not be deemed a breach of this Agreement. The Party encountering the Force Majeure Event shall take appropriate means to minimize or mitigate the effect of the Force Majeure Event and, as soon as practicably possible, attempt to resume performance of the obligation delayed or prevented by the Force Majeure Event; otherwise, the Party encountering the Force Majeure Event shall not be entitled to claim delay or relief for its obligations to the extent of the impact.</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11.3</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In the event that an Force Majeure Event or the effect thereof prevents one or all Parties from performing all or part of its or their obligations under this Agreement for more than three (3) months, the party not affected by the Force Majeure Event shall have the right to request termination of this Agreement, release of part of its or their obligations under this Agreement, or delay the performance of this Agreement.</w:t>
            </w:r>
          </w:p>
        </w:tc>
      </w:tr>
    </w:tbl>
    <w:p>
      <w:pPr>
        <w:pStyle w:val="TextBody"/>
        <w:bidi w:val="0"/>
        <w:spacing w:before="0" w:after="19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GOVERNING LAW AND DISPUTE RESOLUTION</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12.1</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formation of this Agreement, its validity, interpretation, implementation and resolution of any disputes arising hereunder shall be governed by and construed in accordance with the laws of the PRC.</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12.2</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All disputes arising from the implementation of this Agreement or in connection with this Agreement shall be resolved by the Parties through friendly consultation. Any dispute that cannot be resolved through consultation within thirty (30) days after the occurrence of such dispute, any Party shall have the right to submit the dispute to the China International Economic and Trade Arbitration Commission located in Beijing for arbitration in accordance with its arbitration rules then in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90"/>
        <w:ind w:left="567" w:right="0" w:hanging="0"/>
        <w:jc w:val="both"/>
        <w:rPr>
          <w:rFonts w:ascii="Times New Roman;Times;serif" w:hAnsi="Times New Roman;Times;serif"/>
          <w:sz w:val="20"/>
        </w:rPr>
      </w:pPr>
      <w:r>
        <w:rPr>
          <w:rFonts w:ascii="Times New Roman;Times;serif" w:hAnsi="Times New Roman;Times;serif"/>
          <w:sz w:val="20"/>
        </w:rPr>
        <w:t>effect. The arbitration tribunal shall consist of three (3) arbitrators to be appointed in accordance with the arbitration rules. The applicant shall appoint one (1) arbitrator, the respondent shall appoint one (1) arbitrator, and the third (3rd) arbitrator shall be appointed by the first two arbitrators through consultation or appointed by the China International Economic and Trade Arbitration Commission. If any party among the joint applicants or joint respondents fails to jointly appoint an arbitrator, it does not prevent the other party from appointing an arbitrator. The arbitration proceedings shall be conducted in Chinese. The arbitration award shall be final and binding on all Parties.</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12.3</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During the period when a Dispute is being resolved, the Parties shall continue to have their respective rights and perform their obligations under this Agreement other than those involved in the Dispute.</w:t>
            </w:r>
          </w:p>
        </w:tc>
      </w:tr>
    </w:tbl>
    <w:p>
      <w:pPr>
        <w:pStyle w:val="TextBody"/>
        <w:bidi w:val="0"/>
        <w:spacing w:before="0" w:after="19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EFFECTIVENESS, MODIFICATION AND TERMINATION</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13.1</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Unless otherwise provided hereunder, this Agreement shall become effective upon signature/seal by the legal representative or authorized representative of each Party and affixation of company seal by each Party.</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13.2</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Provisions relating to the relevant rights and obligations of Jianheng New Energy Fund shall become legally binding on Jianheng New Energy Fund upon the approval of the Transaction by the competent decision-making authority of Jianheng New Energy Fund. Provisions relating to the relevant rights and obligations of Anhui High-tech Co. and/or its designated investment entity shall become legally binding on Anhui High-tech Co. and/or its designated investment entity upon the approval of the Transaction by the competent decision-making authority of Anhui High-tech Co. and/or its designated investment entity. Provisions relating to the relevant rights and obligations of SDIC and/or its designated investment entity shall become legally binding on SDIC and/or its designated investment entity upon the approval of the Transaction by the competent decision-making authority of SDIC and/or its designated investment entity.</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13.3</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If Jianheng New Energy Fund, Anhui High-tech Co. and/or its designated investment entity and SDIC and/or its designated investment entity request to make change to this Agreement in connection with the procedures to obtain approval by their competent decision-making authorities, the Parties agree to enter into a supplement hereto. If there is any inconsistency, such supplement shall prevail.</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13.4</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This Agreement may be amended or modified by the Parties through mutual consultation. Any amendment or modification shall be made in writing and become effective upon execution by the Parties hereto.</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13.5</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If any term of this Agreement is found, held or deemed to be illegal, invalid or unenforceable by an arbitral body, judicial authority or administrative authority, the validity, legality and enforceability of the remaining terms shall not be affected or impaired thereby. The Parties agree to amend this Agreement or execute a supplementary agreement appropriately as the case may be through consultation in good faith to restore the original intent of this Agreement and the rights or obligations enjoyed or performed by the Parties as originally set forth herein.</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13.6</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If relevant terms hereof are amended due to change of relevant laws, regulations or policies or as required by governmental Authorities, the Parties shall use their respective best efforts to unanimously accept such amendment and enter into relevant agreements to restore and confirm the rights or obligations that shall be enjoyed or performed by the Parties hereunder in compliance with the requirements of relevant laws, regulations or policies.</w:t>
            </w:r>
          </w:p>
        </w:tc>
      </w:tr>
    </w:tbl>
    <w:tbl>
      <w:tblPr>
        <w:tblW w:w="5245" w:type="dxa"/>
        <w:jc w:val="left"/>
        <w:tblInd w:w="0" w:type="dxa"/>
        <w:tblLayout w:type="fixed"/>
        <w:tblCellMar>
          <w:top w:w="0" w:type="dxa"/>
          <w:left w:w="0" w:type="dxa"/>
          <w:bottom w:w="0" w:type="dxa"/>
          <w:right w:w="0" w:type="dxa"/>
        </w:tblCellMar>
      </w:tblPr>
      <w:tblGrid>
        <w:gridCol w:w="380"/>
        <w:gridCol w:w="486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13.7</w:t>
            </w:r>
          </w:p>
        </w:tc>
        <w:tc>
          <w:tcPr>
            <w:tcW w:w="486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This Agreement may be terminated by the following means:</w:t>
            </w:r>
          </w:p>
        </w:tc>
      </w:tr>
    </w:tbl>
    <w:tbl>
      <w:tblPr>
        <w:tblW w:w="8778" w:type="dxa"/>
        <w:jc w:val="left"/>
        <w:tblInd w:w="0" w:type="dxa"/>
        <w:tblLayout w:type="fixed"/>
        <w:tblCellMar>
          <w:top w:w="0" w:type="dxa"/>
          <w:left w:w="0" w:type="dxa"/>
          <w:bottom w:w="0" w:type="dxa"/>
          <w:right w:w="0" w:type="dxa"/>
        </w:tblCellMar>
      </w:tblPr>
      <w:tblGrid>
        <w:gridCol w:w="23"/>
        <w:gridCol w:w="530"/>
        <w:gridCol w:w="8225"/>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13.7.1</w:t>
            </w:r>
          </w:p>
        </w:tc>
        <w:tc>
          <w:tcPr>
            <w:tcW w:w="82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Parties agree to terminate this Agreement in writing and determine the termination effective date;</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13.7.2</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Prior to the Closing Date, the Investors shall have the right to terminate this Agreement by giving a written notice to the other Parties in the event of the occurrence of any of the following circumstances and shall specify the effective date of such termination in the notice:</w:t>
            </w:r>
          </w:p>
        </w:tc>
      </w:tr>
    </w:tbl>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w:t>
            </w:r>
          </w:p>
        </w:tc>
        <w:tc>
          <w:tcPr>
            <w:tcW w:w="9943"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statements, representations or warranties of the Target Company or the NIO Parties are untrue or have omission in material aspects;</w:t>
            </w:r>
          </w:p>
        </w:tc>
      </w:tr>
    </w:tbl>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w:t>
            </w:r>
          </w:p>
        </w:tc>
        <w:tc>
          <w:tcPr>
            <w:tcW w:w="9974"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Target Company or any NIO Party breaches any covenant, statement, representation, warranty, covenant or any other obligation hereunder, and fails to take effective remedies satisfactory to the Investors within twenty (20) business days after the Investor gives a written notice of such breach;</w:t>
            </w:r>
          </w:p>
        </w:tc>
      </w:tr>
    </w:tbl>
    <w:tbl>
      <w:tblPr>
        <w:tblW w:w="10205" w:type="dxa"/>
        <w:jc w:val="left"/>
        <w:tblInd w:w="0" w:type="dxa"/>
        <w:tblLayout w:type="fixed"/>
        <w:tblCellMar>
          <w:top w:w="0" w:type="dxa"/>
          <w:left w:w="0" w:type="dxa"/>
          <w:bottom w:w="0" w:type="dxa"/>
          <w:right w:w="0" w:type="dxa"/>
        </w:tblCellMar>
      </w:tblPr>
      <w:tblGrid>
        <w:gridCol w:w="23"/>
        <w:gridCol w:w="202"/>
        <w:gridCol w:w="9980"/>
      </w:tblGrid>
      <w:tr>
        <w:trPr/>
        <w:tc>
          <w:tcPr>
            <w:tcW w:w="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w:t>
            </w:r>
          </w:p>
        </w:tc>
        <w:tc>
          <w:tcPr>
            <w:tcW w:w="99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If this Capital Increase and Equity Contribution fail to be completed within sixty (60) business days as from the Execution Date hereof or another date agreed by the Parties through consultation (which is the later of the AMR Re-registration Completion Date and the Closing Date), because any of the Investor’s closing conditions is proved to be unfulfilled or not waived by the Investors.</w:t>
            </w:r>
          </w:p>
        </w:tc>
      </w:tr>
    </w:tbl>
    <w:tbl>
      <w:tblPr>
        <w:tblW w:w="2185" w:type="dxa"/>
        <w:jc w:val="left"/>
        <w:tblInd w:w="0" w:type="dxa"/>
        <w:tblLayout w:type="fixed"/>
        <w:tblCellMar>
          <w:top w:w="0" w:type="dxa"/>
          <w:left w:w="0" w:type="dxa"/>
          <w:bottom w:w="0" w:type="dxa"/>
          <w:right w:w="0" w:type="dxa"/>
        </w:tblCellMar>
      </w:tblPr>
      <w:tblGrid>
        <w:gridCol w:w="380"/>
        <w:gridCol w:w="180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13.8</w:t>
            </w:r>
          </w:p>
        </w:tc>
        <w:tc>
          <w:tcPr>
            <w:tcW w:w="180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Effect of Termination.</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13.8.1</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After this Agreement is terminated in accordance with the above Article 13.5.1, unless otherwise agreed upon by the Parties, each Party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90"/>
        <w:ind w:left="1728" w:right="0" w:hanging="0"/>
        <w:jc w:val="both"/>
        <w:rPr>
          <w:rFonts w:ascii="Times New Roman;Times;serif" w:hAnsi="Times New Roman;Times;serif"/>
          <w:sz w:val="20"/>
        </w:rPr>
      </w:pPr>
      <w:r>
        <w:rPr>
          <w:rFonts w:ascii="Times New Roman;Times;serif" w:hAnsi="Times New Roman;Times;serif"/>
          <w:sz w:val="20"/>
        </w:rPr>
        <w:t>hereto shall refund the considerations received from the other Parties hereunder based on the principles of fairness, reasonableness, honesty and credibility and try to restore to the status prior to the execution of this Agreement.</w:t>
      </w:r>
    </w:p>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13.8.2</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If any of the Investors terminates this Agreement in accordance with the above Article 13.7.2, and if such Investor has paid the capital increase price to the Target Company then, the Target Company shall return all paid-in capital increase price in full to the Investor and pay the Investor interest calculated at the interest rate of 7.5% per year (compounded annually). Such interest shall accrue from the actual payment date of each installment of the Capital Increase Price. If such interest cannot make up all losses incurred by such Investor, the Target Company shall make up the same to the Investor. The NIO Parties shall bear joint and several liability for the return of the above Capital Increase Price and interest accrued thereon, and the guarantee period is two years from the expiration date of the performance period of the guaranteed principal debt.</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13.8.3</w:t>
            </w:r>
          </w:p>
        </w:tc>
        <w:tc>
          <w:tcPr>
            <w:tcW w:w="96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After termination of this Agreement, all rights and obligations of the Parties hereunder shall terminate. The termination of this Agreement shall not affect the non-defaulting party’s right to request the defaulting party to pay liquidated damages and compensate for losses.</w:t>
            </w:r>
          </w:p>
        </w:tc>
      </w:tr>
    </w:tbl>
    <w:p>
      <w:pPr>
        <w:pStyle w:val="TextBody"/>
        <w:bidi w:val="0"/>
        <w:spacing w:before="0" w:after="19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NOTICES AND DELIVERY</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14.1</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During the term of this Agreement, if the performance of this Agreement is affected due to the change of laws, regulations and policies, or due to any Party’s loss of its qualification and/or ability to perform this Agreement, such Party shall assume the obligation to notify the other Parties within a reasonable period of time.</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14.2</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Parties agree that any notice relating to this Agreement shall only be effective if it is delivered in writing. Delivery in written forms include but are not limited to delivery by courier, mail and email. Any such notice shall be deemed to have been delivered: (a) by courier or personal delivery, on the date it is received by the recipient; (b) by registered or certified mail, seven (7) business days after it is sent; and (c) by e-mail, immediately after the e-mail is successfully sent. Notices shall be deemed effectively given to the following places or to the following e-mail boxes:</w:t>
            </w:r>
          </w:p>
        </w:tc>
      </w:tr>
    </w:tbl>
    <w:p>
      <w:pPr>
        <w:pStyle w:val="TextBody"/>
        <w:pBdr/>
        <w:bidi w:val="0"/>
        <w:spacing w:before="0" w:after="0"/>
        <w:ind w:left="498" w:right="0" w:hanging="477"/>
        <w:jc w:val="both"/>
        <w:rPr>
          <w:rFonts w:ascii="Times New Roman;Times;serif" w:hAnsi="Times New Roman;Times;serif"/>
          <w:b/>
          <w:sz w:val="20"/>
        </w:rPr>
      </w:pPr>
      <w:r>
        <w:rPr>
          <w:rFonts w:ascii="Times New Roman;Times;serif" w:hAnsi="Times New Roman;Times;serif"/>
          <w:b/>
          <w:sz w:val="20"/>
        </w:rPr>
        <w:t>Jianheng New Energy Fund</w:t>
      </w:r>
    </w:p>
    <w:p>
      <w:pPr>
        <w:pStyle w:val="TextBody"/>
        <w:pBdr/>
        <w:bidi w:val="0"/>
        <w:spacing w:before="0" w:after="0"/>
        <w:ind w:left="498" w:right="0" w:hanging="480"/>
        <w:jc w:val="both"/>
        <w:rPr>
          <w:rFonts w:ascii="Times New Roman;Times;serif" w:hAnsi="Times New Roman;Times;serif"/>
          <w:sz w:val="20"/>
        </w:rPr>
      </w:pPr>
      <w:r>
        <w:rPr>
          <w:rFonts w:ascii="Times New Roman;Times;serif" w:hAnsi="Times New Roman;Times;serif"/>
          <w:sz w:val="20"/>
        </w:rPr>
        <w:t>Contact: ZHOU Yu</w:t>
      </w:r>
    </w:p>
    <w:p>
      <w:pPr>
        <w:pStyle w:val="TextBody"/>
        <w:pBdr/>
        <w:bidi w:val="0"/>
        <w:spacing w:before="0" w:after="0"/>
        <w:ind w:left="498" w:right="0" w:hanging="480"/>
        <w:jc w:val="both"/>
        <w:rPr>
          <w:rFonts w:ascii="Times New Roman;Times;serif" w:hAnsi="Times New Roman;Times;serif"/>
          <w:sz w:val="20"/>
        </w:rPr>
      </w:pPr>
      <w:r>
        <w:rPr>
          <w:rFonts w:ascii="Times New Roman;Times;serif" w:hAnsi="Times New Roman;Times;serif"/>
          <w:sz w:val="20"/>
        </w:rPr>
        <w:t>Mailing Address: [***]</w:t>
      </w:r>
    </w:p>
    <w:p>
      <w:pPr>
        <w:pStyle w:val="TextBody"/>
        <w:pBdr/>
        <w:bidi w:val="0"/>
        <w:spacing w:before="0" w:after="0"/>
        <w:ind w:left="498" w:right="0" w:hanging="480"/>
        <w:jc w:val="both"/>
        <w:rPr>
          <w:rFonts w:ascii="Times New Roman;Times;serif" w:hAnsi="Times New Roman;Times;serif"/>
          <w:sz w:val="20"/>
        </w:rPr>
      </w:pPr>
      <w:r>
        <w:rPr>
          <w:rFonts w:ascii="Times New Roman;Times;serif" w:hAnsi="Times New Roman;Times;serif"/>
          <w:sz w:val="20"/>
        </w:rPr>
        <w:t>Contact No.: [***]</w:t>
      </w:r>
    </w:p>
    <w:p>
      <w:pPr>
        <w:pStyle w:val="TextBody"/>
        <w:pBdr/>
        <w:bidi w:val="0"/>
        <w:spacing w:before="0" w:after="0"/>
        <w:ind w:left="498" w:right="0" w:hanging="480"/>
        <w:jc w:val="both"/>
        <w:rPr>
          <w:rFonts w:ascii="Times New Roman;Times;serif" w:hAnsi="Times New Roman;Times;serif"/>
          <w:sz w:val="20"/>
        </w:rPr>
      </w:pPr>
      <w:r>
        <w:rPr>
          <w:rFonts w:ascii="Times New Roman;Times;serif" w:hAnsi="Times New Roman;Times;serif"/>
          <w:sz w:val="20"/>
        </w:rPr>
        <w:t>Email: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0"/>
        <w:ind w:left="498" w:right="0" w:hanging="482"/>
        <w:jc w:val="both"/>
        <w:rPr>
          <w:rFonts w:ascii="Times New Roman;Times;serif" w:hAnsi="Times New Roman;Times;serif"/>
          <w:b/>
          <w:sz w:val="20"/>
        </w:rPr>
      </w:pPr>
      <w:r>
        <w:rPr>
          <w:rFonts w:ascii="Times New Roman;Times;serif" w:hAnsi="Times New Roman;Times;serif"/>
          <w:b/>
          <w:sz w:val="20"/>
        </w:rPr>
        <w:t>SDIC</w:t>
      </w:r>
    </w:p>
    <w:p>
      <w:pPr>
        <w:pStyle w:val="TextBody"/>
        <w:pBdr/>
        <w:bidi w:val="0"/>
        <w:spacing w:before="0" w:after="0"/>
        <w:ind w:left="498" w:right="0" w:hanging="480"/>
        <w:jc w:val="both"/>
        <w:rPr>
          <w:rFonts w:ascii="Times New Roman;Times;serif" w:hAnsi="Times New Roman;Times;serif"/>
          <w:sz w:val="20"/>
        </w:rPr>
      </w:pPr>
      <w:r>
        <w:rPr>
          <w:rFonts w:ascii="Times New Roman;Times;serif" w:hAnsi="Times New Roman;Times;serif"/>
          <w:sz w:val="20"/>
        </w:rPr>
        <w:t>Contact: DU Shuo</w:t>
      </w:r>
    </w:p>
    <w:p>
      <w:pPr>
        <w:pStyle w:val="TextBody"/>
        <w:pBdr/>
        <w:bidi w:val="0"/>
        <w:spacing w:before="0" w:after="0"/>
        <w:ind w:left="498" w:right="0" w:hanging="480"/>
        <w:jc w:val="both"/>
        <w:rPr>
          <w:rFonts w:ascii="Times New Roman;Times;serif" w:hAnsi="Times New Roman;Times;serif"/>
          <w:sz w:val="20"/>
        </w:rPr>
      </w:pPr>
      <w:r>
        <w:rPr>
          <w:rFonts w:ascii="Times New Roman;Times;serif" w:hAnsi="Times New Roman;Times;serif"/>
          <w:sz w:val="20"/>
        </w:rPr>
        <w:t>Mailing Address: [***]</w:t>
      </w:r>
    </w:p>
    <w:p>
      <w:pPr>
        <w:pStyle w:val="TextBody"/>
        <w:pBdr/>
        <w:bidi w:val="0"/>
        <w:spacing w:before="0" w:after="0"/>
        <w:ind w:left="498" w:right="0" w:hanging="480"/>
        <w:jc w:val="both"/>
        <w:rPr>
          <w:rFonts w:ascii="Times New Roman;Times;serif" w:hAnsi="Times New Roman;Times;serif"/>
          <w:sz w:val="20"/>
        </w:rPr>
      </w:pPr>
      <w:r>
        <w:rPr>
          <w:rFonts w:ascii="Times New Roman;Times;serif" w:hAnsi="Times New Roman;Times;serif"/>
          <w:sz w:val="20"/>
        </w:rPr>
        <w:t>Contact No.: [***]</w:t>
      </w:r>
    </w:p>
    <w:p>
      <w:pPr>
        <w:pStyle w:val="TextBody"/>
        <w:pBdr/>
        <w:bidi w:val="0"/>
        <w:spacing w:before="0" w:after="0"/>
        <w:ind w:left="498" w:right="0" w:hanging="480"/>
        <w:jc w:val="both"/>
        <w:rPr>
          <w:rFonts w:ascii="Times New Roman;Times;serif" w:hAnsi="Times New Roman;Times;serif"/>
          <w:sz w:val="20"/>
        </w:rPr>
      </w:pPr>
      <w:r>
        <w:rPr>
          <w:rFonts w:ascii="Times New Roman;Times;serif" w:hAnsi="Times New Roman;Times;serif"/>
          <w:sz w:val="20"/>
        </w:rPr>
        <w:t>Email: [***]</w:t>
      </w:r>
    </w:p>
    <w:p>
      <w:pPr>
        <w:pStyle w:val="TextBody"/>
        <w:pBdr/>
        <w:bidi w:val="0"/>
        <w:spacing w:before="0" w:after="0"/>
        <w:ind w:left="498" w:right="0" w:hanging="475"/>
        <w:jc w:val="both"/>
        <w:rPr/>
      </w:pPr>
      <w:r>
        <w:rPr/>
        <w:t>​</w:t>
      </w:r>
    </w:p>
    <w:p>
      <w:pPr>
        <w:pStyle w:val="TextBody"/>
        <w:pBdr/>
        <w:bidi w:val="0"/>
        <w:spacing w:before="0" w:after="0"/>
        <w:ind w:left="498" w:right="0" w:hanging="477"/>
        <w:jc w:val="both"/>
        <w:rPr>
          <w:rFonts w:ascii="Times New Roman;Times;serif" w:hAnsi="Times New Roman;Times;serif"/>
          <w:b/>
          <w:sz w:val="20"/>
        </w:rPr>
      </w:pPr>
      <w:r>
        <w:rPr>
          <w:rFonts w:ascii="Times New Roman;Times;serif" w:hAnsi="Times New Roman;Times;serif"/>
          <w:b/>
          <w:sz w:val="20"/>
        </w:rPr>
        <w:t>Anhui High-tech Co.</w:t>
      </w:r>
    </w:p>
    <w:p>
      <w:pPr>
        <w:pStyle w:val="TextBody"/>
        <w:pBdr/>
        <w:bidi w:val="0"/>
        <w:spacing w:before="0" w:after="0"/>
        <w:ind w:left="498" w:right="0" w:hanging="480"/>
        <w:jc w:val="both"/>
        <w:rPr>
          <w:rFonts w:ascii="Times New Roman;Times;serif" w:hAnsi="Times New Roman;Times;serif"/>
          <w:sz w:val="20"/>
        </w:rPr>
      </w:pPr>
      <w:r>
        <w:rPr>
          <w:rFonts w:ascii="Times New Roman;Times;serif" w:hAnsi="Times New Roman;Times;serif"/>
          <w:sz w:val="20"/>
        </w:rPr>
        <w:t>Contact: ZHANG Youpeng</w:t>
      </w:r>
    </w:p>
    <w:p>
      <w:pPr>
        <w:pStyle w:val="TextBody"/>
        <w:pBdr/>
        <w:bidi w:val="0"/>
        <w:spacing w:before="0" w:after="0"/>
        <w:ind w:left="498" w:right="0" w:hanging="480"/>
        <w:jc w:val="both"/>
        <w:rPr>
          <w:rFonts w:ascii="Times New Roman;Times;serif" w:hAnsi="Times New Roman;Times;serif"/>
          <w:sz w:val="20"/>
        </w:rPr>
      </w:pPr>
      <w:r>
        <w:rPr>
          <w:rFonts w:ascii="Times New Roman;Times;serif" w:hAnsi="Times New Roman;Times;serif"/>
          <w:sz w:val="20"/>
        </w:rPr>
        <w:t>Mailing Address: [***]</w:t>
      </w:r>
    </w:p>
    <w:p>
      <w:pPr>
        <w:pStyle w:val="TextBody"/>
        <w:pBdr/>
        <w:bidi w:val="0"/>
        <w:spacing w:before="0" w:after="0"/>
        <w:ind w:left="498" w:right="0" w:hanging="480"/>
        <w:jc w:val="both"/>
        <w:rPr>
          <w:rFonts w:ascii="Times New Roman;Times;serif" w:hAnsi="Times New Roman;Times;serif"/>
          <w:sz w:val="20"/>
        </w:rPr>
      </w:pPr>
      <w:r>
        <w:rPr>
          <w:rFonts w:ascii="Times New Roman;Times;serif" w:hAnsi="Times New Roman;Times;serif"/>
          <w:sz w:val="20"/>
        </w:rPr>
        <w:t>Contact No.: [***]</w:t>
      </w:r>
    </w:p>
    <w:p>
      <w:pPr>
        <w:pStyle w:val="TextBody"/>
        <w:pBdr/>
        <w:bidi w:val="0"/>
        <w:spacing w:before="0" w:after="0"/>
        <w:ind w:left="498" w:right="0" w:hanging="480"/>
        <w:jc w:val="both"/>
        <w:rPr>
          <w:rFonts w:ascii="Times New Roman;Times;serif" w:hAnsi="Times New Roman;Times;serif"/>
          <w:sz w:val="20"/>
        </w:rPr>
      </w:pPr>
      <w:r>
        <w:rPr>
          <w:rFonts w:ascii="Times New Roman;Times;serif" w:hAnsi="Times New Roman;Times;serif"/>
          <w:sz w:val="20"/>
        </w:rPr>
        <w:t>Email: [***]</w:t>
      </w:r>
    </w:p>
    <w:p>
      <w:pPr>
        <w:pStyle w:val="TextBody"/>
        <w:pBdr/>
        <w:bidi w:val="0"/>
        <w:spacing w:before="0" w:after="0"/>
        <w:ind w:left="498" w:right="0" w:hanging="477"/>
        <w:jc w:val="both"/>
        <w:rPr/>
      </w:pPr>
      <w:r>
        <w:rPr/>
        <w:t>​</w:t>
      </w:r>
    </w:p>
    <w:p>
      <w:pPr>
        <w:pStyle w:val="TextBody"/>
        <w:pBdr/>
        <w:bidi w:val="0"/>
        <w:spacing w:before="0" w:after="0"/>
        <w:ind w:left="498" w:right="0" w:hanging="477"/>
        <w:jc w:val="both"/>
        <w:rPr>
          <w:rFonts w:ascii="Times New Roman;Times;serif" w:hAnsi="Times New Roman;Times;serif"/>
          <w:b/>
          <w:sz w:val="20"/>
        </w:rPr>
      </w:pPr>
      <w:r>
        <w:rPr>
          <w:rFonts w:ascii="Times New Roman;Times;serif" w:hAnsi="Times New Roman;Times;serif"/>
          <w:b/>
          <w:sz w:val="20"/>
        </w:rPr>
        <w:t>NIO Parties</w:t>
      </w:r>
    </w:p>
    <w:p>
      <w:pPr>
        <w:pStyle w:val="TextBody"/>
        <w:pBdr/>
        <w:bidi w:val="0"/>
        <w:spacing w:before="0" w:after="0"/>
        <w:ind w:left="498" w:right="0" w:hanging="480"/>
        <w:jc w:val="both"/>
        <w:rPr>
          <w:rFonts w:ascii="Times New Roman;Times;serif" w:hAnsi="Times New Roman;Times;serif"/>
          <w:sz w:val="20"/>
        </w:rPr>
      </w:pPr>
      <w:r>
        <w:rPr>
          <w:rFonts w:ascii="Times New Roman;Times;serif" w:hAnsi="Times New Roman;Times;serif"/>
          <w:sz w:val="20"/>
        </w:rPr>
        <w:t>Contact: QU Yu</w:t>
      </w:r>
    </w:p>
    <w:p>
      <w:pPr>
        <w:pStyle w:val="TextBody"/>
        <w:pBdr/>
        <w:bidi w:val="0"/>
        <w:spacing w:before="0" w:after="0"/>
        <w:ind w:left="498" w:right="0" w:hanging="480"/>
        <w:jc w:val="both"/>
        <w:rPr>
          <w:rFonts w:ascii="Times New Roman;Times;serif" w:hAnsi="Times New Roman;Times;serif"/>
          <w:sz w:val="20"/>
        </w:rPr>
      </w:pPr>
      <w:r>
        <w:rPr>
          <w:rFonts w:ascii="Times New Roman;Times;serif" w:hAnsi="Times New Roman;Times;serif"/>
          <w:sz w:val="20"/>
        </w:rPr>
        <w:t>Mailing Address: [***]</w:t>
      </w:r>
    </w:p>
    <w:p>
      <w:pPr>
        <w:pStyle w:val="TextBody"/>
        <w:pBdr/>
        <w:bidi w:val="0"/>
        <w:spacing w:before="0" w:after="0"/>
        <w:ind w:left="498" w:right="0" w:hanging="480"/>
        <w:jc w:val="both"/>
        <w:rPr>
          <w:rFonts w:ascii="Times New Roman;Times;serif" w:hAnsi="Times New Roman;Times;serif"/>
          <w:sz w:val="20"/>
        </w:rPr>
      </w:pPr>
      <w:r>
        <w:rPr>
          <w:rFonts w:ascii="Times New Roman;Times;serif" w:hAnsi="Times New Roman;Times;serif"/>
          <w:sz w:val="20"/>
        </w:rPr>
        <w:t>Contact No.: [***]</w:t>
      </w:r>
    </w:p>
    <w:p>
      <w:pPr>
        <w:pStyle w:val="TextBody"/>
        <w:pBdr/>
        <w:bidi w:val="0"/>
        <w:spacing w:before="0" w:after="0"/>
        <w:ind w:left="498" w:right="0" w:hanging="475"/>
        <w:jc w:val="both"/>
        <w:rPr>
          <w:rFonts w:ascii="Times New Roman;Times;serif" w:hAnsi="Times New Roman;Times;serif"/>
          <w:sz w:val="20"/>
        </w:rPr>
      </w:pPr>
      <w:r>
        <w:rPr>
          <w:rFonts w:ascii="Times New Roman;Times;serif" w:hAnsi="Times New Roman;Times;serif"/>
          <w:sz w:val="20"/>
        </w:rPr>
        <w:t>Email: [***]</w:t>
      </w:r>
    </w:p>
    <w:p>
      <w:pPr>
        <w:pStyle w:val="TextBody"/>
        <w:pBdr/>
        <w:bidi w:val="0"/>
        <w:spacing w:before="0" w:after="0"/>
        <w:ind w:left="498" w:right="0" w:hanging="475"/>
        <w:jc w:val="both"/>
        <w:rPr/>
      </w:pPr>
      <w:r>
        <w:rPr/>
        <w:t>​</w:t>
      </w:r>
    </w:p>
    <w:p>
      <w:pPr>
        <w:pStyle w:val="TextBody"/>
        <w:pBdr/>
        <w:bidi w:val="0"/>
        <w:spacing w:before="0" w:after="0"/>
        <w:ind w:left="498" w:right="0" w:hanging="477"/>
        <w:jc w:val="both"/>
        <w:rPr>
          <w:rFonts w:ascii="Times New Roman;Times;serif" w:hAnsi="Times New Roman;Times;serif"/>
          <w:b/>
          <w:sz w:val="20"/>
        </w:rPr>
      </w:pPr>
      <w:r>
        <w:rPr>
          <w:rFonts w:ascii="Times New Roman;Times;serif" w:hAnsi="Times New Roman;Times;serif"/>
          <w:b/>
          <w:sz w:val="20"/>
        </w:rPr>
        <w:t>The Company</w:t>
      </w:r>
    </w:p>
    <w:p>
      <w:pPr>
        <w:pStyle w:val="TextBody"/>
        <w:pBdr/>
        <w:bidi w:val="0"/>
        <w:spacing w:before="0" w:after="0"/>
        <w:ind w:left="498" w:right="0" w:hanging="480"/>
        <w:jc w:val="both"/>
        <w:rPr>
          <w:rFonts w:ascii="Times New Roman;Times;serif" w:hAnsi="Times New Roman;Times;serif"/>
          <w:sz w:val="20"/>
        </w:rPr>
      </w:pPr>
      <w:r>
        <w:rPr>
          <w:rFonts w:ascii="Times New Roman;Times;serif" w:hAnsi="Times New Roman;Times;serif"/>
          <w:sz w:val="20"/>
        </w:rPr>
        <w:t>Contact: QU Yu</w:t>
      </w:r>
    </w:p>
    <w:p>
      <w:pPr>
        <w:pStyle w:val="TextBody"/>
        <w:pBdr/>
        <w:bidi w:val="0"/>
        <w:spacing w:before="0" w:after="0"/>
        <w:ind w:left="498" w:right="0" w:hanging="480"/>
        <w:jc w:val="both"/>
        <w:rPr>
          <w:rFonts w:ascii="Times New Roman;Times;serif" w:hAnsi="Times New Roman;Times;serif"/>
          <w:sz w:val="20"/>
        </w:rPr>
      </w:pPr>
      <w:r>
        <w:rPr>
          <w:rFonts w:ascii="Times New Roman;Times;serif" w:hAnsi="Times New Roman;Times;serif"/>
          <w:sz w:val="20"/>
        </w:rPr>
        <w:t>Mailing Address: [***]</w:t>
      </w:r>
    </w:p>
    <w:p>
      <w:pPr>
        <w:pStyle w:val="TextBody"/>
        <w:pBdr/>
        <w:bidi w:val="0"/>
        <w:spacing w:before="0" w:after="0"/>
        <w:ind w:left="498" w:right="0" w:hanging="480"/>
        <w:jc w:val="both"/>
        <w:rPr>
          <w:rFonts w:ascii="Times New Roman;Times;serif" w:hAnsi="Times New Roman;Times;serif"/>
          <w:sz w:val="20"/>
        </w:rPr>
      </w:pPr>
      <w:r>
        <w:rPr>
          <w:rFonts w:ascii="Times New Roman;Times;serif" w:hAnsi="Times New Roman;Times;serif"/>
          <w:sz w:val="20"/>
        </w:rPr>
        <w:t>Contact No.: [***]</w:t>
      </w:r>
    </w:p>
    <w:p>
      <w:pPr>
        <w:pStyle w:val="TextBody"/>
        <w:pBdr/>
        <w:bidi w:val="0"/>
        <w:spacing w:before="0" w:after="190"/>
        <w:ind w:left="498" w:right="0" w:hanging="480"/>
        <w:jc w:val="both"/>
        <w:rPr>
          <w:rFonts w:ascii="Times New Roman;Times;serif" w:hAnsi="Times New Roman;Times;serif"/>
          <w:sz w:val="20"/>
        </w:rPr>
      </w:pPr>
      <w:r>
        <w:rPr>
          <w:rFonts w:ascii="Times New Roman;Times;serif" w:hAnsi="Times New Roman;Times;serif"/>
          <w:sz w:val="20"/>
        </w:rPr>
        <w:t>Email: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14.3</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If any Party changes the above mailing address or contact information (the “</w:t>
            </w:r>
            <w:r>
              <w:rPr>
                <w:rFonts w:ascii="Times New Roman;Times;serif" w:hAnsi="Times New Roman;Times;serif"/>
                <w:b/>
                <w:sz w:val="20"/>
              </w:rPr>
              <w:t>Changing Party</w:t>
            </w:r>
            <w:r>
              <w:rPr>
                <w:rFonts w:ascii="Times New Roman;Times;serif" w:hAnsi="Times New Roman;Times;serif"/>
                <w:sz w:val="20"/>
              </w:rPr>
              <w:t>”), it shall notify the other Party within seven (7) days after the occurrence of such change. If the Changing Party fails to notify the other Party of the same in a timely manner, it shall bear the losses arising from such failure.</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14.4</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All Parties hereby confirm that, in the event of litigation or arbitration arising from disputes during or in connection with the performance of this Agreement (including enforcement procedures), the above mailing address shall serve as the receiving address for relevant notices and legal documents sent by mail to the other Parties, people’s courts, arbitration institutions, etc. If the above mailing address provided by a Party is inaccurate, the change of the above mailing address is not promptly notified to the other Parties, or such Party or its designated recipient refuses to sign for the delivery of the notice or relevant legal documents, resulting in such notice or relevant legal documents not being actually received by such Party, the date on which such documents are returned shall be deemed as the date of service.</w:t>
            </w:r>
          </w:p>
        </w:tc>
      </w:tr>
    </w:tbl>
    <w:p>
      <w:pPr>
        <w:pStyle w:val="TextBody"/>
        <w:bidi w:val="0"/>
        <w:spacing w:before="0" w:after="19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MISCELLANEOUS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15.1</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This Agreement, other Transaction Documents and the exhibits attached hereto shall constitute the entire agreement of the Parties with respect to this Transaction and supersede any prior agreement, letter of intent, memorandum of understanding, representations or other obligations (whether written or oral, including various forms of communication) of the Parties with respect to this Transaction and this Agreement (including amended or modified agreements or amendments thereto, and the other Transaction Documents) contains the only and entire agreement of the Parties with respect to the matters hereunder.</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15.2</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Exhibits hereto shall be an integral part of this Agreement and shall be supplemental to and have the same legal effect as the text hereof.</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15.3</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Subject to the relevant provisions under this Agreement and the Shareholders Agreement, Investors shall have the right to transfer all or part of their rights, interests and obligations under this Agreement to their Affiliates or third parties agreed by the NIO Parties. The relevant transferee shall acknowledge and agree to the entire contents of this Agreement, and shall re-sign this agreement with other Parties or sign relevant supplementary agreements or joinder agreements to confirm their rights and obligations. Regarding the aforementioned transfer, the other Parties to this Agreement hereby waive their rights of first refusal and any other priority rights that they may have in accordance with applicable PRC laws, this Agreement, the Shareholders Agreement, Target Company's Articles of Association, or any other cause.</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15.4</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Investors’ implementation of this Transaction does not authorize its use of any trademark, trade name, service mark or logo (or any abbreviation or imitation thereof, including, without limitation, “</w:t>
            </w:r>
            <w:r>
              <w:rPr>
                <w:rFonts w:ascii="Times New Roman;Times;serif" w:hAnsi="Times New Roman;Times;serif"/>
                <w:b/>
                <w:sz w:val="20"/>
              </w:rPr>
              <w:t>SDIC</w:t>
            </w:r>
            <w:r>
              <w:rPr>
                <w:rFonts w:ascii="Times New Roman;Times;serif" w:hAnsi="Times New Roman;Times;serif"/>
                <w:sz w:val="20"/>
              </w:rPr>
              <w:t>”, “</w:t>
            </w:r>
            <w:r>
              <w:rPr>
                <w:rFonts w:ascii="Times New Roman;Times;serif" w:hAnsi="Times New Roman;Times;serif"/>
                <w:b/>
                <w:sz w:val="20"/>
              </w:rPr>
              <w:t>SDIC Merchants</w:t>
            </w:r>
            <w:r>
              <w:rPr>
                <w:rFonts w:ascii="Times New Roman;Times;serif" w:hAnsi="Times New Roman;Times;serif"/>
                <w:sz w:val="20"/>
              </w:rPr>
              <w:t>”,  “</w:t>
            </w:r>
            <w:r>
              <w:rPr>
                <w:rFonts w:ascii="Times New Roman;Times;serif" w:hAnsi="Times New Roman;Times;serif"/>
                <w:b/>
                <w:sz w:val="20"/>
              </w:rPr>
              <w:t>Advanced Manufacturing Industry Fund</w:t>
            </w:r>
            <w:r>
              <w:rPr>
                <w:rFonts w:ascii="Times New Roman;Times;serif" w:hAnsi="Times New Roman;Times;serif"/>
                <w:sz w:val="20"/>
              </w:rPr>
              <w:t>”, “</w:t>
            </w:r>
            <w:r>
              <w:rPr>
                <w:rFonts w:ascii="Times New Roman;Times;serif" w:hAnsi="Times New Roman;Times;serif"/>
                <w:b/>
                <w:sz w:val="20"/>
              </w:rPr>
              <w:t>Anhui High-tech Co.</w:t>
            </w:r>
            <w:r>
              <w:rPr>
                <w:rFonts w:ascii="Times New Roman;Times;serif" w:hAnsi="Times New Roman;Times;serif"/>
                <w:sz w:val="20"/>
              </w:rPr>
              <w:t>” and “</w:t>
            </w:r>
            <w:r>
              <w:rPr>
                <w:rFonts w:ascii="Times New Roman;Times;serif" w:hAnsi="Times New Roman;Times;serif"/>
                <w:b/>
                <w:sz w:val="20"/>
              </w:rPr>
              <w:t>Hefei Construction Co.</w:t>
            </w:r>
            <w:r>
              <w:rPr>
                <w:rFonts w:ascii="Times New Roman;Times;serif" w:hAnsi="Times New Roman;Times;serif"/>
                <w:sz w:val="20"/>
              </w:rPr>
              <w:t>”) of the Investors or their Affiliates. Without the prior written consent of the Investors, the Target Company and the other Group Members, the NIO Parties and its Affiliates shall not directly or indirectly represent that any product or service provided by them has been approved or acknowledged by the Investors or their Affiliates. Any publicity, press releases, and announcements or other disclosures to the public regarding the Transaction involving the Investors shall be made with the prior consent and acknowledgement of the Investors, provided that such disclosures are in compliance with applicable laws and regulations.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15.5</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Non-Solicitation of Employees. The Parties hereby covenant and agree that from the Closing until twenty four (24) months after the completion of the exit or termination of this Transaction, without the prior written consent of the other Party, neither Party nor its Affiliates shall directly or indirectly solicit, recruit, or attempt to solicit or recruit any current or former employee of the other Party or its Affiliates (the “</w:t>
            </w:r>
            <w:r>
              <w:rPr>
                <w:rFonts w:ascii="Times New Roman;Times;serif" w:hAnsi="Times New Roman;Times;serif"/>
                <w:b/>
                <w:sz w:val="20"/>
              </w:rPr>
              <w:t>Employer</w:t>
            </w:r>
            <w:r>
              <w:rPr>
                <w:rFonts w:ascii="Times New Roman;Times;serif" w:hAnsi="Times New Roman;Times;serif"/>
                <w:sz w:val="20"/>
              </w:rPr>
              <w:t>”), except in the following circumstances: (a) solicitation through general recruitment advertisements that are not targeted at such employee; (b) entrusting a headhunting firm or employment agency to</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90"/>
        <w:ind w:left="567" w:right="0" w:hanging="0"/>
        <w:jc w:val="both"/>
        <w:rPr>
          <w:rFonts w:ascii="Times New Roman;Times;serif" w:hAnsi="Times New Roman;Times;serif"/>
          <w:sz w:val="20"/>
        </w:rPr>
      </w:pPr>
      <w:r>
        <w:rPr>
          <w:rFonts w:ascii="Times New Roman;Times;serif" w:hAnsi="Times New Roman;Times;serif"/>
          <w:sz w:val="20"/>
        </w:rPr>
        <w:t>recruit, provided that such entrusted agency has not accepted instructions from that Party to target the solicitation at such employee; (c) the employee has terminated his/her employment relationship with the Employer for more than twelve (12) months.</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15.6</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During the process of this Transaction, each Party hereto guarantees and promises to strictly adhere to the relevant laws and regulations on anti-bribery and anti-unfair competition (the “</w:t>
            </w:r>
            <w:r>
              <w:rPr>
                <w:rFonts w:ascii="Times New Roman;Times;serif" w:hAnsi="Times New Roman;Times;serif"/>
                <w:b/>
                <w:sz w:val="20"/>
              </w:rPr>
              <w:t>Anti-Bribery Laws</w:t>
            </w:r>
            <w:r>
              <w:rPr>
                <w:rFonts w:ascii="Times New Roman;Times;serif" w:hAnsi="Times New Roman;Times;serif"/>
                <w:sz w:val="20"/>
              </w:rPr>
              <w:t>”), and neither itself nor its employees, duly authorized representatives, or consultants shall directly or indirectly offer or promise to offer to any other Party or its employees, duly authorized representatives, consultants, or other entities any cash or cash equivalents, job opportunities, services, trade secrets, or other benefits that violate the Anti-Bribery Laws. If any Party hereto engages in any conduct that violates the Anti-Bribery Laws during the process of this Capital Increase, it shall be deemed to be in breach, and the other Parties hereto shall have the right to terminate the Transaction Documents and demand that the breaching Party bear the liability for breach.</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15.7</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For the purpose of providing the Investors with all the rights, powers and remedies granted hereunder, upon reasonable request of the Investors from time to time, the other Parties shall take all such further acts and actions or cause all such further acts and actions to be taken and execute or procure the execution of all such further documents.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15.8</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If any provision in this Agreement is held to be illegal, invalid or unenforceable, in whole or in part, the legality, validity and enforceability of the remainder of this Agreement shall not be affected. The Parties shall use their best reasonable efforts in order to substitute the invalid or unenforceable provision with a valid and enforceable substitute provision that comes as close as possible to the invalid or unenforceable provision in terms of its intended meaning and that ensures that the objectives of the invalid or unenforceable provision are as close as possible.</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15.9</w:t>
            </w:r>
          </w:p>
        </w:tc>
        <w:tc>
          <w:tcPr>
            <w:tcW w:w="982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No failure or delay of any Party to exercise and/or enjoy its rights and/or benefits hereunder shall be deemed as a waiver of such rights and/or benefits, nor shall any partial exercise of such rights and/or benefits preclude any future exercise of such rights and/or benefits.</w:t>
            </w:r>
          </w:p>
        </w:tc>
      </w:tr>
    </w:tbl>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15.10</w:t>
            </w:r>
          </w:p>
        </w:tc>
        <w:tc>
          <w:tcPr>
            <w:tcW w:w="972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In the event that a separate agreement is required to be executed in accordance with the form provided by the governmental Authorities for the purpose of requesting a governmental authority to perform of a certain act in connection with the Transaction contemplated by this Agreement, this Agreement shall have full priority over the said separate agreement and such agreement may only be used to request performance of such specific act from the governmental authority and shall not be used to establish and prove the rights and obligations of the relevant Parties with respect to the matters stipulated by this Agreement.</w:t>
            </w:r>
          </w:p>
        </w:tc>
      </w:tr>
    </w:tbl>
    <w:tbl>
      <w:tblPr>
        <w:tblW w:w="1645" w:type="dxa"/>
        <w:jc w:val="left"/>
        <w:tblInd w:w="0" w:type="dxa"/>
        <w:tblLayout w:type="fixed"/>
        <w:tblCellMar>
          <w:top w:w="0" w:type="dxa"/>
          <w:left w:w="0" w:type="dxa"/>
          <w:bottom w:w="0" w:type="dxa"/>
          <w:right w:w="0" w:type="dxa"/>
        </w:tblCellMar>
      </w:tblPr>
      <w:tblGrid>
        <w:gridCol w:w="485"/>
        <w:gridCol w:w="1160"/>
      </w:tblGrid>
      <w:tr>
        <w:trPr/>
        <w:tc>
          <w:tcPr>
            <w:tcW w:w="48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15.11</w:t>
            </w:r>
          </w:p>
        </w:tc>
        <w:tc>
          <w:tcPr>
            <w:tcW w:w="116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Independence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635"/>
        <w:gridCol w:w="9547"/>
      </w:tblGrid>
      <w:tr>
        <w:trPr/>
        <w:tc>
          <w:tcPr>
            <w:tcW w:w="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15.11.1</w:t>
            </w:r>
          </w:p>
        </w:tc>
        <w:tc>
          <w:tcPr>
            <w:tcW w:w="954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Parties agree that each Investor shall have rights and obligations to them respectively in connection with this Agreement as the Investors and the obligations and liabilities of each Investor under this Agreement and other Transaction Documents shall be separate but not joint and several.</w:t>
            </w:r>
          </w:p>
        </w:tc>
      </w:tr>
    </w:tbl>
    <w:tbl>
      <w:tblPr>
        <w:tblW w:w="10205" w:type="dxa"/>
        <w:jc w:val="left"/>
        <w:tblInd w:w="0" w:type="dxa"/>
        <w:tblLayout w:type="fixed"/>
        <w:tblCellMar>
          <w:top w:w="0" w:type="dxa"/>
          <w:left w:w="0" w:type="dxa"/>
          <w:bottom w:w="0" w:type="dxa"/>
          <w:right w:w="0" w:type="dxa"/>
        </w:tblCellMar>
      </w:tblPr>
      <w:tblGrid>
        <w:gridCol w:w="23"/>
        <w:gridCol w:w="635"/>
        <w:gridCol w:w="9547"/>
      </w:tblGrid>
      <w:tr>
        <w:trPr/>
        <w:tc>
          <w:tcPr>
            <w:tcW w:w="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15.11.2</w:t>
            </w:r>
          </w:p>
        </w:tc>
        <w:tc>
          <w:tcPr>
            <w:tcW w:w="954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If any dispute arises between any of the Investors and any other Party in connection with the interpretation of this Agreement or other Transaction Documents, the rights and obligations of such Investor in connection with the matters referred to in this Agreement and other Transaction Documents to which the Investors relate shall be interpreted separately. The execution, effectiveness, performance, termination or dispute of this Agreement and the other Transaction Documents by an Investor will not have any adverse effect on the execution, effectiveness, performance, rescission and dispute of this Agreement and the other Parties.</w:t>
            </w:r>
          </w:p>
        </w:tc>
      </w:tr>
    </w:tbl>
    <w:tbl>
      <w:tblPr>
        <w:tblW w:w="10205" w:type="dxa"/>
        <w:jc w:val="left"/>
        <w:tblInd w:w="0" w:type="dxa"/>
        <w:tblLayout w:type="fixed"/>
        <w:tblCellMar>
          <w:top w:w="0" w:type="dxa"/>
          <w:left w:w="0" w:type="dxa"/>
          <w:bottom w:w="0" w:type="dxa"/>
          <w:right w:w="0" w:type="dxa"/>
        </w:tblCellMar>
      </w:tblPr>
      <w:tblGrid>
        <w:gridCol w:w="23"/>
        <w:gridCol w:w="635"/>
        <w:gridCol w:w="9547"/>
      </w:tblGrid>
      <w:tr>
        <w:trPr/>
        <w:tc>
          <w:tcPr>
            <w:tcW w:w="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15.11.3</w:t>
            </w:r>
          </w:p>
        </w:tc>
        <w:tc>
          <w:tcPr>
            <w:tcW w:w="954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waiver of rights or termination of this Agreement by each Investor shall be valid only within the scope of rights and obligations of such Investor and shall not constitute a waiver of rights or termination of this Agreement by any other Party.</w:t>
            </w:r>
          </w:p>
        </w:tc>
      </w:tr>
    </w:tbl>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15.12</w:t>
            </w:r>
          </w:p>
        </w:tc>
        <w:tc>
          <w:tcPr>
            <w:tcW w:w="972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This Agreement is written in the Chinese language in eight (8) originals with the same legal effect. Each Party shall hold one (1) counterpart.</w:t>
            </w:r>
          </w:p>
        </w:tc>
      </w:tr>
    </w:tbl>
    <w:p>
      <w:pPr>
        <w:pStyle w:val="TextBody"/>
        <w:bidi w:val="0"/>
        <w:spacing w:before="0" w:after="0"/>
        <w:ind w:left="0" w:right="0" w:hanging="0"/>
        <w:jc w:val="left"/>
        <w:rPr/>
      </w:pPr>
      <w:r>
        <w:rPr/>
        <w:t>​</w:t>
      </w:r>
    </w:p>
    <w:p>
      <w:pPr>
        <w:pStyle w:val="TextBody"/>
        <w:pBdr/>
        <w:bidi w:val="0"/>
        <w:spacing w:before="0" w:after="0"/>
        <w:ind w:left="0" w:right="0" w:hanging="720"/>
        <w:jc w:val="both"/>
        <w:rPr>
          <w:rFonts w:ascii="Times New Roman;Times;serif" w:hAnsi="Times New Roman;Times;serif"/>
          <w:sz w:val="20"/>
        </w:rPr>
      </w:pPr>
      <w:r>
        <w:rPr>
          <w:rFonts w:ascii="Times New Roman;Times;serif" w:hAnsi="Times New Roman;Times;serif"/>
          <w:sz w:val="20"/>
        </w:rPr>
        <w:t>The Parties hereby execute this Agreement as of the date first written above.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PAGES FOLLOW]</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(This is the Signature Page to the NIO China</w:t>
      </w:r>
      <w:r>
        <w:rPr>
          <w:rFonts w:ascii="Times New Roman;Times;serif" w:hAnsi="Times New Roman;Times;serif"/>
          <w:sz w:val="20"/>
        </w:rPr>
        <w:t xml:space="preserve"> </w:t>
      </w:r>
      <w:r>
        <w:rPr>
          <w:rFonts w:ascii="Times New Roman;Times;serif" w:hAnsi="Times New Roman;Times;serif"/>
          <w:i/>
          <w:sz w:val="20"/>
        </w:rPr>
        <w:t>Series B</w:t>
      </w:r>
      <w:r>
        <w:rPr>
          <w:rFonts w:ascii="Times New Roman;Times;serif" w:hAnsi="Times New Roman;Times;serif"/>
          <w:sz w:val="20"/>
        </w:rPr>
        <w:t xml:space="preserve"> </w:t>
      </w:r>
      <w:r>
        <w:rPr>
          <w:rFonts w:ascii="Times New Roman;Times;serif" w:hAnsi="Times New Roman;Times;serif"/>
          <w:i/>
          <w:sz w:val="20"/>
        </w:rPr>
        <w:t>Investment Agreement, this Agreement shall be executed in eight (8)</w:t>
      </w:r>
      <w:r>
        <w:rPr>
          <w:rFonts w:ascii="Times New Roman;Times;serif" w:hAnsi="Times New Roman;Times;serif"/>
          <w:sz w:val="20"/>
        </w:rPr>
        <w:t xml:space="preserve"> </w:t>
      </w:r>
      <w:r>
        <w:rPr>
          <w:rFonts w:ascii="Times New Roman;Times;serif" w:hAnsi="Times New Roman;Times;serif"/>
          <w:i/>
          <w:sz w:val="20"/>
        </w:rPr>
        <w:t>originals)</w:t>
      </w:r>
    </w:p>
    <w:p>
      <w:pPr>
        <w:pStyle w:val="TextBody"/>
        <w:pBdr/>
        <w:bidi w:val="0"/>
        <w:spacing w:before="0" w:after="0"/>
        <w:ind w:left="0" w:right="0" w:hanging="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Agreement to be duly executed as of the date first written above.</w:t>
      </w:r>
    </w:p>
    <w:p>
      <w:pPr>
        <w:pStyle w:val="TextBody"/>
        <w:pBdr/>
        <w:bidi w:val="0"/>
        <w:spacing w:before="0" w:after="0"/>
        <w:ind w:left="0" w:right="0" w:hanging="720"/>
        <w:jc w:val="both"/>
        <w:rPr/>
      </w:pPr>
      <w:r>
        <w:rPr/>
        <w:t>​</w:t>
      </w:r>
    </w:p>
    <w:p>
      <w:pPr>
        <w:pStyle w:val="TextBody"/>
        <w:bidi w:val="0"/>
        <w:spacing w:before="0" w:after="0"/>
        <w:ind w:left="0" w:right="0" w:hanging="0"/>
        <w:jc w:val="both"/>
        <w:rPr/>
      </w:pPr>
      <w:r>
        <w:rPr/>
        <w:t>​</w:t>
      </w:r>
    </w:p>
    <w:tbl>
      <w:tblPr>
        <w:tblW w:w="7999" w:type="dxa"/>
        <w:jc w:val="left"/>
        <w:tblInd w:w="0" w:type="dxa"/>
        <w:tblLayout w:type="fixed"/>
        <w:tblCellMar>
          <w:top w:w="0" w:type="dxa"/>
          <w:left w:w="0" w:type="dxa"/>
          <w:bottom w:w="0" w:type="dxa"/>
          <w:right w:w="0" w:type="dxa"/>
        </w:tblCellMar>
      </w:tblPr>
      <w:tblGrid>
        <w:gridCol w:w="124"/>
        <w:gridCol w:w="332"/>
        <w:gridCol w:w="7543"/>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787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Hefei Jianheng New Energy Automobile Investment Fund Partnership (Limited Partnership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7875"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787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32" w:type="dxa"/>
            <w:tcBorders/>
            <w:vAlign w:val="center"/>
          </w:tcPr>
          <w:p>
            <w:pPr>
              <w:pStyle w:val="TableContents"/>
              <w:bidi w:val="0"/>
              <w:spacing w:before="0" w:after="283"/>
              <w:ind w:left="0" w:right="0" w:hanging="0"/>
              <w:jc w:val="left"/>
              <w:rPr>
                <w:sz w:val="4"/>
                <w:szCs w:val="4"/>
              </w:rPr>
            </w:pPr>
            <w:r>
              <w:rPr>
                <w:sz w:val="4"/>
                <w:szCs w:val="4"/>
              </w:rPr>
            </w:r>
          </w:p>
        </w:tc>
        <w:tc>
          <w:tcPr>
            <w:tcW w:w="7543"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32" w:type="dxa"/>
            <w:tcBorders/>
            <w:vAlign w:val="center"/>
          </w:tcPr>
          <w:p>
            <w:pPr>
              <w:pStyle w:val="TableContents"/>
              <w:bidi w:val="0"/>
              <w:spacing w:before="0" w:after="283"/>
              <w:ind w:left="0" w:right="0" w:hanging="0"/>
              <w:jc w:val="left"/>
              <w:rPr>
                <w:sz w:val="4"/>
                <w:szCs w:val="4"/>
              </w:rPr>
            </w:pPr>
            <w:r>
              <w:rPr>
                <w:sz w:val="4"/>
                <w:szCs w:val="4"/>
              </w:rPr>
            </w:r>
          </w:p>
        </w:tc>
        <w:tc>
          <w:tcPr>
            <w:tcW w:w="75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32" w:type="dxa"/>
            <w:tcBorders/>
            <w:vAlign w:val="center"/>
          </w:tcPr>
          <w:p>
            <w:pPr>
              <w:pStyle w:val="TableContents"/>
              <w:bidi w:val="0"/>
              <w:spacing w:before="0" w:after="283"/>
              <w:ind w:left="0" w:right="0" w:hanging="0"/>
              <w:jc w:val="left"/>
              <w:rPr>
                <w:sz w:val="4"/>
                <w:szCs w:val="4"/>
              </w:rPr>
            </w:pPr>
            <w:r>
              <w:rPr>
                <w:sz w:val="4"/>
                <w:szCs w:val="4"/>
              </w:rPr>
            </w:r>
          </w:p>
        </w:tc>
        <w:tc>
          <w:tcPr>
            <w:tcW w:w="75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32" w:type="dxa"/>
            <w:tcBorders/>
            <w:vAlign w:val="center"/>
          </w:tcPr>
          <w:p>
            <w:pPr>
              <w:pStyle w:val="TableContents"/>
              <w:bidi w:val="0"/>
              <w:spacing w:before="0" w:after="283"/>
              <w:ind w:left="0" w:right="0" w:hanging="0"/>
              <w:jc w:val="left"/>
              <w:rPr>
                <w:sz w:val="4"/>
                <w:szCs w:val="4"/>
              </w:rPr>
            </w:pPr>
            <w:r>
              <w:rPr>
                <w:sz w:val="4"/>
                <w:szCs w:val="4"/>
              </w:rPr>
            </w:r>
          </w:p>
        </w:tc>
        <w:tc>
          <w:tcPr>
            <w:tcW w:w="75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pBdr/>
        <w:bidi w:val="0"/>
        <w:spacing w:before="0" w:after="0"/>
        <w:ind w:left="0" w:right="0" w:hanging="72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NIO China Series B Investment Agreement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(This is the Signature Page to the NIO China</w:t>
      </w:r>
      <w:r>
        <w:rPr>
          <w:rFonts w:ascii="Times New Roman;Times;serif" w:hAnsi="Times New Roman;Times;serif"/>
          <w:sz w:val="20"/>
        </w:rPr>
        <w:t xml:space="preserve"> </w:t>
      </w:r>
      <w:r>
        <w:rPr>
          <w:rFonts w:ascii="Times New Roman;Times;serif" w:hAnsi="Times New Roman;Times;serif"/>
          <w:i/>
          <w:sz w:val="20"/>
        </w:rPr>
        <w:t>Series B</w:t>
      </w:r>
      <w:r>
        <w:rPr>
          <w:rFonts w:ascii="Times New Roman;Times;serif" w:hAnsi="Times New Roman;Times;serif"/>
          <w:sz w:val="20"/>
        </w:rPr>
        <w:t xml:space="preserve"> </w:t>
      </w:r>
      <w:r>
        <w:rPr>
          <w:rFonts w:ascii="Times New Roman;Times;serif" w:hAnsi="Times New Roman;Times;serif"/>
          <w:i/>
          <w:sz w:val="20"/>
        </w:rPr>
        <w:t>Investment Agreement, this Agreement shall be executed in eight (8)</w:t>
      </w:r>
      <w:r>
        <w:rPr>
          <w:rFonts w:ascii="Times New Roman;Times;serif" w:hAnsi="Times New Roman;Times;serif"/>
          <w:sz w:val="20"/>
        </w:rPr>
        <w:t xml:space="preserve"> </w:t>
      </w:r>
      <w:r>
        <w:rPr>
          <w:rFonts w:ascii="Times New Roman;Times;serif" w:hAnsi="Times New Roman;Times;serif"/>
          <w:i/>
          <w:sz w:val="20"/>
        </w:rPr>
        <w:t>originals)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Agreement to be duly executed as of the date first written above.</w:t>
      </w:r>
    </w:p>
    <w:p>
      <w:pPr>
        <w:pStyle w:val="TextBody"/>
        <w:bidi w:val="0"/>
        <w:spacing w:before="0" w:after="0"/>
        <w:ind w:left="0" w:right="0" w:hanging="0"/>
        <w:jc w:val="both"/>
        <w:rPr/>
      </w:pPr>
      <w:r>
        <w:rPr/>
        <w:t>​</w:t>
      </w:r>
    </w:p>
    <w:tbl>
      <w:tblPr>
        <w:tblW w:w="3889" w:type="dxa"/>
        <w:jc w:val="left"/>
        <w:tblInd w:w="0" w:type="dxa"/>
        <w:tblLayout w:type="fixed"/>
        <w:tblCellMar>
          <w:top w:w="0" w:type="dxa"/>
          <w:left w:w="0" w:type="dxa"/>
          <w:bottom w:w="0" w:type="dxa"/>
          <w:right w:w="0" w:type="dxa"/>
        </w:tblCellMar>
      </w:tblPr>
      <w:tblGrid>
        <w:gridCol w:w="124"/>
        <w:gridCol w:w="158"/>
        <w:gridCol w:w="360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76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CMG-SDIC Capital Management Co., Ltd. </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765"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7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8" w:type="dxa"/>
            <w:tcBorders/>
            <w:vAlign w:val="center"/>
          </w:tcPr>
          <w:p>
            <w:pPr>
              <w:pStyle w:val="TableContents"/>
              <w:bidi w:val="0"/>
              <w:spacing w:before="0" w:after="283"/>
              <w:ind w:left="0" w:right="0" w:hanging="0"/>
              <w:jc w:val="left"/>
              <w:rPr>
                <w:sz w:val="4"/>
                <w:szCs w:val="4"/>
              </w:rPr>
            </w:pPr>
            <w:r>
              <w:rPr>
                <w:sz w:val="4"/>
                <w:szCs w:val="4"/>
              </w:rPr>
            </w:r>
          </w:p>
        </w:tc>
        <w:tc>
          <w:tcPr>
            <w:tcW w:w="3607"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8" w:type="dxa"/>
            <w:tcBorders/>
            <w:vAlign w:val="center"/>
          </w:tcPr>
          <w:p>
            <w:pPr>
              <w:pStyle w:val="TableContents"/>
              <w:bidi w:val="0"/>
              <w:spacing w:before="0" w:after="283"/>
              <w:ind w:left="0" w:right="0" w:hanging="0"/>
              <w:jc w:val="left"/>
              <w:rPr>
                <w:sz w:val="4"/>
                <w:szCs w:val="4"/>
              </w:rPr>
            </w:pPr>
            <w:r>
              <w:rPr>
                <w:sz w:val="4"/>
                <w:szCs w:val="4"/>
              </w:rPr>
            </w:r>
          </w:p>
        </w:tc>
        <w:tc>
          <w:tcPr>
            <w:tcW w:w="36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8" w:type="dxa"/>
            <w:tcBorders/>
            <w:vAlign w:val="center"/>
          </w:tcPr>
          <w:p>
            <w:pPr>
              <w:pStyle w:val="TableContents"/>
              <w:bidi w:val="0"/>
              <w:spacing w:before="0" w:after="283"/>
              <w:ind w:left="0" w:right="0" w:hanging="0"/>
              <w:jc w:val="left"/>
              <w:rPr>
                <w:sz w:val="4"/>
                <w:szCs w:val="4"/>
              </w:rPr>
            </w:pPr>
            <w:r>
              <w:rPr>
                <w:sz w:val="4"/>
                <w:szCs w:val="4"/>
              </w:rPr>
            </w:r>
          </w:p>
        </w:tc>
        <w:tc>
          <w:tcPr>
            <w:tcW w:w="36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8" w:type="dxa"/>
            <w:tcBorders/>
            <w:vAlign w:val="center"/>
          </w:tcPr>
          <w:p>
            <w:pPr>
              <w:pStyle w:val="TableContents"/>
              <w:bidi w:val="0"/>
              <w:spacing w:before="0" w:after="283"/>
              <w:ind w:left="0" w:right="0" w:hanging="0"/>
              <w:jc w:val="left"/>
              <w:rPr>
                <w:sz w:val="4"/>
                <w:szCs w:val="4"/>
              </w:rPr>
            </w:pPr>
            <w:r>
              <w:rPr>
                <w:sz w:val="4"/>
                <w:szCs w:val="4"/>
              </w:rPr>
            </w:r>
          </w:p>
        </w:tc>
        <w:tc>
          <w:tcPr>
            <w:tcW w:w="36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pBdr/>
        <w:bidi w:val="0"/>
        <w:spacing w:before="0" w:after="0"/>
        <w:ind w:left="0" w:right="0" w:hanging="72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NIO China Series B Investment Agreement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(This is the Signature Page to the NIO China</w:t>
      </w:r>
      <w:r>
        <w:rPr>
          <w:rFonts w:ascii="Times New Roman;Times;serif" w:hAnsi="Times New Roman;Times;serif"/>
          <w:sz w:val="20"/>
        </w:rPr>
        <w:t xml:space="preserve"> </w:t>
      </w:r>
      <w:r>
        <w:rPr>
          <w:rFonts w:ascii="Times New Roman;Times;serif" w:hAnsi="Times New Roman;Times;serif"/>
          <w:i/>
          <w:sz w:val="20"/>
        </w:rPr>
        <w:t>Series B</w:t>
      </w:r>
      <w:r>
        <w:rPr>
          <w:rFonts w:ascii="Times New Roman;Times;serif" w:hAnsi="Times New Roman;Times;serif"/>
          <w:sz w:val="20"/>
        </w:rPr>
        <w:t xml:space="preserve"> </w:t>
      </w:r>
      <w:r>
        <w:rPr>
          <w:rFonts w:ascii="Times New Roman;Times;serif" w:hAnsi="Times New Roman;Times;serif"/>
          <w:i/>
          <w:sz w:val="20"/>
        </w:rPr>
        <w:t>Investment Agreement, this Agreement shall be executed in eight (8)</w:t>
      </w:r>
      <w:r>
        <w:rPr>
          <w:rFonts w:ascii="Times New Roman;Times;serif" w:hAnsi="Times New Roman;Times;serif"/>
          <w:sz w:val="20"/>
        </w:rPr>
        <w:t xml:space="preserve"> </w:t>
      </w:r>
      <w:r>
        <w:rPr>
          <w:rFonts w:ascii="Times New Roman;Times;serif" w:hAnsi="Times New Roman;Times;serif"/>
          <w:i/>
          <w:sz w:val="20"/>
        </w:rPr>
        <w:t>originals)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Agreement to be duly executed as of the date first written above.</w:t>
      </w:r>
    </w:p>
    <w:p>
      <w:pPr>
        <w:pStyle w:val="TextBody"/>
        <w:pBdr/>
        <w:bidi w:val="0"/>
        <w:spacing w:before="0" w:after="0"/>
        <w:ind w:left="0" w:right="0" w:hanging="720"/>
        <w:jc w:val="both"/>
        <w:rPr/>
      </w:pPr>
      <w:r>
        <w:rPr/>
        <w:t>​</w:t>
      </w:r>
    </w:p>
    <w:tbl>
      <w:tblPr>
        <w:tblW w:w="5134" w:type="dxa"/>
        <w:jc w:val="left"/>
        <w:tblInd w:w="0" w:type="dxa"/>
        <w:tblLayout w:type="fixed"/>
        <w:tblCellMar>
          <w:top w:w="0" w:type="dxa"/>
          <w:left w:w="0" w:type="dxa"/>
          <w:bottom w:w="0" w:type="dxa"/>
          <w:right w:w="0" w:type="dxa"/>
        </w:tblCellMar>
      </w:tblPr>
      <w:tblGrid>
        <w:gridCol w:w="124"/>
        <w:gridCol w:w="211"/>
        <w:gridCol w:w="4799"/>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4799"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501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Anhui Provincial Emerging Industry Investment Co., Ltd.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5010"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50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4799"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47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47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p>
        </w:tc>
        <w:tc>
          <w:tcPr>
            <w:tcW w:w="47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NIO China Series B Investment Agreement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(This is the Signature Page to the NIO China</w:t>
      </w:r>
      <w:r>
        <w:rPr>
          <w:rFonts w:ascii="Times New Roman;Times;serif" w:hAnsi="Times New Roman;Times;serif"/>
          <w:sz w:val="20"/>
        </w:rPr>
        <w:t xml:space="preserve"> </w:t>
      </w:r>
      <w:r>
        <w:rPr>
          <w:rFonts w:ascii="Times New Roman;Times;serif" w:hAnsi="Times New Roman;Times;serif"/>
          <w:i/>
          <w:sz w:val="20"/>
        </w:rPr>
        <w:t>Series B</w:t>
      </w:r>
      <w:r>
        <w:rPr>
          <w:rFonts w:ascii="Times New Roman;Times;serif" w:hAnsi="Times New Roman;Times;serif"/>
          <w:sz w:val="20"/>
        </w:rPr>
        <w:t xml:space="preserve"> </w:t>
      </w:r>
      <w:r>
        <w:rPr>
          <w:rFonts w:ascii="Times New Roman;Times;serif" w:hAnsi="Times New Roman;Times;serif"/>
          <w:i/>
          <w:sz w:val="20"/>
        </w:rPr>
        <w:t>Investment Agreement, this Agreement shall be executed in eight (8)</w:t>
      </w:r>
      <w:r>
        <w:rPr>
          <w:rFonts w:ascii="Times New Roman;Times;serif" w:hAnsi="Times New Roman;Times;serif"/>
          <w:sz w:val="20"/>
        </w:rPr>
        <w:t xml:space="preserve"> </w:t>
      </w:r>
      <w:r>
        <w:rPr>
          <w:rFonts w:ascii="Times New Roman;Times;serif" w:hAnsi="Times New Roman;Times;serif"/>
          <w:i/>
          <w:sz w:val="20"/>
        </w:rPr>
        <w:t>originals)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Agreement to be duly executed as of the date first written above.</w:t>
      </w:r>
    </w:p>
    <w:p>
      <w:pPr>
        <w:pStyle w:val="TextBody"/>
        <w:bidi w:val="0"/>
        <w:spacing w:before="0" w:after="0"/>
        <w:ind w:left="0" w:right="0" w:hanging="0"/>
        <w:jc w:val="both"/>
        <w:rPr/>
      </w:pPr>
      <w:r>
        <w:rPr/>
        <w:t>​</w:t>
      </w:r>
    </w:p>
    <w:tbl>
      <w:tblPr>
        <w:tblW w:w="2709" w:type="dxa"/>
        <w:jc w:val="left"/>
        <w:tblInd w:w="0" w:type="dxa"/>
        <w:tblLayout w:type="fixed"/>
        <w:tblCellMar>
          <w:top w:w="0" w:type="dxa"/>
          <w:left w:w="0" w:type="dxa"/>
          <w:bottom w:w="0" w:type="dxa"/>
          <w:right w:w="0" w:type="dxa"/>
        </w:tblCellMar>
      </w:tblPr>
      <w:tblGrid>
        <w:gridCol w:w="124"/>
        <w:gridCol w:w="109"/>
        <w:gridCol w:w="247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NIO Inc.</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pBdr/>
        <w:bidi w:val="0"/>
        <w:spacing w:before="0" w:after="0"/>
        <w:ind w:left="0" w:right="0" w:hanging="72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NIO China Series B Investment Agreement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(This is the Signature Page to the NIO China</w:t>
      </w:r>
      <w:r>
        <w:rPr>
          <w:rFonts w:ascii="Times New Roman;Times;serif" w:hAnsi="Times New Roman;Times;serif"/>
          <w:sz w:val="20"/>
        </w:rPr>
        <w:t xml:space="preserve"> </w:t>
      </w:r>
      <w:r>
        <w:rPr>
          <w:rFonts w:ascii="Times New Roman;Times;serif" w:hAnsi="Times New Roman;Times;serif"/>
          <w:i/>
          <w:sz w:val="20"/>
        </w:rPr>
        <w:t>Series B</w:t>
      </w:r>
      <w:r>
        <w:rPr>
          <w:rFonts w:ascii="Times New Roman;Times;serif" w:hAnsi="Times New Roman;Times;serif"/>
          <w:sz w:val="20"/>
        </w:rPr>
        <w:t xml:space="preserve"> </w:t>
      </w:r>
      <w:r>
        <w:rPr>
          <w:rFonts w:ascii="Times New Roman;Times;serif" w:hAnsi="Times New Roman;Times;serif"/>
          <w:i/>
          <w:sz w:val="20"/>
        </w:rPr>
        <w:t>Investment Agreement, this Agreement shall be executed in eight (8)</w:t>
      </w:r>
      <w:r>
        <w:rPr>
          <w:rFonts w:ascii="Times New Roman;Times;serif" w:hAnsi="Times New Roman;Times;serif"/>
          <w:sz w:val="20"/>
        </w:rPr>
        <w:t xml:space="preserve"> </w:t>
      </w:r>
      <w:r>
        <w:rPr>
          <w:rFonts w:ascii="Times New Roman;Times;serif" w:hAnsi="Times New Roman;Times;serif"/>
          <w:i/>
          <w:sz w:val="20"/>
        </w:rPr>
        <w:t>originals)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Agreement to be duly executed as of the date first written above.</w:t>
      </w:r>
    </w:p>
    <w:p>
      <w:pPr>
        <w:pStyle w:val="TextBody"/>
        <w:bidi w:val="0"/>
        <w:spacing w:before="0" w:after="0"/>
        <w:ind w:left="0" w:right="0" w:hanging="0"/>
        <w:jc w:val="both"/>
        <w:rPr/>
      </w:pPr>
      <w:r>
        <w:rPr/>
        <w:t>​</w:t>
      </w:r>
    </w:p>
    <w:tbl>
      <w:tblPr>
        <w:tblW w:w="2709" w:type="dxa"/>
        <w:jc w:val="left"/>
        <w:tblInd w:w="0" w:type="dxa"/>
        <w:tblLayout w:type="fixed"/>
        <w:tblCellMar>
          <w:top w:w="0" w:type="dxa"/>
          <w:left w:w="0" w:type="dxa"/>
          <w:bottom w:w="0" w:type="dxa"/>
          <w:right w:w="0" w:type="dxa"/>
        </w:tblCellMar>
      </w:tblPr>
      <w:tblGrid>
        <w:gridCol w:w="124"/>
        <w:gridCol w:w="109"/>
        <w:gridCol w:w="247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NIO Nextev Limited</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pBdr/>
        <w:bidi w:val="0"/>
        <w:spacing w:before="0" w:after="0"/>
        <w:ind w:left="0" w:right="0" w:hanging="72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NIO China Series B Investment Agreement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(This is the Signature Page to the NIO China</w:t>
      </w:r>
      <w:r>
        <w:rPr>
          <w:rFonts w:ascii="Times New Roman;Times;serif" w:hAnsi="Times New Roman;Times;serif"/>
          <w:sz w:val="20"/>
        </w:rPr>
        <w:t xml:space="preserve"> </w:t>
      </w:r>
      <w:r>
        <w:rPr>
          <w:rFonts w:ascii="Times New Roman;Times;serif" w:hAnsi="Times New Roman;Times;serif"/>
          <w:i/>
          <w:sz w:val="20"/>
        </w:rPr>
        <w:t>Series B</w:t>
      </w:r>
      <w:r>
        <w:rPr>
          <w:rFonts w:ascii="Times New Roman;Times;serif" w:hAnsi="Times New Roman;Times;serif"/>
          <w:sz w:val="20"/>
        </w:rPr>
        <w:t xml:space="preserve"> </w:t>
      </w:r>
      <w:r>
        <w:rPr>
          <w:rFonts w:ascii="Times New Roman;Times;serif" w:hAnsi="Times New Roman;Times;serif"/>
          <w:i/>
          <w:sz w:val="20"/>
        </w:rPr>
        <w:t>Investment Agreement, this Agreement shall be executed in eight (8)</w:t>
      </w:r>
      <w:r>
        <w:rPr>
          <w:rFonts w:ascii="Times New Roman;Times;serif" w:hAnsi="Times New Roman;Times;serif"/>
          <w:sz w:val="20"/>
        </w:rPr>
        <w:t xml:space="preserve"> </w:t>
      </w:r>
      <w:r>
        <w:rPr>
          <w:rFonts w:ascii="Times New Roman;Times;serif" w:hAnsi="Times New Roman;Times;serif"/>
          <w:i/>
          <w:sz w:val="20"/>
        </w:rPr>
        <w:t>originals)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Agreement to be duly executed as of the date first written above.</w:t>
      </w:r>
    </w:p>
    <w:p>
      <w:pPr>
        <w:pStyle w:val="TextBody"/>
        <w:bidi w:val="0"/>
        <w:spacing w:before="0" w:after="0"/>
        <w:ind w:left="0" w:right="0" w:hanging="0"/>
        <w:jc w:val="both"/>
        <w:rPr/>
      </w:pPr>
      <w:r>
        <w:rPr/>
        <w:t>​</w:t>
      </w:r>
    </w:p>
    <w:tbl>
      <w:tblPr>
        <w:tblW w:w="2734" w:type="dxa"/>
        <w:jc w:val="left"/>
        <w:tblInd w:w="0" w:type="dxa"/>
        <w:tblLayout w:type="fixed"/>
        <w:tblCellMar>
          <w:top w:w="0" w:type="dxa"/>
          <w:left w:w="0" w:type="dxa"/>
          <w:bottom w:w="0" w:type="dxa"/>
          <w:right w:w="0" w:type="dxa"/>
        </w:tblCellMar>
      </w:tblPr>
      <w:tblGrid>
        <w:gridCol w:w="124"/>
        <w:gridCol w:w="110"/>
        <w:gridCol w:w="2500"/>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10" w:type="dxa"/>
            <w:tcBorders/>
            <w:vAlign w:val="center"/>
          </w:tcPr>
          <w:p>
            <w:pPr>
              <w:pStyle w:val="TableContents"/>
              <w:bidi w:val="0"/>
              <w:spacing w:before="0" w:after="283"/>
              <w:ind w:left="0" w:right="0" w:hanging="0"/>
              <w:jc w:val="left"/>
              <w:rPr>
                <w:sz w:val="4"/>
                <w:szCs w:val="4"/>
              </w:rPr>
            </w:pPr>
            <w:r>
              <w:rPr>
                <w:sz w:val="4"/>
                <w:szCs w:val="4"/>
              </w:rPr>
            </w:r>
          </w:p>
        </w:tc>
        <w:tc>
          <w:tcPr>
            <w:tcW w:w="2500"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61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NIO User Enterprise Limited</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610"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10" w:type="dxa"/>
            <w:tcBorders/>
            <w:vAlign w:val="center"/>
          </w:tcPr>
          <w:p>
            <w:pPr>
              <w:pStyle w:val="TableContents"/>
              <w:bidi w:val="0"/>
              <w:spacing w:before="0" w:after="283"/>
              <w:ind w:left="0" w:right="0" w:hanging="0"/>
              <w:jc w:val="left"/>
              <w:rPr>
                <w:sz w:val="4"/>
                <w:szCs w:val="4"/>
              </w:rPr>
            </w:pPr>
            <w:r>
              <w:rPr>
                <w:sz w:val="4"/>
                <w:szCs w:val="4"/>
              </w:rPr>
            </w:r>
          </w:p>
        </w:tc>
        <w:tc>
          <w:tcPr>
            <w:tcW w:w="25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10" w:type="dxa"/>
            <w:tcBorders/>
            <w:vAlign w:val="center"/>
          </w:tcPr>
          <w:p>
            <w:pPr>
              <w:pStyle w:val="TableContents"/>
              <w:bidi w:val="0"/>
              <w:spacing w:before="0" w:after="283"/>
              <w:ind w:left="0" w:right="0" w:hanging="0"/>
              <w:jc w:val="left"/>
              <w:rPr>
                <w:sz w:val="4"/>
                <w:szCs w:val="4"/>
              </w:rPr>
            </w:pPr>
            <w:r>
              <w:rPr>
                <w:sz w:val="4"/>
                <w:szCs w:val="4"/>
              </w:rPr>
            </w:r>
          </w:p>
        </w:tc>
        <w:tc>
          <w:tcPr>
            <w:tcW w:w="25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10" w:type="dxa"/>
            <w:tcBorders/>
            <w:vAlign w:val="center"/>
          </w:tcPr>
          <w:p>
            <w:pPr>
              <w:pStyle w:val="TableContents"/>
              <w:bidi w:val="0"/>
              <w:spacing w:before="0" w:after="283"/>
              <w:ind w:left="0" w:right="0" w:hanging="0"/>
              <w:jc w:val="left"/>
              <w:rPr>
                <w:sz w:val="4"/>
                <w:szCs w:val="4"/>
              </w:rPr>
            </w:pPr>
            <w:r>
              <w:rPr>
                <w:sz w:val="4"/>
                <w:szCs w:val="4"/>
              </w:rPr>
            </w:r>
          </w:p>
        </w:tc>
        <w:tc>
          <w:tcPr>
            <w:tcW w:w="25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pBdr/>
        <w:bidi w:val="0"/>
        <w:spacing w:before="0" w:after="0"/>
        <w:ind w:left="0" w:right="0" w:hanging="72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NIO China Series B Investment Agreement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(This is the Signature Page to the NIO China</w:t>
      </w:r>
      <w:r>
        <w:rPr>
          <w:rFonts w:ascii="Times New Roman;Times;serif" w:hAnsi="Times New Roman;Times;serif"/>
          <w:sz w:val="20"/>
        </w:rPr>
        <w:t xml:space="preserve"> </w:t>
      </w:r>
      <w:r>
        <w:rPr>
          <w:rFonts w:ascii="Times New Roman;Times;serif" w:hAnsi="Times New Roman;Times;serif"/>
          <w:i/>
          <w:sz w:val="20"/>
        </w:rPr>
        <w:t>Series B</w:t>
      </w:r>
      <w:r>
        <w:rPr>
          <w:rFonts w:ascii="Times New Roman;Times;serif" w:hAnsi="Times New Roman;Times;serif"/>
          <w:sz w:val="20"/>
        </w:rPr>
        <w:t xml:space="preserve"> </w:t>
      </w:r>
      <w:r>
        <w:rPr>
          <w:rFonts w:ascii="Times New Roman;Times;serif" w:hAnsi="Times New Roman;Times;serif"/>
          <w:i/>
          <w:sz w:val="20"/>
        </w:rPr>
        <w:t>Investment Agreement, this Agreement shall be executed eight (8)</w:t>
      </w:r>
      <w:r>
        <w:rPr>
          <w:rFonts w:ascii="Times New Roman;Times;serif" w:hAnsi="Times New Roman;Times;serif"/>
          <w:sz w:val="20"/>
        </w:rPr>
        <w:t xml:space="preserve"> </w:t>
      </w:r>
      <w:r>
        <w:rPr>
          <w:rFonts w:ascii="Times New Roman;Times;serif" w:hAnsi="Times New Roman;Times;serif"/>
          <w:i/>
          <w:sz w:val="20"/>
        </w:rPr>
        <w:t>originals)</w:t>
      </w:r>
    </w:p>
    <w:p>
      <w:pPr>
        <w:pStyle w:val="TextBody"/>
        <w:pBdr/>
        <w:bidi w:val="0"/>
        <w:spacing w:before="0" w:after="0"/>
        <w:ind w:left="0" w:right="0" w:hanging="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Agreement to be duly executed as of the date first written above.</w:t>
      </w:r>
    </w:p>
    <w:p>
      <w:pPr>
        <w:pStyle w:val="TextBody"/>
        <w:bidi w:val="0"/>
        <w:spacing w:before="0" w:after="0"/>
        <w:ind w:left="0" w:right="0" w:hanging="0"/>
        <w:jc w:val="both"/>
        <w:rPr/>
      </w:pPr>
      <w:r>
        <w:rPr/>
        <w:t>​</w:t>
      </w:r>
    </w:p>
    <w:tbl>
      <w:tblPr>
        <w:tblW w:w="2709" w:type="dxa"/>
        <w:jc w:val="left"/>
        <w:tblInd w:w="0" w:type="dxa"/>
        <w:tblLayout w:type="fixed"/>
        <w:tblCellMar>
          <w:top w:w="0" w:type="dxa"/>
          <w:left w:w="0" w:type="dxa"/>
          <w:bottom w:w="0" w:type="dxa"/>
          <w:right w:w="0" w:type="dxa"/>
        </w:tblCellMar>
      </w:tblPr>
      <w:tblGrid>
        <w:gridCol w:w="124"/>
        <w:gridCol w:w="109"/>
        <w:gridCol w:w="247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NIO Power Express Limited</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NIO China Series B Investment Agreement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(This is the Signature Page to the NIO China</w:t>
      </w:r>
      <w:r>
        <w:rPr>
          <w:rFonts w:ascii="Times New Roman;Times;serif" w:hAnsi="Times New Roman;Times;serif"/>
          <w:sz w:val="20"/>
        </w:rPr>
        <w:t xml:space="preserve"> </w:t>
      </w:r>
      <w:r>
        <w:rPr>
          <w:rFonts w:ascii="Times New Roman;Times;serif" w:hAnsi="Times New Roman;Times;serif"/>
          <w:i/>
          <w:sz w:val="20"/>
        </w:rPr>
        <w:t>Series B</w:t>
      </w:r>
      <w:r>
        <w:rPr>
          <w:rFonts w:ascii="Times New Roman;Times;serif" w:hAnsi="Times New Roman;Times;serif"/>
          <w:sz w:val="20"/>
        </w:rPr>
        <w:t xml:space="preserve"> </w:t>
      </w:r>
      <w:r>
        <w:rPr>
          <w:rFonts w:ascii="Times New Roman;Times;serif" w:hAnsi="Times New Roman;Times;serif"/>
          <w:i/>
          <w:sz w:val="20"/>
        </w:rPr>
        <w:t>Investment Agreement, this Agreement shall be executed in eight (8)</w:t>
      </w:r>
      <w:r>
        <w:rPr>
          <w:rFonts w:ascii="Times New Roman;Times;serif" w:hAnsi="Times New Roman;Times;serif"/>
          <w:sz w:val="20"/>
        </w:rPr>
        <w:t xml:space="preserve"> </w:t>
      </w:r>
      <w:r>
        <w:rPr>
          <w:rFonts w:ascii="Times New Roman;Times;serif" w:hAnsi="Times New Roman;Times;serif"/>
          <w:i/>
          <w:sz w:val="20"/>
        </w:rPr>
        <w:t>originals)</w:t>
      </w:r>
    </w:p>
    <w:p>
      <w:pPr>
        <w:pStyle w:val="TextBody"/>
        <w:pBdr/>
        <w:bidi w:val="0"/>
        <w:spacing w:before="0" w:after="0"/>
        <w:ind w:left="0" w:right="0" w:hanging="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Agreement to be duly executed as of the date first written above.</w:t>
      </w:r>
    </w:p>
    <w:p>
      <w:pPr>
        <w:pStyle w:val="TextBody"/>
        <w:bidi w:val="0"/>
        <w:spacing w:before="0" w:after="0"/>
        <w:ind w:left="0" w:right="0" w:hanging="0"/>
        <w:jc w:val="both"/>
        <w:rPr/>
      </w:pPr>
      <w:r>
        <w:rPr/>
        <w:t>​</w:t>
      </w:r>
    </w:p>
    <w:tbl>
      <w:tblPr>
        <w:tblW w:w="2709" w:type="dxa"/>
        <w:jc w:val="left"/>
        <w:tblInd w:w="0" w:type="dxa"/>
        <w:tblLayout w:type="fixed"/>
        <w:tblCellMar>
          <w:top w:w="0" w:type="dxa"/>
          <w:left w:w="0" w:type="dxa"/>
          <w:bottom w:w="0" w:type="dxa"/>
          <w:right w:w="0" w:type="dxa"/>
        </w:tblCellMar>
      </w:tblPr>
      <w:tblGrid>
        <w:gridCol w:w="124"/>
        <w:gridCol w:w="109"/>
        <w:gridCol w:w="247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NIO Holding Co., Ltd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NIO China Series B Investment Agreement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327" w:name="nio-20241231xex4d51.htm"/>
      <w:bookmarkStart w:id="2328" w:name="ksnio20241231xex4d51"/>
      <w:bookmarkEnd w:id="2327"/>
      <w:bookmarkEnd w:id="2328"/>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4.51</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HorizontalLine"/>
        <w:pBdr>
          <w:bottom w:val="single" w:sz="6" w:space="0" w:color="000000"/>
        </w:pBdr>
        <w:bidi w:val="0"/>
        <w:spacing w:before="0" w:after="0"/>
        <w:ind w:left="1276" w:right="1276" w:hanging="0"/>
        <w:jc w:val="left"/>
        <w:rPr/>
      </w:pPr>
      <w:r>
        <w:rPr/>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CHINA SHAREHOLDERS AGREEMENT</w:t>
      </w:r>
    </w:p>
    <w:p>
      <w:pPr>
        <w:pStyle w:val="TextBody"/>
        <w:bidi w:val="0"/>
        <w:spacing w:before="0" w:after="0"/>
        <w:ind w:left="0" w:right="0" w:hanging="0"/>
        <w:jc w:val="center"/>
        <w:rPr/>
      </w:pPr>
      <w:r>
        <w:rPr/>
        <w:t>​</w:t>
      </w:r>
    </w:p>
    <w:p>
      <w:pPr>
        <w:pStyle w:val="HorizontalLine"/>
        <w:pBdr>
          <w:bottom w:val="single" w:sz="6" w:space="0" w:color="000000"/>
        </w:pBdr>
        <w:bidi w:val="0"/>
        <w:spacing w:before="0" w:after="0"/>
        <w:ind w:left="1276" w:right="1276" w:hanging="0"/>
        <w:jc w:val="left"/>
        <w:rPr/>
      </w:pPr>
      <w:r>
        <w:rPr/>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BY AND AMONG</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HEFEI JIANHENG NEW ENERGY AUTOMOBILE INVESTMENT FUND</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PARTNERSHIP (LIMITED PARTNERSHIP)</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CMG-SDIC CAPITAL MANAGEMENT CO., LTD.</w:t>
      </w:r>
    </w:p>
    <w:p>
      <w:pPr>
        <w:pStyle w:val="TextBody"/>
        <w:bidi w:val="0"/>
        <w:spacing w:before="0" w:after="200"/>
        <w:ind w:left="0" w:right="0" w:hanging="0"/>
        <w:jc w:val="center"/>
        <w:rPr>
          <w:rFonts w:ascii="Times New Roman;Times;serif" w:hAnsi="Times New Roman;Times;serif"/>
          <w:caps/>
          <w:sz w:val="20"/>
        </w:rPr>
      </w:pPr>
      <w:r>
        <w:rPr>
          <w:rFonts w:ascii="Times New Roman;Times;serif" w:hAnsi="Times New Roman;Times;serif"/>
          <w:caps/>
          <w:sz w:val="20"/>
        </w:rPr>
        <w:t>Anhui Provincial Emerging Industry Investment Co., Ltd.</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ANHUI PROVINCIAL SANZHONG YICHUANG INDUSTRY DEVELOPMENT FUND CO., LTD.</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ANHUI JINTONG NEW ENERGY AUTOMOBILE II FUND PARTNERSHIP (LIMITED PARTNERSHIP)</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ADVANCED MANUFACTURING INDUSTRY INVESTMENT FUND II (LIMITED PARTNERSHIP)</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AND</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NIO INC.</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NIO NEXTEV LIMITED</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NIO USER ENTERPRISE LIMITED</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NIO POWER EXPRESS LIMITED</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AND</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NIO HOLDING CO., LTD.</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Hefei, China</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Date: September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TABLE OF CONTENTS</w:t>
      </w:r>
    </w:p>
    <w:tbl>
      <w:tblPr>
        <w:tblW w:w="6483" w:type="dxa"/>
        <w:jc w:val="left"/>
        <w:tblInd w:w="0" w:type="dxa"/>
        <w:tblLayout w:type="fixed"/>
        <w:tblCellMar>
          <w:top w:w="0" w:type="dxa"/>
          <w:left w:w="0" w:type="dxa"/>
          <w:bottom w:w="0" w:type="dxa"/>
          <w:right w:w="0" w:type="dxa"/>
        </w:tblCellMar>
      </w:tblPr>
      <w:tblGrid>
        <w:gridCol w:w="331"/>
        <w:gridCol w:w="5791"/>
        <w:gridCol w:w="361"/>
      </w:tblGrid>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1</w:t>
            </w:r>
          </w:p>
        </w:tc>
        <w:tc>
          <w:tcPr>
            <w:tcW w:w="579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DEFINITIONS AND INTERPRETATIONS</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2</w:t>
            </w:r>
          </w:p>
        </w:tc>
        <w:tc>
          <w:tcPr>
            <w:tcW w:w="579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SHAREHOLDERS OF THE TARGET COMPANY</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3</w:t>
            </w:r>
          </w:p>
        </w:tc>
        <w:tc>
          <w:tcPr>
            <w:tcW w:w="579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OVERVIEW OF THE TARGET COMPANY</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4</w:t>
            </w:r>
          </w:p>
        </w:tc>
        <w:tc>
          <w:tcPr>
            <w:tcW w:w="579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PURPOSE AND SCOPE OF BUSINESS OF THE TARGET COMPANY</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5</w:t>
            </w:r>
          </w:p>
        </w:tc>
        <w:tc>
          <w:tcPr>
            <w:tcW w:w="579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REGISTERED CAPITAL</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6</w:t>
            </w:r>
          </w:p>
        </w:tc>
        <w:tc>
          <w:tcPr>
            <w:tcW w:w="579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PROTECTIVE RIGHTS</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7</w:t>
            </w:r>
          </w:p>
        </w:tc>
        <w:tc>
          <w:tcPr>
            <w:tcW w:w="579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RIGHT OF FIRST REFUSAL</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8</w:t>
            </w:r>
          </w:p>
        </w:tc>
        <w:tc>
          <w:tcPr>
            <w:tcW w:w="579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RIGHT OF CO-SALE</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9</w:t>
            </w:r>
          </w:p>
        </w:tc>
        <w:tc>
          <w:tcPr>
            <w:tcW w:w="579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PRE-EMPTIVE RIGHTS</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10</w:t>
            </w:r>
          </w:p>
        </w:tc>
        <w:tc>
          <w:tcPr>
            <w:tcW w:w="579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VALUE ASSURANCE AND ANTI-DILUTION RIGHTS</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11</w:t>
            </w:r>
          </w:p>
        </w:tc>
        <w:tc>
          <w:tcPr>
            <w:tcW w:w="579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REDEMPTION RIGHT</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12</w:t>
            </w:r>
          </w:p>
        </w:tc>
        <w:tc>
          <w:tcPr>
            <w:tcW w:w="579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LIQUIDATION PREFERENCE</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13</w:t>
            </w:r>
          </w:p>
        </w:tc>
        <w:tc>
          <w:tcPr>
            <w:tcW w:w="579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DRAG-ALONG RIGHT</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14</w:t>
            </w:r>
          </w:p>
        </w:tc>
        <w:tc>
          <w:tcPr>
            <w:tcW w:w="579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RESTRICTION ON EQUITY TRANSFER</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15</w:t>
            </w:r>
          </w:p>
        </w:tc>
        <w:tc>
          <w:tcPr>
            <w:tcW w:w="579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EQUITY INCENTIVE</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16</w:t>
            </w:r>
          </w:p>
        </w:tc>
        <w:tc>
          <w:tcPr>
            <w:tcW w:w="579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INFORMATION RIGHTS AND INSECTION RIGHTS</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17</w:t>
            </w:r>
          </w:p>
        </w:tc>
        <w:tc>
          <w:tcPr>
            <w:tcW w:w="579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RIGHT TO PARTICIPATE IN RESTRUCTURING</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18</w:t>
            </w:r>
          </w:p>
        </w:tc>
        <w:tc>
          <w:tcPr>
            <w:tcW w:w="579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UNDERTAKINGS AND CONVANTS</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19</w:t>
            </w:r>
          </w:p>
        </w:tc>
        <w:tc>
          <w:tcPr>
            <w:tcW w:w="579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CORPORATE GOVERNANCE</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20</w:t>
            </w:r>
          </w:p>
        </w:tc>
        <w:tc>
          <w:tcPr>
            <w:tcW w:w="579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TAXES, FINANCE, AUDIT AND DISTRIBUTION OF PROFIT</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21</w:t>
            </w:r>
          </w:p>
        </w:tc>
        <w:tc>
          <w:tcPr>
            <w:tcW w:w="579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DURATION AND TERMINATION OF THE TARGET COMPANY</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22</w:t>
            </w:r>
          </w:p>
        </w:tc>
        <w:tc>
          <w:tcPr>
            <w:tcW w:w="579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FORCE MAJEURE</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23</w:t>
            </w:r>
          </w:p>
        </w:tc>
        <w:tc>
          <w:tcPr>
            <w:tcW w:w="579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REPRESENTATIONS AND WARRANTIES OF THE PARTIES</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24</w:t>
            </w:r>
          </w:p>
        </w:tc>
        <w:tc>
          <w:tcPr>
            <w:tcW w:w="579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CONFIDENTIALITY</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25</w:t>
            </w:r>
          </w:p>
        </w:tc>
        <w:tc>
          <w:tcPr>
            <w:tcW w:w="579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GOVERNING LAW AND DISPUTE RESOLUTION</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26</w:t>
            </w:r>
          </w:p>
        </w:tc>
        <w:tc>
          <w:tcPr>
            <w:tcW w:w="579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EFFECTIVENESS, MODIFICATION AND VALIDITY</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64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063" w:type="dxa"/>
        <w:jc w:val="left"/>
        <w:tblInd w:w="0" w:type="dxa"/>
        <w:tblLayout w:type="fixed"/>
        <w:tblCellMar>
          <w:top w:w="0" w:type="dxa"/>
          <w:left w:w="0" w:type="dxa"/>
          <w:bottom w:w="0" w:type="dxa"/>
          <w:right w:w="0" w:type="dxa"/>
        </w:tblCellMar>
      </w:tblPr>
      <w:tblGrid>
        <w:gridCol w:w="331"/>
        <w:gridCol w:w="2371"/>
        <w:gridCol w:w="361"/>
      </w:tblGrid>
      <w:tr>
        <w:trPr/>
        <w:tc>
          <w:tcPr>
            <w:tcW w:w="331" w:type="dxa"/>
            <w:tcBorders/>
            <w:vAlign w:val="center"/>
          </w:tcPr>
          <w:p>
            <w:pPr>
              <w:pStyle w:val="TableContents"/>
              <w:bidi w:val="0"/>
              <w:spacing w:before="0" w:after="140"/>
              <w:ind w:left="0" w:right="0" w:hanging="0"/>
              <w:jc w:val="left"/>
              <w:rPr/>
            </w:pPr>
            <w:r>
              <w:rPr/>
              <w:t>​</w:t>
            </w:r>
          </w:p>
        </w:tc>
        <w:tc>
          <w:tcPr>
            <w:tcW w:w="2371" w:type="dxa"/>
            <w:tcBorders/>
            <w:vAlign w:val="center"/>
          </w:tcPr>
          <w:p>
            <w:pPr>
              <w:pStyle w:val="TableContents"/>
              <w:bidi w:val="0"/>
              <w:spacing w:before="0" w:after="140"/>
              <w:ind w:left="0" w:right="0" w:hanging="0"/>
              <w:jc w:val="left"/>
              <w:rPr/>
            </w:pPr>
            <w:r>
              <w:rPr/>
              <w:t>​</w:t>
            </w:r>
          </w:p>
        </w:tc>
        <w:tc>
          <w:tcPr>
            <w:tcW w:w="361" w:type="dxa"/>
            <w:tcBorders/>
            <w:vAlign w:val="center"/>
          </w:tcPr>
          <w:p>
            <w:pPr>
              <w:pStyle w:val="TableContents"/>
              <w:bidi w:val="0"/>
              <w:spacing w:before="0" w:after="140"/>
              <w:ind w:left="0" w:right="0" w:hanging="0"/>
              <w:jc w:val="left"/>
              <w:rPr/>
            </w:pPr>
            <w:r>
              <w:rPr/>
              <w:t>​</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27</w:t>
            </w:r>
          </w:p>
        </w:tc>
        <w:tc>
          <w:tcPr>
            <w:tcW w:w="237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BREACH</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28</w:t>
            </w:r>
          </w:p>
        </w:tc>
        <w:tc>
          <w:tcPr>
            <w:tcW w:w="237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NOTICES AND DELIVERY</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33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29</w:t>
            </w:r>
          </w:p>
        </w:tc>
        <w:tc>
          <w:tcPr>
            <w:tcW w:w="2371" w:type="dxa"/>
            <w:tcBorders/>
            <w:vAlign w:val="center"/>
          </w:tcPr>
          <w:p>
            <w:pPr>
              <w:pStyle w:val="TableContents"/>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MISCELLANEOUS</w:t>
            </w:r>
          </w:p>
        </w:tc>
        <w:tc>
          <w:tcPr>
            <w:tcW w:w="361" w:type="dxa"/>
            <w:tcBorders/>
            <w:vAlign w:val="center"/>
          </w:tcPr>
          <w:p>
            <w:pPr>
              <w:pStyle w:val="TableContents"/>
              <w:bidi w:val="0"/>
              <w:spacing w:before="0" w:after="140"/>
              <w:ind w:left="0" w:right="0" w:hanging="0"/>
              <w:jc w:val="right"/>
              <w:rPr>
                <w:rFonts w:ascii="Times New Roman;Times;serif" w:hAnsi="Times New Roman;Times;serif"/>
                <w:sz w:val="20"/>
              </w:rPr>
            </w:pPr>
            <w:r>
              <w:rPr>
                <w:rFonts w:ascii="Times New Roman;Times;serif" w:hAnsi="Times New Roman;Times;serif"/>
                <w:sz w:val="20"/>
              </w:rPr>
              <w:t>68</w:t>
            </w:r>
          </w:p>
        </w:tc>
      </w:tr>
    </w:tbl>
    <w:p>
      <w:pPr>
        <w:pStyle w:val="TextBody"/>
        <w:bidi w:val="0"/>
        <w:spacing w:before="0" w:after="0"/>
        <w:ind w:left="0" w:right="0" w:hanging="0"/>
        <w:jc w:val="left"/>
        <w:rPr/>
      </w:pPr>
      <w:r>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Exhibit I: Joinder Agreement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Exhibit II: List of the Core Management Team</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Exhibit III: List of the Competitive Entities where the Actual Controller holds Interest</w:t>
      </w:r>
    </w:p>
    <w:p>
      <w:pPr>
        <w:pStyle w:val="TextBody"/>
        <w:pBdr/>
        <w:bidi w:val="0"/>
        <w:spacing w:before="0" w:after="41"/>
        <w:ind w:left="0" w:right="0" w:hanging="600"/>
        <w:jc w:val="both"/>
        <w:rPr>
          <w:rFonts w:ascii="Times New Roman;Times;serif" w:hAnsi="Times New Roman;Times;serif"/>
          <w:sz w:val="20"/>
        </w:rPr>
      </w:pPr>
      <w:r>
        <w:rPr>
          <w:rFonts w:ascii="Times New Roman;Times;serif" w:hAnsi="Times New Roman;Times;serif"/>
          <w:sz w:val="20"/>
        </w:rPr>
        <w:t>Exhibit IV: List of the NIO Parties Competitors</w:t>
      </w:r>
    </w:p>
    <w:p>
      <w:pPr>
        <w:pStyle w:val="TextBody"/>
        <w:pBdr/>
        <w:bidi w:val="0"/>
        <w:spacing w:before="0" w:after="41"/>
        <w:ind w:left="0" w:right="0" w:hanging="60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0" w:right="0" w:firstLine="720"/>
        <w:jc w:val="both"/>
        <w:rPr>
          <w:rFonts w:ascii="Times New Roman;Times;serif" w:hAnsi="Times New Roman;Times;serif"/>
          <w:sz w:val="20"/>
        </w:rPr>
      </w:pPr>
      <w:r>
        <w:rPr>
          <w:rFonts w:ascii="Times New Roman;Times;serif" w:hAnsi="Times New Roman;Times;serif"/>
          <w:sz w:val="20"/>
        </w:rPr>
        <w:t>This NIO China Shareholders Agreement (this “</w:t>
      </w:r>
      <w:r>
        <w:rPr>
          <w:rFonts w:ascii="Times New Roman;Times;serif" w:hAnsi="Times New Roman;Times;serif"/>
          <w:b/>
          <w:sz w:val="20"/>
        </w:rPr>
        <w:t>Agreement</w:t>
      </w:r>
      <w:r>
        <w:rPr>
          <w:rFonts w:ascii="Times New Roman;Times;serif" w:hAnsi="Times New Roman;Times;serif"/>
          <w:sz w:val="20"/>
        </w:rPr>
        <w:t>”) dated as of September 30, 2024 (the “</w:t>
      </w:r>
      <w:r>
        <w:rPr>
          <w:rFonts w:ascii="Times New Roman;Times;serif" w:hAnsi="Times New Roman;Times;serif"/>
          <w:b/>
          <w:sz w:val="20"/>
        </w:rPr>
        <w:t>Execution Date</w:t>
      </w:r>
      <w:r>
        <w:rPr>
          <w:rFonts w:ascii="Times New Roman;Times;serif" w:hAnsi="Times New Roman;Times;serif"/>
          <w:sz w:val="20"/>
        </w:rPr>
        <w:t>”) is made by and among:</w:t>
      </w:r>
    </w:p>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w:t>
            </w:r>
          </w:p>
        </w:tc>
        <w:tc>
          <w:tcPr>
            <w:tcW w:w="1007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Hefei Jianheng New Energy Automobile Investment Fund Partnership (Limited Partnership), a limited partnership duly established and existing under the Laws of the People’s Republic of China (the “</w:t>
            </w:r>
            <w:r>
              <w:rPr>
                <w:rFonts w:ascii="Times New Roman;Times;serif" w:hAnsi="Times New Roman;Times;serif"/>
                <w:b/>
                <w:sz w:val="20"/>
              </w:rPr>
              <w:t>PRC</w:t>
            </w:r>
            <w:r>
              <w:rPr>
                <w:rFonts w:ascii="Times New Roman;Times;serif" w:hAnsi="Times New Roman;Times;serif"/>
                <w:sz w:val="20"/>
              </w:rPr>
              <w:t>”, for the purpose of this Agreement, excluding the Hong Kong Special Administrative Region, the Macao Special Administrative Region and Taiwan), holding a business license with unified social credit code of 91340111MA2UU69EX8, and with its executive partner being Hefei Construction Investment Capital Management Co., Ltd., and registered office at Room 101, Area G, Intelligent Equipment Technology Park, No. 3963 Susong Road, Economic and Technological Development Area, Hefei City, Anhui Province (“</w:t>
            </w:r>
            <w:r>
              <w:rPr>
                <w:rFonts w:ascii="Times New Roman;Times;serif" w:hAnsi="Times New Roman;Times;serif"/>
                <w:b/>
                <w:sz w:val="20"/>
              </w:rPr>
              <w:t>Jianheng New Energy Fund</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w:t>
            </w:r>
          </w:p>
        </w:tc>
        <w:tc>
          <w:tcPr>
            <w:tcW w:w="1007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CMG-SDIC Capital Management Co., Ltd., a limited liability company duly established and existing under the Laws of PRC, holding a business license with unified social credit code of 91130600MA094UG35F, and with its legal representative being GAO Guohua and registered office at North Dong Ao Wei Road, Luosa Street, Rongcheng County, Baoding city, Hebei province (“</w:t>
            </w:r>
            <w:r>
              <w:rPr>
                <w:rFonts w:ascii="Times New Roman;Times;serif" w:hAnsi="Times New Roman;Times;serif"/>
                <w:b/>
                <w:sz w:val="20"/>
              </w:rPr>
              <w:t>SDIC</w:t>
            </w:r>
            <w:r>
              <w:rPr>
                <w:rFonts w:ascii="Times New Roman;Times;serif" w:hAnsi="Times New Roman;Times;serif"/>
                <w:sz w:val="20"/>
              </w:rPr>
              <w:t>”, SDIC will designate the funds it manages as the investment entity for this Transaction);</w:t>
            </w:r>
          </w:p>
        </w:tc>
      </w:tr>
    </w:tbl>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3.</w:t>
            </w:r>
          </w:p>
        </w:tc>
        <w:tc>
          <w:tcPr>
            <w:tcW w:w="1007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Advanced Manufacturing Industry Investment Fund II (Limited Partnership), a limited partnership duly established and existing under the Laws of the PRC, holding a business license with unified social credit code of 91320191MA1YK7YA6J, and with its executive partner being CMG-SDIC Capital Management Co., Ltd., and registered office at Room 1380, Fuying Building, No. 99 Tuanjie Road, Research and Innovation Park, Jiangbei New Area, Nanjing City (“</w:t>
            </w:r>
            <w:r>
              <w:rPr>
                <w:rFonts w:ascii="Times New Roman;Times;serif" w:hAnsi="Times New Roman;Times;serif"/>
                <w:b/>
                <w:sz w:val="20"/>
              </w:rPr>
              <w:t>Advanced Manufacturing Industry Fund</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33"/>
        <w:gridCol w:w="10072"/>
      </w:tblGrid>
      <w:tr>
        <w:trPr/>
        <w:tc>
          <w:tcPr>
            <w:tcW w:w="13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4.</w:t>
            </w:r>
          </w:p>
        </w:tc>
        <w:tc>
          <w:tcPr>
            <w:tcW w:w="1007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Anhui Provincial Emerging Industry Investment Co., Ltd., a limited liability company duly established and existing under the Laws of the PRC, holding a business license with unified social credit code of 9134000032543101X1, and with its legal representative being XU Xianlu and registered address at Room 301, Innovation Building, 860 Wangjiang West Road, High-tech District, Hefei City, Anhui Province (“</w:t>
            </w:r>
            <w:r>
              <w:rPr>
                <w:rFonts w:ascii="Times New Roman;Times;serif" w:hAnsi="Times New Roman;Times;serif"/>
                <w:b/>
                <w:sz w:val="20"/>
              </w:rPr>
              <w:t>Anhui High-tech Co</w:t>
            </w:r>
            <w:r>
              <w:rPr>
                <w:rFonts w:ascii="Times New Roman;Times;serif" w:hAnsi="Times New Roman;Times;serif"/>
                <w:sz w:val="20"/>
              </w:rPr>
              <w:t>.”, Anhui High-tech Co. will designate relevant entity as the investment entity for this Transaction);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5.</w:t>
            </w:r>
          </w:p>
        </w:tc>
        <w:tc>
          <w:tcPr>
            <w:tcW w:w="1007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Anhui Provincial Sanzhong Yichuang Industry Development Fund Co., Ltd., a limited liability company duly established and existing under the Laws of the PRC, holding a business license with unified social credit code of 91340100MA2NUJ2A1H, and with its legal representative being XU Xianlu, and registered address at Room 424, Technology and Innovation Center, No. 860 West Wangjiang Road, High-tech District, Hefei City (“</w:t>
            </w:r>
            <w:r>
              <w:rPr>
                <w:rFonts w:ascii="Times New Roman;Times;serif" w:hAnsi="Times New Roman;Times;serif"/>
                <w:b/>
                <w:sz w:val="20"/>
              </w:rPr>
              <w:t>Anhui Sanzhong Yichuang</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6.</w:t>
            </w:r>
          </w:p>
        </w:tc>
        <w:tc>
          <w:tcPr>
            <w:tcW w:w="1007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Anhui Jintong New Energy Automobile II Fund Partnership (Limited Partnership), a limited partnership duly established and existing under the Laws of the PRC, holding a business license with unified social credit code of 91340800MA2UE54B3J, and with its executive partner being Anhui JinTong New Energy II Investment Management Partnership (Limited Partnership), and registered office at Room 616-1, NO.1 Building, Zhumeng New Area, No. 188 Wenyuan Road, Yixiu District, Anqing City, Anhui Province (“</w:t>
            </w:r>
            <w:r>
              <w:rPr>
                <w:rFonts w:ascii="Times New Roman;Times;serif" w:hAnsi="Times New Roman;Times;serif"/>
                <w:b/>
                <w:sz w:val="20"/>
              </w:rPr>
              <w:t>New Energy Automobile Fund</w:t>
            </w:r>
            <w:r>
              <w:rPr>
                <w:rFonts w:ascii="Times New Roman;Times;serif" w:hAnsi="Times New Roman;Times;serif"/>
                <w:sz w:val="20"/>
              </w:rPr>
              <w:t>”, together with Jianheng New Energy Fund, SDIC and/or its designated investment entity, Advanced Manufacturing Industry Fund, Anhui High-tech Co. and/or its designated investment entity and Anhui Sanzhong Yichuang, collectively referred to as the “</w:t>
            </w:r>
            <w:r>
              <w:rPr>
                <w:rFonts w:ascii="Times New Roman;Times;serif" w:hAnsi="Times New Roman;Times;serif"/>
                <w:b/>
                <w:sz w:val="20"/>
              </w:rPr>
              <w:t>Investors</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7.</w:t>
            </w:r>
          </w:p>
        </w:tc>
        <w:tc>
          <w:tcPr>
            <w:tcW w:w="100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NIO Inc., a company duly established and existing under the Laws of the Cayman Islands, with its registered address at PO Box 309, Ugland House, Grand Cayman, KY1-1104, Cayman Islands (“</w:t>
            </w:r>
            <w:r>
              <w:rPr>
                <w:rFonts w:ascii="Times New Roman;Times;serif" w:hAnsi="Times New Roman;Times;serif"/>
                <w:b/>
                <w:sz w:val="20"/>
              </w:rPr>
              <w:t>NIO Group” or “NIO Inc.</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8.</w:t>
            </w:r>
          </w:p>
        </w:tc>
        <w:tc>
          <w:tcPr>
            <w:tcW w:w="1006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Nio Nextev Limited, a private company limited by shares duly established and existing under the Laws of the Hong Kong of the PRC, with its company number of 2199750, and registered office at 30th Floor, Jardine House, Once Connaught Place, Central, Hong Kong (“</w:t>
            </w:r>
            <w:r>
              <w:rPr>
                <w:rFonts w:ascii="Times New Roman;Times;serif" w:hAnsi="Times New Roman;Times;serif"/>
                <w:b/>
                <w:sz w:val="20"/>
              </w:rPr>
              <w:t>NIO HK</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9.</w:t>
            </w:r>
          </w:p>
        </w:tc>
        <w:tc>
          <w:tcPr>
            <w:tcW w:w="1006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NIO User Enterprise Limited, a private company limited by shares duly established and existing under the laws of the Hong Kong of the PRC, with its company number of 2487823 and registered office at 30th Floor, Jardine House, Once Connaught Place, Central, Hong Kong (“</w:t>
            </w:r>
            <w:r>
              <w:rPr>
                <w:rFonts w:ascii="Times New Roman;Times;serif" w:hAnsi="Times New Roman;Times;serif"/>
                <w:b/>
                <w:sz w:val="20"/>
              </w:rPr>
              <w:t>UE HK</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10.</w:t>
            </w:r>
          </w:p>
        </w:tc>
        <w:tc>
          <w:tcPr>
            <w:tcW w:w="995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NIO Power Express Limited, a private company limited by shares duly established and existing under the Laws of the Hong Kong of the PRC, with its company number of 2472480 and registered office at 30th Floor, Jardine House, Once Connaught Place,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Central, Hong Kong (“</w:t>
      </w:r>
      <w:r>
        <w:rPr>
          <w:rFonts w:ascii="Times New Roman;Times;serif" w:hAnsi="Times New Roman;Times;serif"/>
          <w:b/>
          <w:sz w:val="20"/>
        </w:rPr>
        <w:t>PE HK</w:t>
      </w:r>
      <w:r>
        <w:rPr>
          <w:rFonts w:ascii="Times New Roman;Times;serif" w:hAnsi="Times New Roman;Times;serif"/>
          <w:sz w:val="20"/>
        </w:rPr>
        <w:t>”, together with NIO HK and UE HK, the “</w:t>
      </w:r>
      <w:r>
        <w:rPr>
          <w:rFonts w:ascii="Times New Roman;Times;serif" w:hAnsi="Times New Roman;Times;serif"/>
          <w:b/>
          <w:sz w:val="20"/>
        </w:rPr>
        <w:t>NIO HK Holding Platforms</w:t>
      </w:r>
      <w:r>
        <w:rPr>
          <w:rFonts w:ascii="Times New Roman;Times;serif" w:hAnsi="Times New Roman;Times;serif"/>
          <w:sz w:val="20"/>
        </w:rPr>
        <w:t>”; the NIO HK Holding Platforms, together with NIO Group, the “</w:t>
      </w:r>
      <w:r>
        <w:rPr>
          <w:rFonts w:ascii="Times New Roman;Times;serif" w:hAnsi="Times New Roman;Times;serif"/>
          <w:b/>
          <w:sz w:val="20"/>
        </w:rPr>
        <w:t>NIO Parties</w:t>
      </w:r>
      <w:r>
        <w:rPr>
          <w:rFonts w:ascii="Times New Roman;Times;serif" w:hAnsi="Times New Roman;Times;serif"/>
          <w:sz w:val="20"/>
        </w:rPr>
        <w:t>”); and</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11.</w:t>
            </w:r>
          </w:p>
        </w:tc>
        <w:tc>
          <w:tcPr>
            <w:tcW w:w="996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NIO Holding Co., Ltd., a limited liability company duly established and existing under the Laws of the PRC, holding a business license with unified social credit code of 91340111MA2RAD3M4R, and with its legal representative being LI Bin, and registered address at Building F, Hengchuang Intelligent Technology Park, No. 3963 Susong Road, Economic and Technological Development Area, Hefei City, Anhui Province (“</w:t>
            </w:r>
            <w:r>
              <w:rPr>
                <w:rFonts w:ascii="Times New Roman;Times;serif" w:hAnsi="Times New Roman;Times;serif"/>
                <w:b/>
                <w:sz w:val="20"/>
              </w:rPr>
              <w:t>NIO China</w:t>
            </w:r>
            <w:r>
              <w:rPr>
                <w:rFonts w:ascii="Times New Roman;Times;serif" w:hAnsi="Times New Roman;Times;serif"/>
                <w:sz w:val="20"/>
              </w:rPr>
              <w:t>”, or the “</w:t>
            </w:r>
            <w:r>
              <w:rPr>
                <w:rFonts w:ascii="Times New Roman;Times;serif" w:hAnsi="Times New Roman;Times;serif"/>
                <w:b/>
                <w:sz w:val="20"/>
              </w:rPr>
              <w:t>Target Company</w:t>
            </w:r>
            <w:r>
              <w:rPr>
                <w:rFonts w:ascii="Times New Roman;Times;serif" w:hAnsi="Times New Roman;Times;serif"/>
                <w:sz w:val="20"/>
              </w:rPr>
              <w:t>”, or the “</w:t>
            </w:r>
            <w:r>
              <w:rPr>
                <w:rFonts w:ascii="Times New Roman;Times;serif" w:hAnsi="Times New Roman;Times;serif"/>
                <w:b/>
                <w:sz w:val="20"/>
              </w:rPr>
              <w:t>Company</w:t>
            </w:r>
            <w:r>
              <w:rPr>
                <w:rFonts w:ascii="Times New Roman;Times;serif" w:hAnsi="Times New Roman;Times;serif"/>
                <w:sz w:val="20"/>
              </w:rPr>
              <w:t>”).</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Each of the above parties shall be referred to individually as a “</w:t>
      </w:r>
      <w:r>
        <w:rPr>
          <w:rFonts w:ascii="Times New Roman;Times;serif" w:hAnsi="Times New Roman;Times;serif"/>
          <w:b/>
          <w:sz w:val="20"/>
        </w:rPr>
        <w:t>Party</w:t>
      </w:r>
      <w:r>
        <w:rPr>
          <w:rFonts w:ascii="Times New Roman;Times;serif" w:hAnsi="Times New Roman;Times;serif"/>
          <w:sz w:val="20"/>
        </w:rPr>
        <w:t>” and collectively as the “</w:t>
      </w:r>
      <w:r>
        <w:rPr>
          <w:rFonts w:ascii="Times New Roman;Times;serif" w:hAnsi="Times New Roman;Times;serif"/>
          <w:b/>
          <w:sz w:val="20"/>
        </w:rPr>
        <w:t>Parties</w:t>
      </w:r>
      <w:r>
        <w:rPr>
          <w:rFonts w:ascii="Times New Roman;Times;serif" w:hAnsi="Times New Roman;Times;serif"/>
          <w:sz w:val="20"/>
        </w:rPr>
        <w:t>”.</w:t>
      </w:r>
    </w:p>
    <w:p>
      <w:pPr>
        <w:pStyle w:val="TextBody"/>
        <w:pBdr/>
        <w:bidi w:val="0"/>
        <w:spacing w:before="0" w:after="204"/>
        <w:ind w:left="2" w:right="0" w:hanging="350"/>
        <w:jc w:val="both"/>
        <w:rPr>
          <w:rFonts w:ascii="Times New Roman;Times;serif" w:hAnsi="Times New Roman;Times;serif"/>
          <w:b/>
          <w:sz w:val="20"/>
        </w:rPr>
      </w:pPr>
      <w:r>
        <w:rPr>
          <w:rFonts w:ascii="Times New Roman;Times;serif" w:hAnsi="Times New Roman;Times;serif"/>
          <w:b/>
          <w:sz w:val="20"/>
        </w:rPr>
        <w:t>WHEREAS:</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w:t>
            </w:r>
          </w:p>
        </w:tc>
        <w:tc>
          <w:tcPr>
            <w:tcW w:w="1006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Target Company is a limited liability company established and existing under the Laws of the PRC, and is a company controlled by NIO Inc. in the PRC through the NIO HK Holding Platforms with its current registered capital of RMB 6,428,815,699.3.</w:t>
            </w:r>
          </w:p>
        </w:tc>
      </w:tr>
    </w:tbl>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w:t>
            </w:r>
          </w:p>
        </w:tc>
        <w:tc>
          <w:tcPr>
            <w:tcW w:w="1006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SDIC, Anhui High-tech Co., Hefei Construction Investment Holdings (Group) Co., Ltd. (“</w:t>
            </w:r>
            <w:r>
              <w:rPr>
                <w:rFonts w:ascii="Times New Roman;Times;serif" w:hAnsi="Times New Roman;Times;serif"/>
                <w:b/>
                <w:sz w:val="20"/>
              </w:rPr>
              <w:t>Hefei Construction Co</w:t>
            </w:r>
            <w:r>
              <w:rPr>
                <w:rFonts w:ascii="Times New Roman;Times;serif" w:hAnsi="Times New Roman;Times;serif"/>
                <w:sz w:val="20"/>
              </w:rPr>
              <w:t>.” or the “</w:t>
            </w:r>
            <w:r>
              <w:rPr>
                <w:rFonts w:ascii="Times New Roman;Times;serif" w:hAnsi="Times New Roman;Times;serif"/>
                <w:b/>
                <w:sz w:val="20"/>
              </w:rPr>
              <w:t>Hefei Investor</w:t>
            </w:r>
            <w:r>
              <w:rPr>
                <w:rFonts w:ascii="Times New Roman;Times;serif" w:hAnsi="Times New Roman;Times;serif"/>
                <w:sz w:val="20"/>
              </w:rPr>
              <w:t>”), the NIO Parties and the Company entered into an Investment Agreement in respect of NIO China (the “</w:t>
            </w:r>
            <w:r>
              <w:rPr>
                <w:rFonts w:ascii="Times New Roman;Times;serif" w:hAnsi="Times New Roman;Times;serif"/>
                <w:b/>
                <w:sz w:val="20"/>
              </w:rPr>
              <w:t>Series A Investment Agreement</w:t>
            </w:r>
            <w:r>
              <w:rPr>
                <w:rFonts w:ascii="Times New Roman;Times;serif" w:hAnsi="Times New Roman;Times;serif"/>
                <w:sz w:val="20"/>
              </w:rPr>
              <w:t>”) and a Shareholders Agreement in respect of NIO China (the “</w:t>
            </w:r>
            <w:r>
              <w:rPr>
                <w:rFonts w:ascii="Times New Roman;Times;serif" w:hAnsi="Times New Roman;Times;serif"/>
                <w:b/>
                <w:sz w:val="20"/>
              </w:rPr>
              <w:t>Series A Shareholders Agreement</w:t>
            </w:r>
            <w:r>
              <w:rPr>
                <w:rFonts w:ascii="Times New Roman;Times;serif" w:hAnsi="Times New Roman;Times;serif"/>
                <w:sz w:val="20"/>
              </w:rPr>
              <w:t>”) on April 29, 2020.</w:t>
            </w:r>
          </w:p>
        </w:tc>
      </w:tr>
    </w:tbl>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3.</w:t>
            </w:r>
          </w:p>
        </w:tc>
        <w:tc>
          <w:tcPr>
            <w:tcW w:w="1007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SDIC, Advanced Manufacturing Industry Fund, Anhui High-tech Co., New Energy Automobile Fund, the Hefei Investor, Jianheng New Energy Fund, the NIO Parties and the Company entered into an Amendment and Supplementary Agreement to the Shareholders Agreement in respect of NIO China (the “</w:t>
            </w:r>
            <w:r>
              <w:rPr>
                <w:rFonts w:ascii="Times New Roman;Times;serif" w:hAnsi="Times New Roman;Times;serif"/>
                <w:b/>
                <w:sz w:val="20"/>
              </w:rPr>
              <w:t>Amendment and Supplementary Agreement I to the Shareholders Agreement</w:t>
            </w:r>
            <w:r>
              <w:rPr>
                <w:rFonts w:ascii="Times New Roman;Times;serif" w:hAnsi="Times New Roman;Times;serif"/>
                <w:sz w:val="20"/>
              </w:rPr>
              <w:t>”) on June 5, 2020. In accordance with the Amendment and Supplementary Agreement I to the Shareholders Agreement, Advanced Manufacturing Industry Fund designated by SDIC, New Energy Automobile Fund designated by Anhui High-tech Co., and Jianheng New Energy Fund designated by the Hefei Investor shall succeed to all or part of their respective rights and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obligations under the Series A Shareholders Agreement.</w:t>
      </w:r>
    </w:p>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4.</w:t>
            </w:r>
          </w:p>
        </w:tc>
        <w:tc>
          <w:tcPr>
            <w:tcW w:w="1007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SDIC, Advanced Manufacturing Industry Fund, Anhui High-tech Co., New Energy Automobile Fund, the Hefei Investor, Jianheng New Energy Fund, Anhui Sanzhong Yichuang, the NIO Parties and the Company entered into an Amendment and Supplementary Agreement to the Shareholders Agreement in respect of NIO China (the “</w:t>
            </w:r>
            <w:r>
              <w:rPr>
                <w:rFonts w:ascii="Times New Roman;Times;serif" w:hAnsi="Times New Roman;Times;serif"/>
                <w:b/>
                <w:sz w:val="20"/>
              </w:rPr>
              <w:t>Amendment and Supplementary Agreement II to the Shareholders Agreement</w:t>
            </w:r>
            <w:r>
              <w:rPr>
                <w:rFonts w:ascii="Times New Roman;Times;serif" w:hAnsi="Times New Roman;Times;serif"/>
                <w:sz w:val="20"/>
              </w:rPr>
              <w:t>”) on June 18, 2020. In accordance with the Amendment and Supplementary Agreement II to the Shareholders Agreement, Anhui Sanzhong Yichuang designated Anhui High-tech Co. to succeed to part of its rights and obligations under the Series A Shareholders Agreement and the Amendment and Supplementary Agreement I to the Shareholders Agreement pursuant to the Amendment and Supplementary Agreement II to the Shareholders Agreement.</w:t>
            </w:r>
          </w:p>
        </w:tc>
      </w:tr>
    </w:tbl>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5.</w:t>
            </w:r>
          </w:p>
        </w:tc>
        <w:tc>
          <w:tcPr>
            <w:tcW w:w="1007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Jianheng New Energy Fund and NIO HK entered into an Equity Purchase Agreement on September 16, 2020, pursuant to which, NIO HK exercised its NIO Parties’ Redemption Right under Series A Shareholders Agreement, Amendment and Supplementary Agreement I to the Shareholders Agreement and Amendment and Supplementary Agreement II to the Shareholders Agreement, to purchase RMB 437,062,937.06 of the registered capital of the Company from Jianheng New Energy Fund; SDIC, Advanced Manufacturing Industry Fund, Anhui High-tech Co., New Energy Automobile Fund, the Hefei Investor, Jianheng New Energy Fund, Anhui Sanzhong Yichuang, the NIO Parties and the Company entered into an Amendment and Supplementary Agreement III to the Shareholders Agreement in respect of NIO China (the “</w:t>
            </w:r>
            <w:r>
              <w:rPr>
                <w:rFonts w:ascii="Times New Roman;Times;serif" w:hAnsi="Times New Roman;Times;serif"/>
                <w:b/>
                <w:sz w:val="20"/>
              </w:rPr>
              <w:t>Amendment and Supplementary Agreement III to the Shareholders Agreement</w:t>
            </w:r>
            <w:r>
              <w:rPr>
                <w:rFonts w:ascii="Times New Roman;Times;serif" w:hAnsi="Times New Roman;Times;serif"/>
                <w:sz w:val="20"/>
              </w:rPr>
              <w:t>”) on September 16, 2020 to make certain amendments and supplements to the Series A Shareholders Agreement, Amendment and Supplementary Agreement I to the Shareholders Agreement and Amendment and Supplementary Agreement II to the Shareholders Agreement.</w:t>
            </w:r>
          </w:p>
        </w:tc>
      </w:tr>
    </w:tbl>
    <w:tbl>
      <w:tblPr>
        <w:tblW w:w="10205" w:type="dxa"/>
        <w:jc w:val="left"/>
        <w:tblInd w:w="0" w:type="dxa"/>
        <w:tblLayout w:type="fixed"/>
        <w:tblCellMar>
          <w:top w:w="0" w:type="dxa"/>
          <w:left w:w="0" w:type="dxa"/>
          <w:bottom w:w="0" w:type="dxa"/>
          <w:right w:w="0" w:type="dxa"/>
        </w:tblCellMar>
      </w:tblPr>
      <w:tblGrid>
        <w:gridCol w:w="136"/>
        <w:gridCol w:w="10069"/>
      </w:tblGrid>
      <w:tr>
        <w:trPr/>
        <w:tc>
          <w:tcPr>
            <w:tcW w:w="13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6.</w:t>
            </w:r>
          </w:p>
        </w:tc>
        <w:tc>
          <w:tcPr>
            <w:tcW w:w="1006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Company, the NIO Parties, Advanced Manufacturing Industry Fund, New Energy Automobile Fund, Anhui Sanzhong Yichuang, and Jianheng New Energy Fund entered into an Capital Increase Agreement on September 25, 2020, pursuant to which, NIO HK exercised its NIO Parties’ Capital Increase Right under the Series A Shareholders Agreement, to subscribe for RMB 742,153,846.15 of the Company’s increased registered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capital; SGIC, Advanced Manufacturing Industry Fund, Anhui High-tech Co., New Energy Automobile Fund, the Hefei Investor, Jianheng New Energy Fund, Anhui Sanzhong Yichuang, the NIO Parties and the Company entered into the Amendment and Supplementary Agreement IV to the Shareholders Agreement in respect of NIO China (the “</w:t>
      </w:r>
      <w:r>
        <w:rPr>
          <w:rFonts w:ascii="Times New Roman;Times;serif" w:hAnsi="Times New Roman;Times;serif"/>
          <w:b/>
          <w:sz w:val="20"/>
        </w:rPr>
        <w:t>Amendment and Supplementary Agreement IV to the Shareholders Agreement</w:t>
      </w:r>
      <w:r>
        <w:rPr>
          <w:rFonts w:ascii="Times New Roman;Times;serif" w:hAnsi="Times New Roman;Times;serif"/>
          <w:sz w:val="20"/>
        </w:rPr>
        <w:t>”) on September 25, 2020 to make certain amendments and supplements to the Series A Shareholders Agreement, the Amendment and Supplementary Agreement I to the Shareholders Agreement, the Amendment and Supplementary Agreement II to the Shareholders Agreement and the Amendment and Supplementary Agreement III to the Shareholders Agreement.</w:t>
      </w:r>
    </w:p>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7.</w:t>
            </w:r>
          </w:p>
        </w:tc>
        <w:tc>
          <w:tcPr>
            <w:tcW w:w="10077"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The Company, the NIO Parties, Advanced Manufacturing Industry Fund, New Energy Automobile Fund, Anhui Sanzhong Yichuang, and Jianheng New Energy Fund entered into a Capital Increase and Equity Transfer Agreement on January 26, 2021, pursuant to which, NIO HK shall purchase RMB 174,825,174.83 of the registered capital of the Company from Jianheng New Energy Fund, purchase RMB 17,482,517.48 of the registered capital of the Company from Advanced Manufacturing Industry Fund, and subscribe for RMB 349,650,349.65 of the Company’s increased registered capital; SGIC, Advanced Manufacturing Industry Fund, Anhui High-Tech Co., New Energy Automobile Fund, the Hefei Investor, Jianheng New Energy Fund, Anhui Sanzhong Yichuang, the NIO Parties and the Company entered into an Amendment and Supplementary Agreement V to the Shareholders Agreement in respect of NIO China (the “</w:t>
            </w:r>
            <w:r>
              <w:rPr>
                <w:rFonts w:ascii="Times New Roman;Times;serif" w:hAnsi="Times New Roman;Times;serif"/>
                <w:b/>
                <w:sz w:val="20"/>
              </w:rPr>
              <w:t>Amendment and Supplementary Agreement V to the Shareholders Agreement</w:t>
            </w:r>
            <w:r>
              <w:rPr>
                <w:rFonts w:ascii="Times New Roman;Times;serif" w:hAnsi="Times New Roman;Times;serif"/>
                <w:sz w:val="20"/>
              </w:rPr>
              <w:t>”) on January 26, 2021 to make certain amendments and supplements to the Series A Shareholders Agreement, Amendment and Supplementary Agreement I to the Shareholders Agreement, Amendment and Supplementary Agreement II to the Shareholders Agreement, Amendment and Supplementary Agreement III to the Shareholders Agreement and Amendment and Supplementary Agreement IV to the Shareholders Agreement.</w:t>
            </w:r>
          </w:p>
        </w:tc>
      </w:tr>
    </w:tbl>
    <w:tbl>
      <w:tblPr>
        <w:tblW w:w="10205" w:type="dxa"/>
        <w:jc w:val="left"/>
        <w:tblInd w:w="0" w:type="dxa"/>
        <w:tblLayout w:type="fixed"/>
        <w:tblCellMar>
          <w:top w:w="0" w:type="dxa"/>
          <w:left w:w="0" w:type="dxa"/>
          <w:bottom w:w="0" w:type="dxa"/>
          <w:right w:w="0" w:type="dxa"/>
        </w:tblCellMar>
      </w:tblPr>
      <w:tblGrid>
        <w:gridCol w:w="136"/>
        <w:gridCol w:w="10069"/>
      </w:tblGrid>
      <w:tr>
        <w:trPr/>
        <w:tc>
          <w:tcPr>
            <w:tcW w:w="136"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8.</w:t>
            </w:r>
          </w:p>
        </w:tc>
        <w:tc>
          <w:tcPr>
            <w:tcW w:w="10069"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The Company, the NIO Parties, Advanced Manufacturing Industry Fund, New Energy Automobile Fund, Anhui Sanzhong Yichuang and Jianheng New Energy Fund entered into a Capital Increase and Equity Transfer Agreement on September 24, 2021, pursuant to which, NIO HK shall purchase RMB 87,412,587.41 of the registered capital of the Company from Anhui Sanzhong Yichuang and subscribe for RMB 262,237,762.24 of the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Company’s increased registered capital at a subscription price of RMB 7,500,000,000 or equivalent in USD in cash; SGIC, Advanced Manufacturing Industry Fund, Anhui High-Tech Co., New Energy Automobile Fund, the Hefei Investor, Jianheng New Energy Fund, Anhui Sanzhong Yichuang, the NIO Parties and the Company entered into an Amendment and Supplementary Agreement VI to the Shareholders Agreement in respect of NIO China (the “</w:t>
      </w:r>
      <w:r>
        <w:rPr>
          <w:rFonts w:ascii="Times New Roman;Times;serif" w:hAnsi="Times New Roman;Times;serif"/>
          <w:b/>
          <w:sz w:val="20"/>
        </w:rPr>
        <w:t>Amendment and Supplementary Agreement VI to the Shareholders Agreement</w:t>
      </w:r>
      <w:r>
        <w:rPr>
          <w:rFonts w:ascii="Times New Roman;Times;serif" w:hAnsi="Times New Roman;Times;serif"/>
          <w:sz w:val="20"/>
        </w:rPr>
        <w:t>”) on September 24, 2021 to make certain amendments and supplements to the Series A Shareholders Agreement, Amendment and Supplementary Agreement I to the Shareholders Agreement, Amendment and Supplementary Agreement II to the Shareholders Agreement, Amendment and Supplementary Agreement III to the Shareholders Agreement, Amendment and Supplementary Agreement IV to the Shareholders Agreement and Amendment and Supplementary Agreement V to the Shareholders Agreement.</w:t>
      </w:r>
    </w:p>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9.</w:t>
            </w:r>
          </w:p>
        </w:tc>
        <w:tc>
          <w:tcPr>
            <w:tcW w:w="10074"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The Company, the NIO Parties, Advanced Manufacturing Industry Fund, New Energy Automobile Fund, Anhui Sanzhong Yichuang and Jianheng New Energy Fund entered into a Shareholders Agreement in respect of NIO China (the “</w:t>
            </w:r>
            <w:r>
              <w:rPr>
                <w:rFonts w:ascii="Times New Roman;Times;serif" w:hAnsi="Times New Roman;Times;serif"/>
                <w:b/>
                <w:sz w:val="20"/>
              </w:rPr>
              <w:t>New Series A Shareholders Agreement</w:t>
            </w:r>
            <w:r>
              <w:rPr>
                <w:rFonts w:ascii="Times New Roman;Times;serif" w:hAnsi="Times New Roman;Times;serif"/>
                <w:sz w:val="20"/>
              </w:rPr>
              <w:t>”) on March 30, 2024, which has superseded the Series A Shareholders Agreement, Amendment and Supplementary Agreement I to the Shareholders Agreement, Amendment and Supplementary Agreement II to the Shareholders Agreement, Amendment and Supplementary Agreement III to the Shareholders Agreement, Amendment and Supplementary Agreement IV to the Shareholders Agreement, Amendment and Supplementary Agreement V to the Shareholders Agreement and Amendment and Supplementary Agreement VI to the Shareholders Agreement.</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10.</w:t>
            </w:r>
          </w:p>
        </w:tc>
        <w:tc>
          <w:tcPr>
            <w:tcW w:w="9963"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The Company, the NIO Parties, SDIC, Anhui High-tech Co. and Jianheng New Energy Fund entered into an Investment Agreement in respect of NIO China (the “</w:t>
            </w:r>
            <w:r>
              <w:rPr>
                <w:rFonts w:ascii="Times New Roman;Times;serif" w:hAnsi="Times New Roman;Times;serif"/>
                <w:b/>
                <w:sz w:val="20"/>
              </w:rPr>
              <w:t>Series B Investment Agreement</w:t>
            </w:r>
            <w:r>
              <w:rPr>
                <w:rFonts w:ascii="Times New Roman;Times;serif" w:hAnsi="Times New Roman;Times;serif"/>
                <w:sz w:val="20"/>
              </w:rPr>
              <w:t>”) on September 30, 2024, pursuant to which, the Parties agree to subscribe newly increased registered capital of the Company in accordance with the Series B Investment Agreement (“</w:t>
            </w:r>
            <w:r>
              <w:rPr>
                <w:rFonts w:ascii="Times New Roman;Times;serif" w:hAnsi="Times New Roman;Times;serif"/>
                <w:b/>
                <w:sz w:val="20"/>
              </w:rPr>
              <w:t>this Transaction</w:t>
            </w:r>
            <w:r>
              <w:rPr>
                <w:rFonts w:ascii="Times New Roman;Times;serif" w:hAnsi="Times New Roman;Times;serif"/>
                <w:sz w:val="20"/>
              </w:rPr>
              <w:t>”).</w:t>
            </w:r>
          </w:p>
        </w:tc>
      </w:tr>
    </w:tbl>
    <w:p>
      <w:pPr>
        <w:pStyle w:val="TextBody"/>
        <w:bidi w:val="0"/>
        <w:spacing w:before="0" w:after="204"/>
        <w:ind w:left="0" w:right="0" w:hanging="0"/>
        <w:jc w:val="both"/>
        <w:rPr>
          <w:rFonts w:ascii="Times New Roman;Times;serif" w:hAnsi="Times New Roman;Times;serif"/>
          <w:sz w:val="20"/>
        </w:rPr>
      </w:pPr>
      <w:r>
        <w:rPr>
          <w:rFonts w:ascii="Times New Roman;Times;serif" w:hAnsi="Times New Roman;Times;serif"/>
          <w:sz w:val="20"/>
        </w:rPr>
        <w:t>The Parties intend to make an agreement on the governance of the Target Company, the rights and obligations of the Parties and other matters after the completion of this Transaction through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0" w:right="0" w:hanging="0"/>
        <w:jc w:val="both"/>
        <w:rPr>
          <w:rFonts w:ascii="Times New Roman;Times;serif" w:hAnsi="Times New Roman;Times;serif"/>
          <w:sz w:val="20"/>
        </w:rPr>
      </w:pPr>
      <w:r>
        <w:rPr>
          <w:rFonts w:ascii="Times New Roman;Times;serif" w:hAnsi="Times New Roman;Times;serif"/>
          <w:sz w:val="20"/>
        </w:rPr>
        <w:t>this Agreement.</w:t>
      </w:r>
    </w:p>
    <w:p>
      <w:pPr>
        <w:pStyle w:val="TextBody"/>
        <w:bidi w:val="0"/>
        <w:spacing w:before="0" w:after="204"/>
        <w:ind w:left="0" w:right="0" w:hanging="0"/>
        <w:jc w:val="both"/>
        <w:rPr>
          <w:rFonts w:ascii="Times New Roman;Times;serif" w:hAnsi="Times New Roman;Times;serif"/>
          <w:sz w:val="20"/>
        </w:rPr>
      </w:pPr>
      <w:r>
        <w:rPr>
          <w:rFonts w:ascii="Times New Roman;Times;serif" w:hAnsi="Times New Roman;Times;serif"/>
          <w:sz w:val="20"/>
        </w:rPr>
        <w:t xml:space="preserve">NOW, THEREFORE, based on equality and mutual benefit and in accordance with the </w:t>
      </w:r>
      <w:r>
        <w:rPr>
          <w:rFonts w:ascii="Times New Roman;Times;serif" w:hAnsi="Times New Roman;Times;serif"/>
          <w:i/>
          <w:sz w:val="20"/>
        </w:rPr>
        <w:t>Company Law of the PRC</w:t>
      </w:r>
      <w:r>
        <w:rPr>
          <w:rFonts w:ascii="Times New Roman;Times;serif" w:hAnsi="Times New Roman;Times;serif"/>
          <w:sz w:val="20"/>
        </w:rPr>
        <w:t xml:space="preserve"> and other relevant PRC Laws and Regulations, with respect to the governance of the Target Company and the rights and obligations of the Parties and other matters, the Parties hereby agree as follows: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DEFINITIONS AND INTERPRETATIONS</w:t>
      </w:r>
    </w:p>
    <w:tbl>
      <w:tblPr>
        <w:tblW w:w="8695" w:type="dxa"/>
        <w:jc w:val="left"/>
        <w:tblInd w:w="0" w:type="dxa"/>
        <w:tblLayout w:type="fixed"/>
        <w:tblCellMar>
          <w:top w:w="0" w:type="dxa"/>
          <w:left w:w="0" w:type="dxa"/>
          <w:bottom w:w="0" w:type="dxa"/>
          <w:right w:w="0" w:type="dxa"/>
        </w:tblCellMar>
      </w:tblPr>
      <w:tblGrid>
        <w:gridCol w:w="275"/>
        <w:gridCol w:w="8420"/>
      </w:tblGrid>
      <w:tr>
        <w:trPr/>
        <w:tc>
          <w:tcPr>
            <w:tcW w:w="27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1.1</w:t>
            </w:r>
          </w:p>
        </w:tc>
        <w:tc>
          <w:tcPr>
            <w:tcW w:w="842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Unless otherwise required by the context, the following terms shall have the meanings ascribed to them:</w:t>
            </w:r>
          </w:p>
        </w:tc>
      </w:tr>
    </w:tbl>
    <w:tbl>
      <w:tblPr>
        <w:tblW w:w="10205" w:type="dxa"/>
        <w:jc w:val="left"/>
        <w:tblInd w:w="0" w:type="dxa"/>
        <w:tblLayout w:type="fixed"/>
        <w:tblCellMar>
          <w:top w:w="0" w:type="dxa"/>
          <w:left w:w="0" w:type="dxa"/>
          <w:bottom w:w="0" w:type="dxa"/>
          <w:right w:w="0" w:type="dxa"/>
        </w:tblCellMar>
      </w:tblPr>
      <w:tblGrid>
        <w:gridCol w:w="1365"/>
        <w:gridCol w:w="616"/>
        <w:gridCol w:w="8224"/>
      </w:tblGrid>
      <w:tr>
        <w:trPr/>
        <w:tc>
          <w:tcPr>
            <w:tcW w:w="1365"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8224" w:type="dxa"/>
            <w:tcBorders/>
            <w:vAlign w:val="center"/>
          </w:tcPr>
          <w:p>
            <w:pPr>
              <w:pStyle w:val="TableContents"/>
              <w:bidi w:val="0"/>
              <w:spacing w:before="0" w:after="0"/>
              <w:ind w:left="0" w:right="0" w:hanging="0"/>
              <w:jc w:val="left"/>
              <w:rPr/>
            </w:pPr>
            <w:r>
              <w:rPr/>
              <w:t>​</w:t>
            </w:r>
          </w:p>
        </w:tc>
      </w:tr>
      <w:tr>
        <w:trPr/>
        <w:tc>
          <w:tcPr>
            <w:tcW w:w="13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Series A Transaction</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822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Capital Increase in Cash and the asset contribution by the Series A Investors and the NIO Parties in the Target Company in accordance with the Series A Investment Agreement and its amendments and supplements</w:t>
            </w:r>
          </w:p>
        </w:tc>
      </w:tr>
      <w:tr>
        <w:trPr/>
        <w:tc>
          <w:tcPr>
            <w:tcW w:w="13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Series A Investor(s)</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822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Jianheng New Energy Fund shall be referred to as the “Series A Investor” with respect to RMB 262,237,762.24 in the registered capital of the Target Company held by it pursuant to the Series A Transaction;</w:t>
            </w:r>
          </w:p>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SDIC and/or its designated investment entity shall be referred to as the “Series A Investor” with respect to RMB 157,342,657.35 in the registered capital of the Target Company held by it pursuant to the Series A Transaction;</w:t>
            </w:r>
          </w:p>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Anhui Sanzhong Yichuang shall be referred to as the “Series A Investor” with respect to RMB 52,447,552.45 in the registered capital of the Target Company held by it pursuant to the Series A Transaction;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87"/>
        <w:gridCol w:w="616"/>
        <w:gridCol w:w="7702"/>
      </w:tblGrid>
      <w:tr>
        <w:trPr/>
        <w:tc>
          <w:tcPr>
            <w:tcW w:w="1887"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7702" w:type="dxa"/>
            <w:tcBorders/>
            <w:vAlign w:val="center"/>
          </w:tcPr>
          <w:p>
            <w:pPr>
              <w:pStyle w:val="TableContents"/>
              <w:bidi w:val="0"/>
              <w:spacing w:before="0" w:after="0"/>
              <w:ind w:left="0" w:right="0" w:hanging="0"/>
              <w:jc w:val="left"/>
              <w:rPr/>
            </w:pPr>
            <w:r>
              <w:rPr/>
              <w:t>​</w:t>
            </w:r>
          </w:p>
        </w:tc>
      </w:tr>
      <w:tr>
        <w:trPr/>
        <w:tc>
          <w:tcPr>
            <w:tcW w:w="188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pPr>
            <w:r>
              <w:rPr/>
              <w:t>​</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770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New Energy Automobile Fund shall be referred to as the “Series A Investor” with respect to RMB 34,965,034.97 in the registered capital of the Target Company held by it pursuant to the Series A Transaction.</w:t>
            </w:r>
          </w:p>
        </w:tc>
      </w:tr>
      <w:tr>
        <w:trPr/>
        <w:tc>
          <w:tcPr>
            <w:tcW w:w="188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Transaction/Series B Transaction</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70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Capital Increase in Cash by the Series B Investors and the NIO Parties in the Target Company in accordance with the Series B Investment Agreement</w:t>
            </w:r>
          </w:p>
        </w:tc>
      </w:tr>
      <w:tr>
        <w:trPr/>
        <w:tc>
          <w:tcPr>
            <w:tcW w:w="188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Series B Investor(s)</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70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Jianheng New Energy Fund shall be referred to as the “Series B Investor” with respect to RMB 285,725,142.19 in the registered capital of the Target Company held by it pursuant to this Transaction;</w:t>
            </w:r>
          </w:p>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SDIC and/or its designated investment entity shall be referred to as the “Series B Investor” with respect to RMB 71,431,285.54 in the registered capital of the Target Company held by it pursuant to this Transaction;</w:t>
            </w:r>
          </w:p>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Anhui High-tech Co. and/or its designated investment entity shall be referred to as the “Series B Investor” with respect to RMB 114,290,056.88 in the registered capital of the Target Company held by it pursuant to this Transaction.</w:t>
            </w:r>
          </w:p>
        </w:tc>
      </w:tr>
      <w:tr>
        <w:trPr/>
        <w:tc>
          <w:tcPr>
            <w:tcW w:w="188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New Series B Investor(s)</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70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29.7 hereof</w:t>
            </w:r>
          </w:p>
        </w:tc>
      </w:tr>
      <w:tr>
        <w:trPr/>
        <w:tc>
          <w:tcPr>
            <w:tcW w:w="188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Each Transaction</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70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of the Series A Transaction and the Series B Transaction</w:t>
            </w:r>
          </w:p>
        </w:tc>
      </w:tr>
      <w:tr>
        <w:trPr/>
        <w:tc>
          <w:tcPr>
            <w:tcW w:w="188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Agreement</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70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this NIO China Shareholders Agreement entered into among and by the Parties on September 30, 2024 and the exhibits or schedules hereto </w:t>
            </w:r>
          </w:p>
        </w:tc>
      </w:tr>
      <w:tr>
        <w:trPr/>
        <w:tc>
          <w:tcPr>
            <w:tcW w:w="188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Changing Party</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70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58" w:right="0" w:hanging="0"/>
              <w:jc w:val="both"/>
              <w:rPr>
                <w:rFonts w:ascii="Times New Roman;Times;serif" w:hAnsi="Times New Roman;Times;serif"/>
                <w:sz w:val="20"/>
              </w:rPr>
            </w:pPr>
            <w:r>
              <w:rPr>
                <w:rFonts w:ascii="Times New Roman;Times;serif" w:hAnsi="Times New Roman;Times;serif"/>
                <w:sz w:val="20"/>
              </w:rPr>
              <w:t>the definition in Clause 28.2 hereof</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27"/>
        <w:gridCol w:w="616"/>
        <w:gridCol w:w="8062"/>
      </w:tblGrid>
      <w:tr>
        <w:trPr/>
        <w:tc>
          <w:tcPr>
            <w:tcW w:w="1527"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8062" w:type="dxa"/>
            <w:tcBorders/>
            <w:vAlign w:val="center"/>
          </w:tcPr>
          <w:p>
            <w:pPr>
              <w:pStyle w:val="TableContents"/>
              <w:bidi w:val="0"/>
              <w:spacing w:before="0" w:after="0"/>
              <w:ind w:left="0" w:right="0" w:hanging="0"/>
              <w:jc w:val="left"/>
              <w:rPr/>
            </w:pPr>
            <w:r>
              <w:rPr/>
              <w:t>​</w:t>
            </w:r>
          </w:p>
        </w:tc>
      </w:tr>
      <w:tr>
        <w:trPr/>
        <w:tc>
          <w:tcPr>
            <w:tcW w:w="15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Force Majeure</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80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22.1 hereof</w:t>
            </w:r>
          </w:p>
        </w:tc>
      </w:tr>
      <w:tr>
        <w:trPr/>
        <w:tc>
          <w:tcPr>
            <w:tcW w:w="15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Restructuring</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80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17 hereof</w:t>
            </w:r>
          </w:p>
        </w:tc>
      </w:tr>
      <w:tr>
        <w:trPr/>
        <w:tc>
          <w:tcPr>
            <w:tcW w:w="15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Laws/Laws and Regulation</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80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applicable laws, regulations, departmental rules, local regulations, local rules, normative documents, treaties concluded, judgments or orders of any Governmental Authority</w:t>
            </w:r>
          </w:p>
        </w:tc>
      </w:tr>
      <w:tr>
        <w:trPr/>
        <w:tc>
          <w:tcPr>
            <w:tcW w:w="15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Co-Sale Feedback Period</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80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8.1.1 hereof</w:t>
            </w:r>
          </w:p>
        </w:tc>
      </w:tr>
      <w:tr>
        <w:trPr/>
        <w:tc>
          <w:tcPr>
            <w:tcW w:w="15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Shareholders</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80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2.1 hereof</w:t>
            </w:r>
          </w:p>
        </w:tc>
      </w:tr>
      <w:tr>
        <w:trPr/>
        <w:tc>
          <w:tcPr>
            <w:tcW w:w="15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Core Management Team</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80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personnel specified in Exhibit II hereof</w:t>
            </w:r>
          </w:p>
        </w:tc>
      </w:tr>
      <w:tr>
        <w:trPr/>
        <w:tc>
          <w:tcPr>
            <w:tcW w:w="15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Redemption Price</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80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11.2 hereof</w:t>
            </w:r>
          </w:p>
        </w:tc>
      </w:tr>
      <w:tr>
        <w:trPr/>
        <w:tc>
          <w:tcPr>
            <w:tcW w:w="15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Redemption Events</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80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11.1 hereof</w:t>
            </w:r>
          </w:p>
        </w:tc>
      </w:tr>
      <w:tr>
        <w:trPr/>
        <w:tc>
          <w:tcPr>
            <w:tcW w:w="15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Joinder Agreement</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80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14.2 hereof</w:t>
            </w:r>
          </w:p>
        </w:tc>
      </w:tr>
      <w:tr>
        <w:trPr/>
        <w:tc>
          <w:tcPr>
            <w:tcW w:w="15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Competing Business</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80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18.4 hereof</w:t>
            </w:r>
          </w:p>
        </w:tc>
      </w:tr>
      <w:tr>
        <w:trPr/>
        <w:tc>
          <w:tcPr>
            <w:tcW w:w="15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Investment Agreement(s)</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80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Series A Investment Agreement and/or Series B Investment Agreement and their respective amendments and supplements</w:t>
            </w:r>
          </w:p>
        </w:tc>
      </w:tr>
      <w:tr>
        <w:trPr/>
        <w:tc>
          <w:tcPr>
            <w:tcW w:w="15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Transaction Documents</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80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Agreement, the Investment Agreements and their amendments and supplements, the articles of association of the Target Company and other agreements or documents entered into by the Parties in connection with Each Transaction.</w:t>
            </w:r>
          </w:p>
        </w:tc>
      </w:tr>
      <w:tr>
        <w:trPr/>
        <w:tc>
          <w:tcPr>
            <w:tcW w:w="15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Group Members</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80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Target Company and any enterprises, legal persons, and unincorporated organizations, currently or in the future, directly or indirectly controlled by the Target Company by mean of equity or contractual control</w:t>
            </w:r>
          </w:p>
        </w:tc>
      </w:tr>
      <w:tr>
        <w:trPr/>
        <w:tc>
          <w:tcPr>
            <w:tcW w:w="15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Core Group Members</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80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58" w:right="0" w:hanging="0"/>
              <w:jc w:val="both"/>
              <w:rPr>
                <w:rFonts w:ascii="Times New Roman;Times;serif" w:hAnsi="Times New Roman;Times;serif"/>
                <w:sz w:val="20"/>
              </w:rPr>
            </w:pPr>
            <w:r>
              <w:rPr>
                <w:rFonts w:ascii="Times New Roman;Times;serif" w:hAnsi="Times New Roman;Times;serif"/>
                <w:sz w:val="20"/>
              </w:rPr>
              <w:t>the Target Company, NIO Energy Investment (Hubei) Co., Ltd., NIO Sales and Services Co., Ltd., NIO Co., Ltd., Wuhan NIO Energy Co., Ltd., NIO (Anhui) Co., Ltd., NIO Technology (Anhui) Co., Ltd., NIO Financial Leasing Co., Ltd., Anhui NIO Data Technology Co., Ltd. and Beijing NIO Network Technology Co., Ltd.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74"/>
        <w:gridCol w:w="616"/>
        <w:gridCol w:w="7615"/>
      </w:tblGrid>
      <w:tr>
        <w:trPr/>
        <w:tc>
          <w:tcPr>
            <w:tcW w:w="1974"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7615" w:type="dxa"/>
            <w:tcBorders/>
            <w:vAlign w:val="center"/>
          </w:tcPr>
          <w:p>
            <w:pPr>
              <w:pStyle w:val="TableContents"/>
              <w:bidi w:val="0"/>
              <w:spacing w:before="0" w:after="0"/>
              <w:ind w:left="0" w:right="0" w:hanging="0"/>
              <w:jc w:val="left"/>
              <w:rPr/>
            </w:pPr>
            <w:r>
              <w:rPr/>
              <w:t>​</w:t>
            </w:r>
          </w:p>
        </w:tc>
      </w:tr>
      <w:tr>
        <w:trPr/>
        <w:tc>
          <w:tcPr>
            <w:tcW w:w="19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Controlling Shareholders</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6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NIO Group and the NIO HK Holding Platforms</w:t>
            </w:r>
          </w:p>
        </w:tc>
      </w:tr>
      <w:tr>
        <w:trPr/>
        <w:tc>
          <w:tcPr>
            <w:tcW w:w="19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Investors</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6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Series A Investors and Series B Investors</w:t>
            </w:r>
          </w:p>
        </w:tc>
      </w:tr>
      <w:tr>
        <w:trPr/>
        <w:tc>
          <w:tcPr>
            <w:tcW w:w="19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 Dollar/USD</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6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lawful currency of the United States of America</w:t>
            </w:r>
          </w:p>
        </w:tc>
      </w:tr>
      <w:tr>
        <w:trPr/>
        <w:tc>
          <w:tcPr>
            <w:tcW w:w="19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Target Company</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6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NIO Holding Co., Ltd.</w:t>
            </w:r>
          </w:p>
        </w:tc>
      </w:tr>
      <w:tr>
        <w:trPr/>
        <w:tc>
          <w:tcPr>
            <w:tcW w:w="19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Holdco of the Target Company</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6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person who directly or indirectly holds equity interest/shares in the Target Company</w:t>
            </w:r>
          </w:p>
        </w:tc>
      </w:tr>
      <w:tr>
        <w:trPr/>
        <w:tc>
          <w:tcPr>
            <w:tcW w:w="19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Term of the Target Company</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6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21.1 hereof</w:t>
            </w:r>
          </w:p>
        </w:tc>
      </w:tr>
      <w:tr>
        <w:trPr/>
        <w:tc>
          <w:tcPr>
            <w:tcW w:w="19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Proposed Transfer</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6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7.1 hereof</w:t>
            </w:r>
          </w:p>
        </w:tc>
      </w:tr>
      <w:tr>
        <w:trPr/>
        <w:tc>
          <w:tcPr>
            <w:tcW w:w="19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Proposed Capital Increase</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6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9.1 hereof</w:t>
            </w:r>
          </w:p>
        </w:tc>
      </w:tr>
      <w:tr>
        <w:trPr/>
        <w:tc>
          <w:tcPr>
            <w:tcW w:w="19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Platform</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6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17 hereof</w:t>
            </w:r>
          </w:p>
        </w:tc>
      </w:tr>
      <w:tr>
        <w:trPr/>
        <w:tc>
          <w:tcPr>
            <w:tcW w:w="19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Term</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6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21.1 hereof</w:t>
            </w:r>
          </w:p>
        </w:tc>
      </w:tr>
      <w:tr>
        <w:trPr/>
        <w:tc>
          <w:tcPr>
            <w:tcW w:w="19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Execution Date</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6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September 30, 2024</w:t>
            </w:r>
          </w:p>
        </w:tc>
      </w:tr>
      <w:tr>
        <w:trPr/>
        <w:tc>
          <w:tcPr>
            <w:tcW w:w="19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Qualified IPO</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6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Target Company is directly or indirectly listed on the Shanghai/Shenzhen Stock Exchange or other overseas stock exchange approved by the Parties by means of initial public offering or material assets restructuring with a listed company</w:t>
            </w:r>
          </w:p>
        </w:tc>
      </w:tr>
      <w:tr>
        <w:trPr/>
        <w:tc>
          <w:tcPr>
            <w:tcW w:w="19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Renminbi/RMB</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6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lawful currency of the PRC</w:t>
            </w:r>
          </w:p>
        </w:tc>
      </w:tr>
      <w:tr>
        <w:trPr/>
        <w:tc>
          <w:tcPr>
            <w:tcW w:w="19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Remaining Property</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6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12.1 hereof</w:t>
            </w:r>
          </w:p>
        </w:tc>
      </w:tr>
      <w:tr>
        <w:trPr/>
        <w:tc>
          <w:tcPr>
            <w:tcW w:w="19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Actual Controller</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6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LI Bin, a PRC citizen, with his ID card number of 110108197406221836 and address at No. 901, Gate 2, Building 8, Yard 166, South Xiangshan Road, Shijingshan District, Beijing</w:t>
            </w:r>
          </w:p>
        </w:tc>
      </w:tr>
      <w:tr>
        <w:trPr/>
        <w:tc>
          <w:tcPr>
            <w:tcW w:w="19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Deemed Liquidation Event</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6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12.5 hereof</w:t>
            </w:r>
          </w:p>
        </w:tc>
      </w:tr>
      <w:tr>
        <w:trPr/>
        <w:tc>
          <w:tcPr>
            <w:tcW w:w="19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Transferee</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6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7.1 hereof</w:t>
            </w:r>
          </w:p>
        </w:tc>
      </w:tr>
      <w:tr>
        <w:trPr/>
        <w:tc>
          <w:tcPr>
            <w:tcW w:w="19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Investors Subscription Price</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6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10.1.2 hereof</w:t>
            </w:r>
          </w:p>
        </w:tc>
      </w:tr>
      <w:tr>
        <w:trPr/>
        <w:tc>
          <w:tcPr>
            <w:tcW w:w="19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Guaranteed Minimum Return on Investment</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6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12.1 hereof</w:t>
            </w:r>
          </w:p>
        </w:tc>
      </w:tr>
      <w:tr>
        <w:trPr/>
        <w:tc>
          <w:tcPr>
            <w:tcW w:w="19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NIO Parties’ Capital Increase Right</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6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9.2 hereof</w:t>
            </w:r>
          </w:p>
        </w:tc>
      </w:tr>
      <w:tr>
        <w:trPr/>
        <w:tc>
          <w:tcPr>
            <w:tcW w:w="19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Hong Kong</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6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58" w:right="0" w:hanging="0"/>
              <w:jc w:val="both"/>
              <w:rPr>
                <w:rFonts w:ascii="Times New Roman;Times;serif" w:hAnsi="Times New Roman;Times;serif"/>
                <w:sz w:val="20"/>
              </w:rPr>
            </w:pPr>
            <w:r>
              <w:rPr>
                <w:rFonts w:ascii="Times New Roman;Times;serif" w:hAnsi="Times New Roman;Times;serif"/>
                <w:sz w:val="20"/>
              </w:rPr>
              <w:t>the Hong Kong Special Administrative Region of the PRC</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83"/>
        <w:gridCol w:w="616"/>
        <w:gridCol w:w="8406"/>
      </w:tblGrid>
      <w:tr>
        <w:trPr/>
        <w:tc>
          <w:tcPr>
            <w:tcW w:w="1183"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8406" w:type="dxa"/>
            <w:tcBorders/>
            <w:vAlign w:val="center"/>
          </w:tcPr>
          <w:p>
            <w:pPr>
              <w:pStyle w:val="TableContents"/>
              <w:bidi w:val="0"/>
              <w:spacing w:before="0" w:after="0"/>
              <w:ind w:left="0" w:right="0" w:hanging="0"/>
              <w:jc w:val="left"/>
              <w:rPr/>
            </w:pPr>
            <w:r>
              <w:rPr/>
              <w:t>​</w:t>
            </w:r>
          </w:p>
        </w:tc>
      </w:tr>
      <w:tr>
        <w:trPr/>
        <w:tc>
          <w:tcPr>
            <w:tcW w:w="118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Exercise Period</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84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11.1 hereof</w:t>
            </w:r>
          </w:p>
        </w:tc>
      </w:tr>
      <w:tr>
        <w:trPr/>
        <w:tc>
          <w:tcPr>
            <w:tcW w:w="118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Material or Major</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84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act or circumstance which may result in any single or accumulative losses of more than RMB 50 million suffered by the Investors </w:t>
            </w:r>
          </w:p>
        </w:tc>
      </w:tr>
      <w:tr>
        <w:trPr/>
        <w:tc>
          <w:tcPr>
            <w:tcW w:w="118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Preferential Distribution</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84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12.1 hereof</w:t>
            </w:r>
          </w:p>
        </w:tc>
      </w:tr>
      <w:tr>
        <w:trPr/>
        <w:tc>
          <w:tcPr>
            <w:tcW w:w="118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ROFR Holder</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84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7.1 hereof</w:t>
            </w:r>
          </w:p>
        </w:tc>
      </w:tr>
      <w:tr>
        <w:trPr/>
        <w:tc>
          <w:tcPr>
            <w:tcW w:w="118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Yuan</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84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Renminbi yuan (unless the context otherwise requires)</w:t>
            </w:r>
          </w:p>
        </w:tc>
      </w:tr>
      <w:tr>
        <w:trPr/>
        <w:tc>
          <w:tcPr>
            <w:tcW w:w="118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Main Business</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84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58" w:right="0" w:hanging="0"/>
              <w:jc w:val="both"/>
              <w:rPr>
                <w:rFonts w:ascii="Times New Roman;Times;serif" w:hAnsi="Times New Roman;Times;serif"/>
                <w:sz w:val="20"/>
              </w:rPr>
            </w:pPr>
            <w:r>
              <w:rPr>
                <w:rFonts w:ascii="Times New Roman;Times;serif" w:hAnsi="Times New Roman;Times;serif"/>
                <w:sz w:val="20"/>
              </w:rPr>
              <w:t>(i) Manufacturing, sale, purchase, after-sale repair and other supporting services of finished new-energy automobiles, supporting products for energy sources, parts, materials, components, machinery and equipment, as well as the technical development, technical services, technical transfer and technical consulting services relating thereto; (ii) Investing in accordance with the law in the fields in which foreign investment is allowed by the State; (iii) Import and export of machinery and equipment, auto parts, goods and technology; automobile sale, leasing, designated driving, repair and maintenance (limited to branch operation), agent and after-sale service of automobile insurance services; (iv) Sale of auto supplies and parts, machinery and equipment, daily articles, clothes and accessories, toys, beverages, handicrafts gifts and second-hand automobiles; (v) Research and development, production, sale and operation of equipment and components relating to battery swap stations, charging piles and energy storage system; design, development, technical service and consulting of vehicle system and software; (vi) Automobile exhibition activities and marketing planning; conference, exhibition,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18"/>
        <w:gridCol w:w="616"/>
        <w:gridCol w:w="7771"/>
      </w:tblGrid>
      <w:tr>
        <w:trPr/>
        <w:tc>
          <w:tcPr>
            <w:tcW w:w="1818"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7771" w:type="dxa"/>
            <w:tcBorders/>
            <w:vAlign w:val="center"/>
          </w:tcPr>
          <w:p>
            <w:pPr>
              <w:pStyle w:val="TableContents"/>
              <w:bidi w:val="0"/>
              <w:spacing w:before="0" w:after="0"/>
              <w:ind w:left="0" w:right="0" w:hanging="0"/>
              <w:jc w:val="left"/>
              <w:rPr/>
            </w:pPr>
            <w:r>
              <w:rPr/>
              <w:t>​</w:t>
            </w:r>
          </w:p>
        </w:tc>
      </w:tr>
      <w:tr>
        <w:trPr/>
        <w:tc>
          <w:tcPr>
            <w:tcW w:w="181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pPr>
            <w:r>
              <w:rPr/>
              <w:t>​</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77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catering services, self-operation and agency of the import and export of various commodities and technologies</w:t>
            </w:r>
          </w:p>
        </w:tc>
      </w:tr>
      <w:tr>
        <w:trPr/>
        <w:tc>
          <w:tcPr>
            <w:tcW w:w="181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Capital Increase Feedback Period</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7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9.1.2 hereof</w:t>
            </w:r>
          </w:p>
        </w:tc>
      </w:tr>
      <w:tr>
        <w:trPr/>
        <w:tc>
          <w:tcPr>
            <w:tcW w:w="181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Capital Increase Notice</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7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9.1.1 hereof</w:t>
            </w:r>
          </w:p>
        </w:tc>
      </w:tr>
      <w:tr>
        <w:trPr/>
        <w:tc>
          <w:tcPr>
            <w:tcW w:w="181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Government Authority</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7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PRC or non-PRC international organization, national, state, provincial, local, or other government, governmental, regulatory or administrative authority, agency or commission or any court, tribunal, or judicial or arbitral body</w:t>
            </w:r>
          </w:p>
        </w:tc>
      </w:tr>
      <w:tr>
        <w:trPr/>
        <w:tc>
          <w:tcPr>
            <w:tcW w:w="181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Governmental Approval</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7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means any approval, authorization, consent, franchise, permit or registration by any Governmental Authority, or any report, circular, statement or other correspondences required to be filed with or submitted to any Governmental Authority</w:t>
            </w:r>
          </w:p>
        </w:tc>
      </w:tr>
      <w:tr>
        <w:trPr/>
        <w:tc>
          <w:tcPr>
            <w:tcW w:w="181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Transfer Feedback Period</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7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7.1.2 hereof</w:t>
            </w:r>
          </w:p>
        </w:tc>
      </w:tr>
      <w:tr>
        <w:trPr/>
        <w:tc>
          <w:tcPr>
            <w:tcW w:w="181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Transferring Shareholders</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7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7.1 hereof</w:t>
            </w:r>
          </w:p>
        </w:tc>
      </w:tr>
      <w:tr>
        <w:trPr/>
        <w:tc>
          <w:tcPr>
            <w:tcW w:w="181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Transfer Notice</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7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Clause 7.1.1 hereof</w:t>
            </w:r>
          </w:p>
        </w:tc>
      </w:tr>
      <w:tr>
        <w:trPr/>
        <w:tc>
          <w:tcPr>
            <w:tcW w:w="181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PRC</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7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recitals hereof</w:t>
            </w:r>
          </w:p>
        </w:tc>
      </w:tr>
      <w:tr>
        <w:trPr/>
        <w:tc>
          <w:tcPr>
            <w:tcW w:w="181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CSRC</w:t>
            </w:r>
          </w:p>
        </w:tc>
        <w:tc>
          <w:tcPr>
            <w:tcW w:w="6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77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58" w:right="0" w:hanging="0"/>
              <w:jc w:val="both"/>
              <w:rPr>
                <w:rFonts w:ascii="Times New Roman;Times;serif" w:hAnsi="Times New Roman;Times;serif"/>
                <w:sz w:val="20"/>
              </w:rPr>
            </w:pPr>
            <w:r>
              <w:rPr>
                <w:rFonts w:ascii="Times New Roman;Times;serif" w:hAnsi="Times New Roman;Times;serif"/>
                <w:sz w:val="20"/>
              </w:rPr>
              <w:t>the China Securities Regulatory Commission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1.2</w:t>
            </w:r>
          </w:p>
        </w:tc>
        <w:tc>
          <w:tcPr>
            <w:tcW w:w="99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Capitalized terms used and not otherwise defined in this Agreement shall have the meanings ascribed to them in the Investment Agreement, unless otherwise required by the context of this Agreement.</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1.3</w:t>
            </w:r>
          </w:p>
        </w:tc>
        <w:tc>
          <w:tcPr>
            <w:tcW w:w="9930" w:type="dxa"/>
            <w:tcBorders/>
            <w:vAlign w:val="center"/>
          </w:tcPr>
          <w:p>
            <w:pPr>
              <w:pStyle w:val="TableContents"/>
              <w:bidi w:val="0"/>
              <w:spacing w:before="0" w:after="200"/>
              <w:jc w:val="both"/>
              <w:rPr/>
            </w:pPr>
            <w:r>
              <w:rPr/>
              <w:t>“</w:t>
            </w:r>
            <w:r>
              <w:rPr>
                <w:rFonts w:ascii="Times New Roman;Times;serif" w:hAnsi="Times New Roman;Times;serif"/>
                <w:b/>
                <w:sz w:val="20"/>
              </w:rPr>
              <w:t>Section</w:t>
            </w:r>
            <w:r>
              <w:rPr>
                <w:rFonts w:ascii="Times New Roman;Times;serif" w:hAnsi="Times New Roman;Times;serif"/>
                <w:sz w:val="20"/>
              </w:rPr>
              <w:t>”, “</w:t>
            </w:r>
            <w:r>
              <w:rPr>
                <w:rFonts w:ascii="Times New Roman;Times;serif" w:hAnsi="Times New Roman;Times;serif"/>
                <w:b/>
                <w:sz w:val="20"/>
              </w:rPr>
              <w:t>Clause</w:t>
            </w:r>
            <w:r>
              <w:rPr>
                <w:rFonts w:ascii="Times New Roman;Times;serif" w:hAnsi="Times New Roman;Times;serif"/>
                <w:sz w:val="20"/>
              </w:rPr>
              <w:t>” and “</w:t>
            </w:r>
            <w:r>
              <w:rPr>
                <w:rFonts w:ascii="Times New Roman;Times;serif" w:hAnsi="Times New Roman;Times;serif"/>
                <w:b/>
                <w:sz w:val="20"/>
              </w:rPr>
              <w:t>Exhibit</w:t>
            </w:r>
            <w:r>
              <w:rPr>
                <w:rFonts w:ascii="Times New Roman;Times;serif" w:hAnsi="Times New Roman;Times;serif"/>
                <w:sz w:val="20"/>
              </w:rPr>
              <w:t>” mean the clause and section of, and the exhibit to, this Agreement, respectively. Any reference to “</w:t>
            </w:r>
            <w:r>
              <w:rPr>
                <w:rFonts w:ascii="Times New Roman;Times;serif" w:hAnsi="Times New Roman;Times;serif"/>
                <w:b/>
                <w:sz w:val="20"/>
              </w:rPr>
              <w:t>this Agreement</w:t>
            </w:r>
            <w:r>
              <w:rPr>
                <w:rFonts w:ascii="Times New Roman;Times;serif" w:hAnsi="Times New Roman;Times;serif"/>
                <w:sz w:val="20"/>
              </w:rPr>
              <w:t>” shall be construed to include its exhibits.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1.4</w:t>
            </w:r>
          </w:p>
        </w:tc>
        <w:tc>
          <w:tcPr>
            <w:tcW w:w="9930" w:type="dxa"/>
            <w:tcBorders/>
            <w:vAlign w:val="center"/>
          </w:tcPr>
          <w:p>
            <w:pPr>
              <w:pStyle w:val="TableContents"/>
              <w:bidi w:val="0"/>
              <w:spacing w:before="0" w:after="200"/>
              <w:jc w:val="both"/>
              <w:rPr/>
            </w:pPr>
            <w:r>
              <w:rPr/>
              <w:t>“</w:t>
            </w:r>
            <w:r>
              <w:rPr>
                <w:rFonts w:ascii="Times New Roman;Times;serif" w:hAnsi="Times New Roman;Times;serif"/>
                <w:b/>
                <w:sz w:val="20"/>
              </w:rPr>
              <w:t>Include</w:t>
            </w:r>
            <w:r>
              <w:rPr>
                <w:rFonts w:ascii="Times New Roman;Times;serif" w:hAnsi="Times New Roman;Times;serif"/>
                <w:sz w:val="20"/>
              </w:rPr>
              <w:t>”, “</w:t>
            </w:r>
            <w:r>
              <w:rPr>
                <w:rFonts w:ascii="Times New Roman;Times;serif" w:hAnsi="Times New Roman;Times;serif"/>
                <w:b/>
                <w:sz w:val="20"/>
              </w:rPr>
              <w:t>includes</w:t>
            </w:r>
            <w:r>
              <w:rPr>
                <w:rFonts w:ascii="Times New Roman;Times;serif" w:hAnsi="Times New Roman;Times;serif"/>
                <w:sz w:val="20"/>
              </w:rPr>
              <w:t>” or “</w:t>
            </w:r>
            <w:r>
              <w:rPr>
                <w:rFonts w:ascii="Times New Roman;Times;serif" w:hAnsi="Times New Roman;Times;serif"/>
                <w:b/>
                <w:sz w:val="20"/>
              </w:rPr>
              <w:t>including</w:t>
            </w:r>
            <w:r>
              <w:rPr>
                <w:rFonts w:ascii="Times New Roman;Times;serif" w:hAnsi="Times New Roman;Times;serif"/>
                <w:sz w:val="20"/>
              </w:rPr>
              <w:t>” and similar words are not intended to be restrictive and shall be construed as if followed by the words “</w:t>
            </w:r>
            <w:r>
              <w:rPr>
                <w:rFonts w:ascii="Times New Roman;Times;serif" w:hAnsi="Times New Roman;Times;serif"/>
                <w:b/>
                <w:sz w:val="20"/>
              </w:rPr>
              <w:t>without limitation</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1.5</w:t>
            </w:r>
          </w:p>
        </w:tc>
        <w:tc>
          <w:tcPr>
            <w:tcW w:w="99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headings in this Agreement are inserted for the convenience of reference only and shall not be taken into consideration in the interpretation or construction of this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723" w:right="0" w:hanging="0"/>
        <w:jc w:val="both"/>
        <w:rPr>
          <w:rFonts w:ascii="Times New Roman;Times;serif" w:hAnsi="Times New Roman;Times;serif"/>
          <w:sz w:val="20"/>
        </w:rPr>
      </w:pPr>
      <w:r>
        <w:rPr>
          <w:rFonts w:ascii="Times New Roman;Times;serif" w:hAnsi="Times New Roman;Times;serif"/>
          <w:sz w:val="20"/>
        </w:rPr>
        <w:t>Agreement.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1.6</w:t>
            </w:r>
          </w:p>
        </w:tc>
        <w:tc>
          <w:tcPr>
            <w:tcW w:w="99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Any reference to this Agreement or any other agreement shall be construed to include this Agreement or such other agreement as may be amended, modified, supplemented or novated.</w:t>
            </w:r>
          </w:p>
        </w:tc>
      </w:tr>
    </w:tbl>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SHAREHOLDERS OF THE TARGET COMPANY</w:t>
      </w:r>
    </w:p>
    <w:tbl>
      <w:tblPr>
        <w:tblW w:w="3265" w:type="dxa"/>
        <w:jc w:val="left"/>
        <w:tblInd w:w="0" w:type="dxa"/>
        <w:tblLayout w:type="fixed"/>
        <w:tblCellMar>
          <w:top w:w="0" w:type="dxa"/>
          <w:left w:w="0" w:type="dxa"/>
          <w:bottom w:w="0" w:type="dxa"/>
          <w:right w:w="0" w:type="dxa"/>
        </w:tblCellMar>
      </w:tblPr>
      <w:tblGrid>
        <w:gridCol w:w="275"/>
        <w:gridCol w:w="2990"/>
      </w:tblGrid>
      <w:tr>
        <w:trPr/>
        <w:tc>
          <w:tcPr>
            <w:tcW w:w="27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2.1</w:t>
            </w:r>
          </w:p>
        </w:tc>
        <w:tc>
          <w:tcPr>
            <w:tcW w:w="2990"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Shareholders of the Target Company</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After the completion of this Transaction, the shareholders of the Target Company (the “</w:t>
      </w:r>
      <w:r>
        <w:rPr>
          <w:rFonts w:ascii="Times New Roman;Times;serif" w:hAnsi="Times New Roman;Times;serif"/>
          <w:b/>
          <w:sz w:val="20"/>
        </w:rPr>
        <w:t>Shareholders</w:t>
      </w:r>
      <w:r>
        <w:rPr>
          <w:rFonts w:ascii="Times New Roman;Times;serif" w:hAnsi="Times New Roman;Times;serif"/>
          <w:sz w:val="20"/>
        </w:rPr>
        <w:t>”) shall be as follows:</w:t>
      </w:r>
    </w:p>
    <w:p>
      <w:pPr>
        <w:pStyle w:val="TextBody"/>
        <w:pBdr/>
        <w:bidi w:val="0"/>
        <w:spacing w:before="0" w:after="0"/>
        <w:ind w:left="0" w:right="0" w:hanging="600"/>
        <w:jc w:val="both"/>
        <w:rPr/>
      </w:pPr>
      <w:r>
        <w:rPr/>
        <w:t>​</w:t>
      </w:r>
    </w:p>
    <w:tbl>
      <w:tblPr>
        <w:tblW w:w="10205" w:type="dxa"/>
        <w:jc w:val="left"/>
        <w:tblInd w:w="0" w:type="dxa"/>
        <w:tblLayout w:type="fixed"/>
        <w:tblCellMar>
          <w:top w:w="0" w:type="dxa"/>
          <w:left w:w="0" w:type="dxa"/>
          <w:bottom w:w="0" w:type="dxa"/>
          <w:right w:w="0" w:type="dxa"/>
        </w:tblCellMar>
      </w:tblPr>
      <w:tblGrid>
        <w:gridCol w:w="1240"/>
        <w:gridCol w:w="8965"/>
      </w:tblGrid>
      <w:tr>
        <w:trPr/>
        <w:tc>
          <w:tcPr>
            <w:tcW w:w="1240" w:type="dxa"/>
            <w:tcBorders/>
            <w:vAlign w:val="center"/>
          </w:tcPr>
          <w:p>
            <w:pPr>
              <w:pStyle w:val="TableContents"/>
              <w:bidi w:val="0"/>
              <w:spacing w:before="0" w:after="240"/>
              <w:ind w:left="0" w:right="0" w:hanging="0"/>
              <w:jc w:val="left"/>
              <w:rPr/>
            </w:pPr>
            <w:r>
              <w:rPr/>
              <w:t>​</w:t>
            </w:r>
          </w:p>
        </w:tc>
        <w:tc>
          <w:tcPr>
            <w:tcW w:w="8965" w:type="dxa"/>
            <w:tcBorders/>
            <w:vAlign w:val="center"/>
          </w:tcPr>
          <w:p>
            <w:pPr>
              <w:pStyle w:val="TableContents"/>
              <w:bidi w:val="0"/>
              <w:spacing w:before="0" w:after="240"/>
              <w:ind w:left="0" w:right="0" w:hanging="0"/>
              <w:jc w:val="both"/>
              <w:rPr/>
            </w:pPr>
            <w:r>
              <w:rPr/>
              <w:t>​</w:t>
            </w:r>
          </w:p>
          <w:p>
            <w:pPr>
              <w:pStyle w:val="TableContents"/>
              <w:bidi w:val="0"/>
              <w:spacing w:before="0" w:after="240"/>
              <w:ind w:left="0" w:right="0" w:hanging="0"/>
              <w:jc w:val="left"/>
              <w:rPr/>
            </w:pPr>
            <w:r>
              <w:rPr/>
              <w:t>​</w:t>
            </w:r>
          </w:p>
        </w:tc>
      </w:tr>
      <w:tr>
        <w:trPr/>
        <w:tc>
          <w:tcPr>
            <w:tcW w:w="1240" w:type="dxa"/>
            <w:tcBorders/>
            <w:vAlign w:val="center"/>
          </w:tcPr>
          <w:p>
            <w:pPr>
              <w:pStyle w:val="TableContents"/>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NIO HK:</w:t>
            </w:r>
          </w:p>
        </w:tc>
        <w:tc>
          <w:tcPr>
            <w:tcW w:w="8965"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Nio Nextev Limited</w:t>
            </w:r>
            <w:r>
              <w:rPr>
                <w:rFonts w:ascii="Times New Roman;Times;serif" w:hAnsi="Times New Roman;Times;serif"/>
                <w:sz w:val="20"/>
              </w:rPr>
              <w:t>, a company established and existing under the Laws of Hong Kong, the PRC, with its office at 30th Floor, Jardine House, Once Connaught Place, Central, Hong Kong.</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Authorized Representative: LI Bin</w:t>
            </w:r>
          </w:p>
        </w:tc>
      </w:tr>
      <w:tr>
        <w:trPr/>
        <w:tc>
          <w:tcPr>
            <w:tcW w:w="1240" w:type="dxa"/>
            <w:tcBorders/>
            <w:vAlign w:val="center"/>
          </w:tcPr>
          <w:p>
            <w:pPr>
              <w:pStyle w:val="TableContents"/>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UE HK:</w:t>
            </w:r>
          </w:p>
        </w:tc>
        <w:tc>
          <w:tcPr>
            <w:tcW w:w="89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NIO User Enterprise Limited</w:t>
            </w:r>
            <w:r>
              <w:rPr>
                <w:rFonts w:ascii="Times New Roman;Times;serif" w:hAnsi="Times New Roman;Times;serif"/>
                <w:sz w:val="20"/>
              </w:rPr>
              <w:t>, a company established and existing under the Laws of Hong Kong, the PRC, with its office at 30th Floor, Jardine House, Once Connaught Place, Central, Hong Kong.</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Authorized Representative: LI Bin</w:t>
            </w:r>
          </w:p>
        </w:tc>
      </w:tr>
      <w:tr>
        <w:trPr/>
        <w:tc>
          <w:tcPr>
            <w:tcW w:w="1240" w:type="dxa"/>
            <w:tcBorders/>
            <w:vAlign w:val="center"/>
          </w:tcPr>
          <w:p>
            <w:pPr>
              <w:pStyle w:val="TableContents"/>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PE HK:</w:t>
            </w:r>
          </w:p>
        </w:tc>
        <w:tc>
          <w:tcPr>
            <w:tcW w:w="89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NIO Power Express Limited</w:t>
            </w:r>
            <w:r>
              <w:rPr>
                <w:rFonts w:ascii="Times New Roman;Times;serif" w:hAnsi="Times New Roman;Times;serif"/>
                <w:sz w:val="20"/>
              </w:rPr>
              <w:t>, a company established and existing under the Laws of Hong Kong, the PRC, with its office at 30th Floor, Jardine House, Once Connaught Place, Central, Hong Kong.</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Authorized Representative: LI Bin</w:t>
            </w:r>
          </w:p>
        </w:tc>
      </w:tr>
      <w:tr>
        <w:trPr/>
        <w:tc>
          <w:tcPr>
            <w:tcW w:w="1240" w:type="dxa"/>
            <w:tcBorders/>
            <w:vAlign w:val="center"/>
          </w:tcPr>
          <w:p>
            <w:pPr>
              <w:pStyle w:val="TableContents"/>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Jianheng New Energy Fund:</w:t>
            </w:r>
          </w:p>
        </w:tc>
        <w:tc>
          <w:tcPr>
            <w:tcW w:w="89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Hefei Jianheng New Energy Automobile Investment Fund Partnership (Limited Partnership), a limited partnership established and existing under the Laws of the PRC, with its registered address at Room 101, Area G, Intelligent Equipment Technology Park, No. 3963 Susong Road, Economic and Technological Development Area, Hefei City, Anhui Province, and a unified social credit code of 91340111MA2UU69EX8.</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Executive Partner: Hefei Construction Investment Capital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56"/>
        <w:gridCol w:w="8249"/>
      </w:tblGrid>
      <w:tr>
        <w:trPr/>
        <w:tc>
          <w:tcPr>
            <w:tcW w:w="1956" w:type="dxa"/>
            <w:tcBorders/>
            <w:vAlign w:val="center"/>
          </w:tcPr>
          <w:p>
            <w:pPr>
              <w:pStyle w:val="TableContents"/>
              <w:bidi w:val="0"/>
              <w:spacing w:before="0" w:after="240"/>
              <w:ind w:left="0" w:right="0" w:hanging="0"/>
              <w:jc w:val="left"/>
              <w:rPr/>
            </w:pPr>
            <w:r>
              <w:rPr/>
              <w:t>​</w:t>
            </w:r>
          </w:p>
        </w:tc>
        <w:tc>
          <w:tcPr>
            <w:tcW w:w="8249" w:type="dxa"/>
            <w:tcBorders/>
            <w:vAlign w:val="center"/>
          </w:tcPr>
          <w:p>
            <w:pPr>
              <w:pStyle w:val="TableContents"/>
              <w:bidi w:val="0"/>
              <w:spacing w:before="0" w:after="240"/>
              <w:ind w:left="0" w:right="0" w:hanging="0"/>
              <w:jc w:val="left"/>
              <w:rPr/>
            </w:pPr>
            <w:r>
              <w:rPr/>
              <w:t>​</w:t>
            </w:r>
          </w:p>
        </w:tc>
      </w:tr>
      <w:tr>
        <w:trPr/>
        <w:tc>
          <w:tcPr>
            <w:tcW w:w="1956" w:type="dxa"/>
            <w:tcBorders/>
            <w:vAlign w:val="center"/>
          </w:tcPr>
          <w:p>
            <w:pPr>
              <w:pStyle w:val="TableContents"/>
              <w:bidi w:val="0"/>
              <w:spacing w:before="0" w:after="240"/>
              <w:ind w:left="0" w:right="0" w:hanging="0"/>
              <w:jc w:val="both"/>
              <w:rPr/>
            </w:pPr>
            <w:r>
              <w:rPr/>
              <w:t>​</w:t>
            </w:r>
          </w:p>
        </w:tc>
        <w:tc>
          <w:tcPr>
            <w:tcW w:w="8249"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Co., Ltd.</w:t>
            </w:r>
          </w:p>
        </w:tc>
      </w:tr>
      <w:tr>
        <w:trPr/>
        <w:tc>
          <w:tcPr>
            <w:tcW w:w="1956" w:type="dxa"/>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SDIC</w:t>
            </w:r>
          </w:p>
        </w:tc>
        <w:tc>
          <w:tcPr>
            <w:tcW w:w="82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CMG-SDIC Capital Management Co., Ltd.</w:t>
            </w:r>
            <w:r>
              <w:rPr>
                <w:rFonts w:ascii="Times New Roman;Times;serif" w:hAnsi="Times New Roman;Times;serif"/>
                <w:sz w:val="20"/>
              </w:rPr>
              <w:t>, a limited liability company duly established and existing under the Laws of PRC, and registered office at North Dong Ao Wei Road, Luosa Street, Rongcheng County, Baoding city, Hebei province, and a unified social credit code of 91130600MA094UG35F,</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Legal Representative: GAO Guohua</w:t>
            </w:r>
          </w:p>
        </w:tc>
      </w:tr>
      <w:tr>
        <w:trPr/>
        <w:tc>
          <w:tcPr>
            <w:tcW w:w="1956" w:type="dxa"/>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Advanced Manufacturing Industry Fund:</w:t>
            </w:r>
          </w:p>
        </w:tc>
        <w:tc>
          <w:tcPr>
            <w:tcW w:w="82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Advanced Manufacturing Industry Investment Fund II (Limited Partnership), a limited partnership established and existing under the Laws of the PRC, with its registered address at Room 1380, Fuying Building, No. 99 Tuanjie Road, Research and Innovation Park, Jiangbei New Area, Nanjing City, and a unified social credit code of 91320191MA1YK7YA6J.</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Executive Partner: CMG-SDIC Capital Management Co., Ltd.</w:t>
            </w:r>
          </w:p>
        </w:tc>
      </w:tr>
      <w:tr>
        <w:trPr/>
        <w:tc>
          <w:tcPr>
            <w:tcW w:w="1956" w:type="dxa"/>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Anhui High-tech Co.:</w:t>
            </w:r>
          </w:p>
        </w:tc>
        <w:tc>
          <w:tcPr>
            <w:tcW w:w="82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Anhui Provincial Emerging Industry Investment Co., Ltd., a limited liability company duly established and existing under the Laws of the PRC, with its registered address at Room 301, Innovation Building, 860 Wangjiang West Road, High-tech District, Hefei City, Anhui Province, and a unified social credit code of 9134000032543101X1.</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Legal Representative: XU Xianlu</w:t>
            </w:r>
          </w:p>
        </w:tc>
      </w:tr>
      <w:tr>
        <w:trPr/>
        <w:tc>
          <w:tcPr>
            <w:tcW w:w="1956" w:type="dxa"/>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Anhui Sanzhong Yichuang:</w:t>
            </w:r>
          </w:p>
        </w:tc>
        <w:tc>
          <w:tcPr>
            <w:tcW w:w="82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Anhui Provincial Sanzhong Yichuang Industry Development Fund Co., Ltd., a limited liability company duly established and existing under the Laws of the PRC, with its registered address at Room 424, Technology and Innovation Center, No. 860 West Wangjiang Road, High-tech District, Hefei City, and a unified social credit code of 91340100MA2NUJ2A1H.</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Legal Representative: XU Xianlu</w:t>
            </w:r>
          </w:p>
        </w:tc>
      </w:tr>
      <w:tr>
        <w:trPr/>
        <w:tc>
          <w:tcPr>
            <w:tcW w:w="1956" w:type="dxa"/>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New Energy Automobile Fund:</w:t>
            </w:r>
          </w:p>
        </w:tc>
        <w:tc>
          <w:tcPr>
            <w:tcW w:w="8249"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Anhui Jintong New Energy Automobile II Fund Partnership (Limited Partnership), a limited partnership duly established and existing under the Laws of the PRC, with its registered address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0"/>
              <w:ind w:left="0" w:right="0" w:hanging="0"/>
              <w:jc w:val="left"/>
              <w:rPr/>
            </w:pPr>
            <w:r>
              <w:rPr/>
              <w:t>​</w:t>
            </w:r>
          </w:p>
        </w:tc>
        <w:tc>
          <w:tcPr>
            <w:tcW w:w="1008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326"/>
              <w:ind w:left="0" w:right="0" w:hanging="0"/>
              <w:jc w:val="both"/>
              <w:rPr/>
            </w:pPr>
            <w:r>
              <w:rPr/>
              <w:t>​</w:t>
            </w:r>
          </w:p>
        </w:tc>
        <w:tc>
          <w:tcPr>
            <w:tcW w:w="10081"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Room 616-1, NO.1 Building, Zhumeng New Area, No. 188 Wenyuan Road, Yixiu District, Anqing City, Anhui Province, and a unified social credit code of 91340800MA2UE54B3J. Executive Partner: Anhui JinTong New Energy II Investment Management Partnership (Limited Partnership)</w:t>
            </w:r>
          </w:p>
        </w:tc>
      </w:tr>
    </w:tbl>
    <w:p>
      <w:pPr>
        <w:pStyle w:val="TextBody"/>
        <w:bidi w:val="0"/>
        <w:spacing w:before="0" w:after="0"/>
        <w:ind w:left="0" w:right="0" w:hanging="0"/>
        <w:jc w:val="left"/>
        <w:rPr/>
      </w:pPr>
      <w:r>
        <w:rPr/>
        <w:t>​</w:t>
      </w:r>
    </w:p>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OVERVIEW OF THE TARGET COMPANY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3.1</w:t>
      </w:r>
      <w:r>
        <w:rPr>
          <w:rFonts w:ascii="Times New Roman;Times;serif" w:hAnsi="Times New Roman;Times;serif"/>
          <w:sz w:val="20"/>
          <w:u w:val="single"/>
        </w:rPr>
        <w:t>Basic Information of the Target Company</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3.1.1</w:t>
            </w:r>
          </w:p>
        </w:tc>
        <w:tc>
          <w:tcPr>
            <w:tcW w:w="9757"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In accordance with the applicable PRC Laws, the Shareholders agree to hold the equity interests in the Target Company jointly pursuant to the terms and conditions of this Agreement.</w:t>
            </w:r>
          </w:p>
        </w:tc>
      </w:tr>
    </w:tbl>
    <w:tbl>
      <w:tblPr>
        <w:tblW w:w="6603" w:type="dxa"/>
        <w:jc w:val="left"/>
        <w:tblInd w:w="0" w:type="dxa"/>
        <w:tblLayout w:type="fixed"/>
        <w:tblCellMar>
          <w:top w:w="0" w:type="dxa"/>
          <w:left w:w="0" w:type="dxa"/>
          <w:bottom w:w="0" w:type="dxa"/>
          <w:right w:w="0" w:type="dxa"/>
        </w:tblCellMar>
      </w:tblPr>
      <w:tblGrid>
        <w:gridCol w:w="23"/>
        <w:gridCol w:w="425"/>
        <w:gridCol w:w="6155"/>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3.1.2</w:t>
            </w:r>
          </w:p>
        </w:tc>
        <w:tc>
          <w:tcPr>
            <w:tcW w:w="6155" w:type="dxa"/>
            <w:tcBorders/>
            <w:vAlign w:val="center"/>
          </w:tcPr>
          <w:p>
            <w:pPr>
              <w:pStyle w:val="TableContents"/>
              <w:bidi w:val="0"/>
              <w:spacing w:before="0" w:after="204"/>
              <w:jc w:val="both"/>
              <w:rPr/>
            </w:pPr>
            <w:r>
              <w:rPr>
                <w:rFonts w:ascii="Times New Roman;Times;serif" w:hAnsi="Times New Roman;Times;serif"/>
                <w:sz w:val="20"/>
              </w:rPr>
              <w:t>The name of the Target Company in Chinese shall be “</w:t>
            </w:r>
            <w:r>
              <w:rPr>
                <w:rFonts w:eastAsia="SimSun"/>
                <w:sz w:val="20"/>
              </w:rPr>
              <w:t>蔚来控股有限公司</w:t>
            </w:r>
            <w:r>
              <w:rPr>
                <w:rFonts w:eastAsia="Times New Roman;Times;serif"/>
                <w:sz w:val="20"/>
              </w:rPr>
              <w:t>”</w:t>
            </w:r>
            <w:r>
              <w:rPr>
                <w:rFonts w:ascii="Times New Roman;Times;serif" w:hAnsi="Times New Roman;Times;serif"/>
                <w:sz w:val="20"/>
              </w:rPr>
              <w:t>.</w:t>
            </w:r>
          </w:p>
        </w:tc>
      </w:tr>
    </w:tbl>
    <w:tbl>
      <w:tblPr>
        <w:tblW w:w="6813" w:type="dxa"/>
        <w:jc w:val="left"/>
        <w:tblInd w:w="0" w:type="dxa"/>
        <w:tblLayout w:type="fixed"/>
        <w:tblCellMar>
          <w:top w:w="0" w:type="dxa"/>
          <w:left w:w="0" w:type="dxa"/>
          <w:bottom w:w="0" w:type="dxa"/>
          <w:right w:w="0" w:type="dxa"/>
        </w:tblCellMar>
      </w:tblPr>
      <w:tblGrid>
        <w:gridCol w:w="23"/>
        <w:gridCol w:w="425"/>
        <w:gridCol w:w="6365"/>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3.1.3</w:t>
            </w:r>
          </w:p>
        </w:tc>
        <w:tc>
          <w:tcPr>
            <w:tcW w:w="636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The name of the Target Company in English shall be “NIO Holding Co., Ltd.”.</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3.1.4</w:t>
            </w:r>
          </w:p>
        </w:tc>
        <w:tc>
          <w:tcPr>
            <w:tcW w:w="9757"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The registered address of the Target Company shall be Building F, Hengchuang Intelligent Technology Park, No. 3963 Susong Road, Economic and Technological Development Area, Hefei City, Anhui Province.</w:t>
            </w:r>
          </w:p>
        </w:tc>
      </w:tr>
    </w:tbl>
    <w:tbl>
      <w:tblPr>
        <w:tblW w:w="2755" w:type="dxa"/>
        <w:jc w:val="left"/>
        <w:tblInd w:w="0" w:type="dxa"/>
        <w:tblLayout w:type="fixed"/>
        <w:tblCellMar>
          <w:top w:w="0" w:type="dxa"/>
          <w:left w:w="0" w:type="dxa"/>
          <w:bottom w:w="0" w:type="dxa"/>
          <w:right w:w="0" w:type="dxa"/>
        </w:tblCellMar>
      </w:tblPr>
      <w:tblGrid>
        <w:gridCol w:w="275"/>
        <w:gridCol w:w="2480"/>
      </w:tblGrid>
      <w:tr>
        <w:trPr/>
        <w:tc>
          <w:tcPr>
            <w:tcW w:w="27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3.2</w:t>
            </w:r>
          </w:p>
        </w:tc>
        <w:tc>
          <w:tcPr>
            <w:tcW w:w="248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Nature of the Target Company</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Target Company is a limited liability company with the status of an enterprise legal person. The establishment of and conduct of all activities by the Target Company shall comply with the relevant provisions of the PRC Laws. Its lawful rights and interests shall be protected by the PRC Laws.</w:t>
      </w:r>
    </w:p>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3.3</w:t>
      </w:r>
      <w:r>
        <w:rPr>
          <w:rFonts w:ascii="Times New Roman;Times;serif" w:hAnsi="Times New Roman;Times;serif"/>
          <w:sz w:val="20"/>
          <w:u w:val="single"/>
        </w:rPr>
        <w:t>Limited Liability</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As the Target Company is a limited liability company under the PRC Laws, it shall be liable to its debts to the extent of all of its assets. Unless otherwise agreed in the Transaction Documents, under any circumstance, the liabilities and risks of each Shareholder of the Target Company shall be limited to the amount of their respective contributions to the registered capital of the Target Company expressly subscribed by it under Clause 5.1 below. Furthermore, none of the Shareholders shall have liability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whatsoever, jointly or severally, for any debts or obligations of the Target Company.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PURPOSE AND SCOPE OF BUSINESS OF THE TARGET COMPANY</w:t>
      </w:r>
    </w:p>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w:t>
      </w:r>
      <w:r>
        <w:rPr>
          <w:rFonts w:ascii="Times New Roman;Times;serif" w:hAnsi="Times New Roman;Times;serif"/>
          <w:sz w:val="20"/>
          <w:u w:val="single"/>
        </w:rPr>
        <w:t>Purpose of the Target Company</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purposes of the Shareholders in jointly investing in the Target Company shall be as follows: the Shareholders are committed to making the Target Company achieve good economic performance through the operation and management of the business of the Target Company.</w:t>
      </w:r>
    </w:p>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4.2</w:t>
      </w:r>
      <w:r>
        <w:rPr>
          <w:rFonts w:ascii="Times New Roman;Times;serif" w:hAnsi="Times New Roman;Times;serif"/>
          <w:sz w:val="20"/>
          <w:u w:val="single"/>
        </w:rPr>
        <w:t>Scope of Business of the Target Company</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business scope of the Target Company is as follows: 1. Investment in the fields in which foreign investors are allowed by the state; 2. Provision of the following services to the enterprise it invests in as engaged by such investee in writing: (1) assisting or acting as agent for the enterprise it invests in to purchase, from both home and abroad, any machinery equipment and office equipment for such enterprise’s own use, or any material, components and parts needed in manufacturing, and to sell the products manufactured by the enterprise it invests in at both home and abroad, and to provide after-sale service; (2) providing the enterprise it invests in with technological support and other services in the process of as manufacturing, sale and market development of product; (3) establishing scientific research and development center or department within the territory of the PRC to engage in the research and development of new products and high technologies, to transfer its research and development achievements, and to provide corresponding technical services; (4) providing its investors with consulting services, and to provide its affiliates with consulting services such as market information and investment policies in relation to its investment; (5) undertaking the outsourcing services of its parent company and affiliates; (6) providing technical development, technical services, technical transfer and technical consultation services for finished new-energy automobiles and the relevant parts thereof; wholesale and commission agent (excluding auction) of automobile parts; import and export of machinery equipment, automobile parts, goods and technologies; sale, lease, designated driving, repair and maintenance (limited to the operations by its branches) and after-sale service of automobiles; sale of automobile supplies and accessories, mechanical equipment, general merchandise, clothing accessories, toys, beverages, gifts and crafts, second-hand automobiles; operation of charging pile facilities; vehicle insurance agent; design, development, technical services and consultation of vehicle-mounted system and software; automobile exhibition activities and marketing; conference, exhibition and catering services; design, production, publication and agent of domestic advertisements; production and sale of food; and import and export of commodities and technologies of all kinds (excluding commodities or technology of which export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import is forbidden or is limited to certain corporation as required by the state) (Business items subject to approval in accordance with laws shall not be carried out unless approved by relevant authorities).</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business scope of the Target Companies shall be subject to the descriptions on the business license issued by the Registration Authority.</w:t>
      </w:r>
    </w:p>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REGISTERED CAPITAL</w:t>
      </w:r>
    </w:p>
    <w:tbl>
      <w:tblPr>
        <w:tblW w:w="1810" w:type="dxa"/>
        <w:jc w:val="left"/>
        <w:tblInd w:w="0" w:type="dxa"/>
        <w:tblLayout w:type="fixed"/>
        <w:tblCellMar>
          <w:top w:w="0" w:type="dxa"/>
          <w:left w:w="0" w:type="dxa"/>
          <w:bottom w:w="0" w:type="dxa"/>
          <w:right w:w="0" w:type="dxa"/>
        </w:tblCellMar>
      </w:tblPr>
      <w:tblGrid>
        <w:gridCol w:w="275"/>
        <w:gridCol w:w="1535"/>
      </w:tblGrid>
      <w:tr>
        <w:trPr/>
        <w:tc>
          <w:tcPr>
            <w:tcW w:w="27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5.1</w:t>
            </w:r>
          </w:p>
        </w:tc>
        <w:tc>
          <w:tcPr>
            <w:tcW w:w="153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Registered Capital</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After the completion of this Transaction, the registered capital of the Target Company shall be RMB 8,328,887,894.87, of which:</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5.1.1</w:t>
            </w:r>
          </w:p>
        </w:tc>
        <w:tc>
          <w:tcPr>
            <w:tcW w:w="9757"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NIO HK shall subscribe to RMB 5,721,972,155.78, representing 68.70% of the registered capital of the Target Company, of which RMB 372,632,867.14 shall be contributed in cash in RMB, RMB 2,293,891,006.40 shall be contributed in the form of equity interests in NIO Co., Ltd., RMB 1,441,454,545.44 shall be contributed in cash in RMB or in cash in equivalent USD, RMB 239,639,258.59 shall be contributed in the form of intellectual property rights, RMB 262,237,762.24 shall be contributed in cash in RMB, and RMB 1,112,116,715.97 shall be contributed in cash in RMB;</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5.1.2</w:t>
            </w:r>
          </w:p>
        </w:tc>
        <w:tc>
          <w:tcPr>
            <w:tcW w:w="9757"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UE HK shall subscribe to RMB 1,554,211,385.12, representing 18.66% of the registered capital of the Target Company, of which RMB 5,500,000 shall be contributed in cash in RMB, RMB 744,755,244.76 shall be contributed in cash in USD equivalent, and RMB 501,881,188.84 shall be contributed in the form of equity interests in NIO Sales and Services Co., Ltd., and RMB 302,074,951.52 shall be contributed in cash in RMB;</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5.1.3</w:t>
            </w:r>
          </w:p>
        </w:tc>
        <w:tc>
          <w:tcPr>
            <w:tcW w:w="9757"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PE HK shall subscribe to RMB 74,264,862.35, representing 0.89% of the registered capital of the Target Company, of which RMB 59,830,818.88 shall be contributed in the form of equity interests in NIO Energy Investment (Hubei) Co., Ltd., and RMB 14,434,043.47 shall be contributed in cash in RMB;</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5.1.4</w:t>
            </w:r>
          </w:p>
        </w:tc>
        <w:tc>
          <w:tcPr>
            <w:tcW w:w="9757"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Advanced Manufacturing Industry Fund shall subscribe to RMB 157,342,657.35, representing 1.89% of the registered capital of the Target Company, which shall be contributed in cash in RMB;</w:t>
            </w:r>
          </w:p>
        </w:tc>
      </w:tr>
    </w:tbl>
    <w:tbl>
      <w:tblPr>
        <w:tblW w:w="6063" w:type="dxa"/>
        <w:jc w:val="left"/>
        <w:tblInd w:w="0" w:type="dxa"/>
        <w:tblLayout w:type="fixed"/>
        <w:tblCellMar>
          <w:top w:w="0" w:type="dxa"/>
          <w:left w:w="0" w:type="dxa"/>
          <w:bottom w:w="0" w:type="dxa"/>
          <w:right w:w="0" w:type="dxa"/>
        </w:tblCellMar>
      </w:tblPr>
      <w:tblGrid>
        <w:gridCol w:w="23"/>
        <w:gridCol w:w="425"/>
        <w:gridCol w:w="5615"/>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5.1.5</w:t>
            </w:r>
          </w:p>
        </w:tc>
        <w:tc>
          <w:tcPr>
            <w:tcW w:w="561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SDIC and/or its designated investment entity shall subscribe to RMB</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1440" w:right="0" w:hanging="0"/>
        <w:jc w:val="both"/>
        <w:rPr>
          <w:rFonts w:ascii="Times New Roman;Times;serif" w:hAnsi="Times New Roman;Times;serif"/>
          <w:sz w:val="20"/>
        </w:rPr>
      </w:pPr>
      <w:r>
        <w:rPr>
          <w:rFonts w:ascii="Times New Roman;Times;serif" w:hAnsi="Times New Roman;Times;serif"/>
          <w:sz w:val="20"/>
        </w:rPr>
        <w:t>71,431,285.54, representing 0.86% of the registered capital of the Target Company, which shall be contributed in cash in RMB;</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5.1.6</w:t>
            </w:r>
          </w:p>
        </w:tc>
        <w:tc>
          <w:tcPr>
            <w:tcW w:w="9757"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Anhui Sanzhong Yichuang shall subscribe to RMB 52,447,552.45, representing 0.63% of the registered capital of the Target Company, which shall be contributed in cash in RMB;</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5.1.7</w:t>
            </w:r>
          </w:p>
        </w:tc>
        <w:tc>
          <w:tcPr>
            <w:tcW w:w="9757"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New Energy Automobile Fund shall subscribe to RMB 34,965,034.97, representing 0.42% of the registered capital of the Target Company, which shall be contributed in cash in RMB;</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5.1.8</w:t>
            </w:r>
          </w:p>
        </w:tc>
        <w:tc>
          <w:tcPr>
            <w:tcW w:w="9757"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Jianheng New Energy Fund shall subscribe to RMB 547,962,904.43, representing 6.58% of the registered capital of the Target Company, which shall be contributed in cash in RMB;</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5.1.9</w:t>
            </w:r>
          </w:p>
        </w:tc>
        <w:tc>
          <w:tcPr>
            <w:tcW w:w="9757"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Anhui High-tech Co. and/or its designated investment entity shall subscribe to RMB 114,290,056.88, representing 1.37% of the registered capital of the Target Company, which shall be contributed in cash in RMB.</w:t>
            </w:r>
          </w:p>
        </w:tc>
      </w:tr>
    </w:tbl>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PROTECTIVE RIGHTS</w:t>
      </w:r>
    </w:p>
    <w:tbl>
      <w:tblPr>
        <w:tblW w:w="1705" w:type="dxa"/>
        <w:jc w:val="left"/>
        <w:tblInd w:w="0" w:type="dxa"/>
        <w:tblLayout w:type="fixed"/>
        <w:tblCellMar>
          <w:top w:w="0" w:type="dxa"/>
          <w:left w:w="0" w:type="dxa"/>
          <w:bottom w:w="0" w:type="dxa"/>
          <w:right w:w="0" w:type="dxa"/>
        </w:tblCellMar>
      </w:tblPr>
      <w:tblGrid>
        <w:gridCol w:w="275"/>
        <w:gridCol w:w="1430"/>
      </w:tblGrid>
      <w:tr>
        <w:trPr/>
        <w:tc>
          <w:tcPr>
            <w:tcW w:w="27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6.1</w:t>
            </w:r>
          </w:p>
        </w:tc>
        <w:tc>
          <w:tcPr>
            <w:tcW w:w="1430"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Protective Rights</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6.1.1</w:t>
            </w:r>
          </w:p>
        </w:tc>
        <w:tc>
          <w:tcPr>
            <w:tcW w:w="9757"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During the period in which the Investors hold equity interests in the Target Company, resolutions in respect of the following matters of major importance to the Target Company shall require approval by more than three-fourths (3/4) of the directors before the same is submitted to the Shareholders’ meeting for resolution:</w:t>
            </w:r>
          </w:p>
        </w:tc>
      </w:tr>
    </w:tbl>
    <w:tbl>
      <w:tblPr>
        <w:tblW w:w="5868" w:type="dxa"/>
        <w:jc w:val="left"/>
        <w:tblInd w:w="0" w:type="dxa"/>
        <w:tblLayout w:type="fixed"/>
        <w:tblCellMar>
          <w:top w:w="0" w:type="dxa"/>
          <w:left w:w="0" w:type="dxa"/>
          <w:bottom w:w="0" w:type="dxa"/>
          <w:right w:w="0" w:type="dxa"/>
        </w:tblCellMar>
      </w:tblPr>
      <w:tblGrid>
        <w:gridCol w:w="23"/>
        <w:gridCol w:w="245"/>
        <w:gridCol w:w="56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w:t>
            </w:r>
          </w:p>
        </w:tc>
        <w:tc>
          <w:tcPr>
            <w:tcW w:w="560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any amendment to the articles of association of the Target Company;</w:t>
            </w:r>
          </w:p>
        </w:tc>
      </w:tr>
    </w:tbl>
    <w:tbl>
      <w:tblPr>
        <w:tblW w:w="6513" w:type="dxa"/>
        <w:jc w:val="left"/>
        <w:tblInd w:w="0" w:type="dxa"/>
        <w:tblLayout w:type="fixed"/>
        <w:tblCellMar>
          <w:top w:w="0" w:type="dxa"/>
          <w:left w:w="0" w:type="dxa"/>
          <w:bottom w:w="0" w:type="dxa"/>
          <w:right w:w="0" w:type="dxa"/>
        </w:tblCellMar>
      </w:tblPr>
      <w:tblGrid>
        <w:gridCol w:w="23"/>
        <w:gridCol w:w="245"/>
        <w:gridCol w:w="624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w:t>
            </w:r>
          </w:p>
        </w:tc>
        <w:tc>
          <w:tcPr>
            <w:tcW w:w="624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any increase or decrease in the registered capital of the Target Company; and</w:t>
            </w:r>
          </w:p>
        </w:tc>
      </w:tr>
    </w:tbl>
    <w:tbl>
      <w:tblPr>
        <w:tblW w:w="7533" w:type="dxa"/>
        <w:jc w:val="left"/>
        <w:tblInd w:w="0" w:type="dxa"/>
        <w:tblLayout w:type="fixed"/>
        <w:tblCellMar>
          <w:top w:w="0" w:type="dxa"/>
          <w:left w:w="0" w:type="dxa"/>
          <w:bottom w:w="0" w:type="dxa"/>
          <w:right w:w="0" w:type="dxa"/>
        </w:tblCellMar>
      </w:tblPr>
      <w:tblGrid>
        <w:gridCol w:w="23"/>
        <w:gridCol w:w="245"/>
        <w:gridCol w:w="726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(3)</w:t>
            </w:r>
          </w:p>
        </w:tc>
        <w:tc>
          <w:tcPr>
            <w:tcW w:w="726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any merger, split-off, dissolution and/or change of corporate form of the Target Company.</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6.1.2</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During the period in which the Investors hold equity interests in the Target Company, resolutions in respect of the following matters material to the Target Company shall be adopted by affirmative votes of not less than three-fourths (3/4) of the directors of the Target Company before implementation (if such matters shall be submitted to the Shareholders’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1440" w:right="0" w:hanging="0"/>
        <w:jc w:val="both"/>
        <w:rPr>
          <w:rFonts w:ascii="Times New Roman;Times;serif" w:hAnsi="Times New Roman;Times;serif"/>
          <w:sz w:val="20"/>
        </w:rPr>
      </w:pPr>
      <w:r>
        <w:rPr>
          <w:rFonts w:ascii="Times New Roman;Times;serif" w:hAnsi="Times New Roman;Times;serif"/>
          <w:sz w:val="20"/>
        </w:rPr>
        <w:t>meeting for resolution as required by relevant Laws and Regulations or the articles of association of the Target Company, such matters shall be submitted to the Shareholders’ meeting for resolution and approval before implementation, and the following matters shall not be directly submitted to the Shareholders’ meeting for resolution without resolution and approval by the Board of Directors):</w:t>
      </w:r>
    </w:p>
    <w:tbl>
      <w:tblPr>
        <w:tblW w:w="10205" w:type="dxa"/>
        <w:jc w:val="left"/>
        <w:tblInd w:w="0" w:type="dxa"/>
        <w:tblLayout w:type="fixed"/>
        <w:tblCellMar>
          <w:top w:w="0" w:type="dxa"/>
          <w:left w:w="0" w:type="dxa"/>
          <w:bottom w:w="0" w:type="dxa"/>
          <w:right w:w="0" w:type="dxa"/>
        </w:tblCellMar>
      </w:tblPr>
      <w:tblGrid>
        <w:gridCol w:w="23"/>
        <w:gridCol w:w="217"/>
        <w:gridCol w:w="9965"/>
      </w:tblGrid>
      <w:tr>
        <w:trPr/>
        <w:tc>
          <w:tcPr>
            <w:tcW w:w="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w:t>
            </w:r>
          </w:p>
        </w:tc>
        <w:tc>
          <w:tcPr>
            <w:tcW w:w="996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any merger, split-off, dissolution and liquidation of the Target Company, or the Target Company applying for its bankruptcy and restructuring, and/or any decision on change of corporate form of the Target Company;</w:t>
            </w:r>
          </w:p>
        </w:tc>
      </w:tr>
    </w:tbl>
    <w:tbl>
      <w:tblPr>
        <w:tblW w:w="8463" w:type="dxa"/>
        <w:jc w:val="left"/>
        <w:tblInd w:w="0" w:type="dxa"/>
        <w:tblLayout w:type="fixed"/>
        <w:tblCellMar>
          <w:top w:w="0" w:type="dxa"/>
          <w:left w:w="0" w:type="dxa"/>
          <w:bottom w:w="0" w:type="dxa"/>
          <w:right w:w="0" w:type="dxa"/>
        </w:tblCellMar>
      </w:tblPr>
      <w:tblGrid>
        <w:gridCol w:w="23"/>
        <w:gridCol w:w="245"/>
        <w:gridCol w:w="819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w:t>
            </w:r>
          </w:p>
        </w:tc>
        <w:tc>
          <w:tcPr>
            <w:tcW w:w="819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termination of the Main Business of the Target Company or any change to its current Main Business;</w:t>
            </w:r>
          </w:p>
        </w:tc>
      </w:tr>
    </w:tbl>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(3)</w:t>
            </w:r>
          </w:p>
        </w:tc>
        <w:tc>
          <w:tcPr>
            <w:tcW w:w="9984"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any equity financing plan of the Target Companies, or any increase, decrease or cancellation of any authorized share capital, issued shares or registered capital of the Target Companies, or any issuance, distribution, purchase or redemption of any shares/equity interests or convertible securities, or any share warrants, or issuance of options or any other matters that may result in the future issuance of new shares or the dilution of the ownership percentage of the Investors in the Target Company;</w:t>
            </w:r>
          </w:p>
        </w:tc>
      </w:tr>
    </w:tbl>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(4)</w:t>
            </w:r>
          </w:p>
        </w:tc>
        <w:tc>
          <w:tcPr>
            <w:tcW w:w="9974"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any related-party transaction beyond the annual budget between the Target Company and any of its affiliate whose financial statement is not included in a consolidated statement of the Target Company, with the amount in excess of RMB 300 million individually or in aggregate within one (1) year;</w:t>
            </w:r>
          </w:p>
        </w:tc>
      </w:tr>
    </w:tbl>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(5)</w:t>
            </w:r>
          </w:p>
        </w:tc>
        <w:tc>
          <w:tcPr>
            <w:tcW w:w="9979"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any borrowing or any other security arrangement by the Target Company beyond the bank credit granted prior to the Series B Transaction or beyond the annual budget approved by the Shareholders’ meeting or the Board of Directors of the Target Company after the Series B Transaction, in excess of RMB 300 million individually or in aggregate within one (1) fiscal year;</w:t>
            </w:r>
          </w:p>
        </w:tc>
      </w:tr>
    </w:tbl>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(6)</w:t>
            </w:r>
          </w:p>
        </w:tc>
        <w:tc>
          <w:tcPr>
            <w:tcW w:w="9972"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any contract beyond the annual budget between the Target Company and any third party whose financial statement is not included in a consolidated statement of the Target Company out of the ordinary course of business of the Target Company, in excess of RMB 300 million;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(7)</w:t>
            </w:r>
          </w:p>
        </w:tc>
        <w:tc>
          <w:tcPr>
            <w:tcW w:w="9971"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any expenditure or payment beyond the annual budget including construction projects, establishment of any subsidiary or acquisition of equity interest in other companies, in excess of RMB 300 million individually or in aggregate within one (1) fiscal year;</w:t>
            </w:r>
          </w:p>
        </w:tc>
      </w:tr>
    </w:tbl>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(8)</w:t>
            </w:r>
          </w:p>
        </w:tc>
        <w:tc>
          <w:tcPr>
            <w:tcW w:w="9967"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any non-controlling long-term equity investment or any disposal of such investment made by the Target Company beyond the annual budget, in excess of RMB 300 million individually or in aggregate within one (1) fiscal year;</w:t>
            </w:r>
          </w:p>
        </w:tc>
      </w:tr>
    </w:tbl>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(9)</w:t>
            </w:r>
          </w:p>
        </w:tc>
        <w:tc>
          <w:tcPr>
            <w:tcW w:w="996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any sale or disposal of assets or equity interests to any third party whose financial statement is not included in a consolidated statement of the Target Company, in excess of RMB 300 million;</w:t>
            </w:r>
          </w:p>
        </w:tc>
      </w:tr>
    </w:tbl>
    <w:tbl>
      <w:tblPr>
        <w:tblW w:w="10205" w:type="dxa"/>
        <w:jc w:val="left"/>
        <w:tblInd w:w="0" w:type="dxa"/>
        <w:tblLayout w:type="fixed"/>
        <w:tblCellMar>
          <w:top w:w="0" w:type="dxa"/>
          <w:left w:w="0" w:type="dxa"/>
          <w:bottom w:w="0" w:type="dxa"/>
          <w:right w:w="0" w:type="dxa"/>
        </w:tblCellMar>
      </w:tblPr>
      <w:tblGrid>
        <w:gridCol w:w="23"/>
        <w:gridCol w:w="318"/>
        <w:gridCol w:w="9864"/>
      </w:tblGrid>
      <w:tr>
        <w:trPr/>
        <w:tc>
          <w:tcPr>
            <w:tcW w:w="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(10)</w:t>
            </w:r>
          </w:p>
        </w:tc>
        <w:tc>
          <w:tcPr>
            <w:tcW w:w="9864"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any lending of money in any form (including without limitation, inter-lending and bridge loan for purposes rather than operation) to any third party whose financial statement is not included in a consolidated statement of the Target Company;</w:t>
            </w:r>
          </w:p>
        </w:tc>
      </w:tr>
    </w:tbl>
    <w:tbl>
      <w:tblPr>
        <w:tblW w:w="10205" w:type="dxa"/>
        <w:jc w:val="left"/>
        <w:tblInd w:w="0" w:type="dxa"/>
        <w:tblLayout w:type="fixed"/>
        <w:tblCellMar>
          <w:top w:w="0" w:type="dxa"/>
          <w:left w:w="0" w:type="dxa"/>
          <w:bottom w:w="0" w:type="dxa"/>
          <w:right w:w="0" w:type="dxa"/>
        </w:tblCellMar>
      </w:tblPr>
      <w:tblGrid>
        <w:gridCol w:w="23"/>
        <w:gridCol w:w="328"/>
        <w:gridCol w:w="9854"/>
      </w:tblGrid>
      <w:tr>
        <w:trPr/>
        <w:tc>
          <w:tcPr>
            <w:tcW w:w="2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(11)</w:t>
            </w:r>
          </w:p>
        </w:tc>
        <w:tc>
          <w:tcPr>
            <w:tcW w:w="9854"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any provision of guarantee, mortgage, pledge and security of any kind to any third party whose financial statement is not included in a consolidated statement of the Target Company;</w:t>
            </w:r>
          </w:p>
        </w:tc>
      </w:tr>
    </w:tbl>
    <w:tbl>
      <w:tblPr>
        <w:tblW w:w="10205" w:type="dxa"/>
        <w:jc w:val="left"/>
        <w:tblInd w:w="0" w:type="dxa"/>
        <w:tblLayout w:type="fixed"/>
        <w:tblCellMar>
          <w:top w:w="0" w:type="dxa"/>
          <w:left w:w="0" w:type="dxa"/>
          <w:bottom w:w="0" w:type="dxa"/>
          <w:right w:w="0" w:type="dxa"/>
        </w:tblCellMar>
      </w:tblPr>
      <w:tblGrid>
        <w:gridCol w:w="23"/>
        <w:gridCol w:w="307"/>
        <w:gridCol w:w="9875"/>
      </w:tblGrid>
      <w:tr>
        <w:trPr/>
        <w:tc>
          <w:tcPr>
            <w:tcW w:w="2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(12)</w:t>
            </w:r>
          </w:p>
        </w:tc>
        <w:tc>
          <w:tcPr>
            <w:tcW w:w="987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any sale, transfer, exclusive license, pledge or disposition of any kind of any material brand, trademark, patent, copyright, non-patent technology or other intellectual properties of the Target Company and/or its controlled subsidiaries to any third party whose financial statement is not included in a consolidated statement of the Target Company, with the amount in excess of RMB 300 million;</w:t>
            </w:r>
          </w:p>
        </w:tc>
      </w:tr>
    </w:tbl>
    <w:tbl>
      <w:tblPr>
        <w:tblW w:w="10205" w:type="dxa"/>
        <w:jc w:val="left"/>
        <w:tblInd w:w="0" w:type="dxa"/>
        <w:tblLayout w:type="fixed"/>
        <w:tblCellMar>
          <w:top w:w="0" w:type="dxa"/>
          <w:left w:w="0" w:type="dxa"/>
          <w:bottom w:w="0" w:type="dxa"/>
          <w:right w:w="0" w:type="dxa"/>
        </w:tblCellMar>
      </w:tblPr>
      <w:tblGrid>
        <w:gridCol w:w="23"/>
        <w:gridCol w:w="333"/>
        <w:gridCol w:w="9849"/>
      </w:tblGrid>
      <w:tr>
        <w:trPr/>
        <w:tc>
          <w:tcPr>
            <w:tcW w:w="2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(13)</w:t>
            </w:r>
          </w:p>
        </w:tc>
        <w:tc>
          <w:tcPr>
            <w:tcW w:w="9849"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formulation and submission of any proposal of any amendment to the articles of association of the Target Company to the Shareholders’ meeting for its approval;</w:t>
            </w:r>
          </w:p>
        </w:tc>
      </w:tr>
    </w:tbl>
    <w:tbl>
      <w:tblPr>
        <w:tblW w:w="10205" w:type="dxa"/>
        <w:jc w:val="left"/>
        <w:tblInd w:w="0" w:type="dxa"/>
        <w:tblLayout w:type="fixed"/>
        <w:tblCellMar>
          <w:top w:w="0" w:type="dxa"/>
          <w:left w:w="0" w:type="dxa"/>
          <w:bottom w:w="0" w:type="dxa"/>
          <w:right w:w="0" w:type="dxa"/>
        </w:tblCellMar>
      </w:tblPr>
      <w:tblGrid>
        <w:gridCol w:w="23"/>
        <w:gridCol w:w="327"/>
        <w:gridCol w:w="9855"/>
      </w:tblGrid>
      <w:tr>
        <w:trPr/>
        <w:tc>
          <w:tcPr>
            <w:tcW w:w="2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(14)</w:t>
            </w:r>
          </w:p>
        </w:tc>
        <w:tc>
          <w:tcPr>
            <w:tcW w:w="985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formulation and submission of any proposal of any adjustment to the number and composition of the Board of Directors of the Target Company to the Shareholders’ meeting for approval;</w:t>
            </w:r>
          </w:p>
        </w:tc>
      </w:tr>
    </w:tbl>
    <w:tbl>
      <w:tblPr>
        <w:tblW w:w="10205" w:type="dxa"/>
        <w:jc w:val="left"/>
        <w:tblInd w:w="0" w:type="dxa"/>
        <w:tblLayout w:type="fixed"/>
        <w:tblCellMar>
          <w:top w:w="0" w:type="dxa"/>
          <w:left w:w="0" w:type="dxa"/>
          <w:bottom w:w="0" w:type="dxa"/>
          <w:right w:w="0" w:type="dxa"/>
        </w:tblCellMar>
      </w:tblPr>
      <w:tblGrid>
        <w:gridCol w:w="23"/>
        <w:gridCol w:w="331"/>
        <w:gridCol w:w="9851"/>
      </w:tblGrid>
      <w:tr>
        <w:trPr/>
        <w:tc>
          <w:tcPr>
            <w:tcW w:w="2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(15)</w:t>
            </w:r>
          </w:p>
        </w:tc>
        <w:tc>
          <w:tcPr>
            <w:tcW w:w="9851"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any merger, Deemed Liquidation Event, drag-along event involving the Target Company and any other matter that may result in change of control of the Target Company;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34"/>
        <w:gridCol w:w="9848"/>
      </w:tblGrid>
      <w:tr>
        <w:trPr/>
        <w:tc>
          <w:tcPr>
            <w:tcW w:w="2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(16)</w:t>
            </w:r>
          </w:p>
        </w:tc>
        <w:tc>
          <w:tcPr>
            <w:tcW w:w="9848"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determination of the application time of listing, percentage of issuance and stock exchange in connection with the Qualified IPO of the Target Company; and</w:t>
            </w:r>
          </w:p>
        </w:tc>
      </w:tr>
    </w:tbl>
    <w:tbl>
      <w:tblPr>
        <w:tblW w:w="10205" w:type="dxa"/>
        <w:jc w:val="left"/>
        <w:tblInd w:w="0" w:type="dxa"/>
        <w:tblLayout w:type="fixed"/>
        <w:tblCellMar>
          <w:top w:w="0" w:type="dxa"/>
          <w:left w:w="0" w:type="dxa"/>
          <w:bottom w:w="0" w:type="dxa"/>
          <w:right w:w="0" w:type="dxa"/>
        </w:tblCellMar>
      </w:tblPr>
      <w:tblGrid>
        <w:gridCol w:w="23"/>
        <w:gridCol w:w="321"/>
        <w:gridCol w:w="9861"/>
      </w:tblGrid>
      <w:tr>
        <w:trPr/>
        <w:tc>
          <w:tcPr>
            <w:tcW w:w="2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(17)</w:t>
            </w:r>
          </w:p>
        </w:tc>
        <w:tc>
          <w:tcPr>
            <w:tcW w:w="9861"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amendment or change of the rights and priorities of the Investors hereunder, or any restriction on such rights, or enabling any other Shareholders to enjoy rights more favorable than or equivalent to those of the Investors.</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6.1.3</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During the period in which the Investors hold equity interests in the Target Company, resolutions in respect of the following matters material to the Target Company shall be adopted by affirmative votes of not less than two-thirds (2/3) of the directors of the Target Company before implementation (if such matters shall be submitted to the Shareholders’ meeting for resolution as required by relevant Laws and Regulations or the articles of association of the Target Company, such matters shall be submitted to the Shareholders’ meeting for resolution and approval before implementation, and the following matters shall not be directly submitted to the Shareholders’ meeting for resolution without resolution and approval by the Board of Directors):</w:t>
            </w:r>
          </w:p>
        </w:tc>
      </w:tr>
    </w:tbl>
    <w:tbl>
      <w:tblPr>
        <w:tblW w:w="6588" w:type="dxa"/>
        <w:jc w:val="left"/>
        <w:tblInd w:w="0" w:type="dxa"/>
        <w:tblLayout w:type="fixed"/>
        <w:tblCellMar>
          <w:top w:w="0" w:type="dxa"/>
          <w:left w:w="0" w:type="dxa"/>
          <w:bottom w:w="0" w:type="dxa"/>
          <w:right w:w="0" w:type="dxa"/>
        </w:tblCellMar>
      </w:tblPr>
      <w:tblGrid>
        <w:gridCol w:w="23"/>
        <w:gridCol w:w="245"/>
        <w:gridCol w:w="632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w:t>
            </w:r>
          </w:p>
        </w:tc>
        <w:tc>
          <w:tcPr>
            <w:tcW w:w="632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approval of the annual budget and final accounts of the Target Company; and</w:t>
            </w:r>
          </w:p>
        </w:tc>
      </w:tr>
    </w:tbl>
    <w:tbl>
      <w:tblPr>
        <w:tblW w:w="5613" w:type="dxa"/>
        <w:jc w:val="left"/>
        <w:tblInd w:w="0" w:type="dxa"/>
        <w:tblLayout w:type="fixed"/>
        <w:tblCellMar>
          <w:top w:w="0" w:type="dxa"/>
          <w:left w:w="0" w:type="dxa"/>
          <w:bottom w:w="0" w:type="dxa"/>
          <w:right w:w="0" w:type="dxa"/>
        </w:tblCellMar>
      </w:tblPr>
      <w:tblGrid>
        <w:gridCol w:w="23"/>
        <w:gridCol w:w="245"/>
        <w:gridCol w:w="534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w:t>
            </w:r>
          </w:p>
        </w:tc>
        <w:tc>
          <w:tcPr>
            <w:tcW w:w="534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appointment or removal of CEO and CFO of the Target Company.</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6.1.4</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During the period in which the Investors hold equity interests in the Target Company, resolutions in respect of the following matters of major importance to the Target Company shall be adopted by more than one-half (1/2) of the directors of the Target Company before implementation (if such matters shall be submitted to the Shareholders’ meeting for resolution as required by relevant Laws and Regulations or the articles of association of the Target Company, such matters shall be submitted to the Shareholders’ meeting for resolution and approval before implementation, and the following matters shall not be directly submitted to the Shareholders’ meeting for resolution without resolution and approval by the Board of Directors):</w:t>
            </w:r>
          </w:p>
        </w:tc>
      </w:tr>
    </w:tbl>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w:t>
            </w:r>
          </w:p>
        </w:tc>
        <w:tc>
          <w:tcPr>
            <w:tcW w:w="9963"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to amend and approve the adoption of material accounting policies or change the fiscal year, and select and change the auditing firm among the “Big Four” accounting firms (i.e., PwC, DTT, KPMG and EY);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623" w:type="dxa"/>
        <w:jc w:val="left"/>
        <w:tblInd w:w="0" w:type="dxa"/>
        <w:tblLayout w:type="fixed"/>
        <w:tblCellMar>
          <w:top w:w="0" w:type="dxa"/>
          <w:left w:w="0" w:type="dxa"/>
          <w:bottom w:w="0" w:type="dxa"/>
          <w:right w:w="0" w:type="dxa"/>
        </w:tblCellMar>
      </w:tblPr>
      <w:tblGrid>
        <w:gridCol w:w="23"/>
        <w:gridCol w:w="245"/>
        <w:gridCol w:w="735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w:t>
            </w:r>
          </w:p>
        </w:tc>
        <w:tc>
          <w:tcPr>
            <w:tcW w:w="735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to distribute profits to the Shareholders and converse capital reserve into share capital; and</w:t>
            </w:r>
          </w:p>
        </w:tc>
      </w:tr>
    </w:tbl>
    <w:tbl>
      <w:tblPr>
        <w:tblW w:w="9693" w:type="dxa"/>
        <w:jc w:val="left"/>
        <w:tblInd w:w="0" w:type="dxa"/>
        <w:tblLayout w:type="fixed"/>
        <w:tblCellMar>
          <w:top w:w="0" w:type="dxa"/>
          <w:left w:w="0" w:type="dxa"/>
          <w:bottom w:w="0" w:type="dxa"/>
          <w:right w:w="0" w:type="dxa"/>
        </w:tblCellMar>
      </w:tblPr>
      <w:tblGrid>
        <w:gridCol w:w="23"/>
        <w:gridCol w:w="245"/>
        <w:gridCol w:w="942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(3)</w:t>
            </w:r>
          </w:p>
        </w:tc>
        <w:tc>
          <w:tcPr>
            <w:tcW w:w="942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to establish, amend or implement any equity incentive plan/employee stock ownership plan of the Target Company.</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6.1.5</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During the preparation and formulation of the annual budget of the Target Company, the Investors shall be entitled to arrange observers to make observations and provide suggestions. Prior to the completion of the Qualified IPO of the Target Company, in respect of the annual budget, the annual final accounts, selection and appointment of CEO and CFO of the Target Company and other related matters, the directors nominated by the NIO Parties and the directors nominated by the Investors shall carry out a full consultation before such matters are formally submitted to the Board of Directors or the Shareholders’ meeting for resolution.</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6.1.6</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aforesaid protective right mechanism shall apply to other Core Group Members, and none of such Group Members shall engage in the aforesaid matters without the prior written review and approval by the Target Company in accordance with the aforesaid provisions. Additionally, items (4) to (12) of the above Clause 6.1.2 shall also apply to Group Members other than the Core Group Members, and such Group Members shall not engage in such matters without prior written review and approval by the Target Company in accordance with the aforesaid provisions.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6.2</w:t>
            </w:r>
          </w:p>
        </w:tc>
        <w:tc>
          <w:tcPr>
            <w:tcW w:w="99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Unless otherwise agreed in the Transaction Documents, the aforesaid clauses shall become void automatically as of the date of the acceptance of the application for the Qualified IPO of the Target Company. However, if such application for the Qualified IPO of the Target Company fails to be approved by the examination authority of the CSRC or relevant stock exchanges, or the Target Company fails to be listed on relevant stock exchanges, the full validity of such provision entitling rights to the Investors shall restore automatically and immediately.</w:t>
            </w:r>
          </w:p>
        </w:tc>
      </w:tr>
    </w:tbl>
    <w:tbl>
      <w:tblPr>
        <w:tblW w:w="9610" w:type="dxa"/>
        <w:jc w:val="left"/>
        <w:tblInd w:w="0" w:type="dxa"/>
        <w:tblLayout w:type="fixed"/>
        <w:tblCellMar>
          <w:top w:w="0" w:type="dxa"/>
          <w:left w:w="0" w:type="dxa"/>
          <w:bottom w:w="0" w:type="dxa"/>
          <w:right w:w="0" w:type="dxa"/>
        </w:tblCellMar>
      </w:tblPr>
      <w:tblGrid>
        <w:gridCol w:w="275"/>
        <w:gridCol w:w="9335"/>
      </w:tblGrid>
      <w:tr>
        <w:trPr/>
        <w:tc>
          <w:tcPr>
            <w:tcW w:w="27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6.3</w:t>
            </w:r>
          </w:p>
        </w:tc>
        <w:tc>
          <w:tcPr>
            <w:tcW w:w="933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Parties hereto agree to amend the articles of association of the Target Company in accordance with this Clause.</w:t>
            </w:r>
          </w:p>
        </w:tc>
      </w:tr>
    </w:tbl>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RIGHT OF FIRST REFUSAL</w:t>
      </w:r>
    </w:p>
    <w:tbl>
      <w:tblPr>
        <w:tblW w:w="4120" w:type="dxa"/>
        <w:jc w:val="left"/>
        <w:tblInd w:w="0" w:type="dxa"/>
        <w:tblLayout w:type="fixed"/>
        <w:tblCellMar>
          <w:top w:w="0" w:type="dxa"/>
          <w:left w:w="0" w:type="dxa"/>
          <w:bottom w:w="0" w:type="dxa"/>
          <w:right w:w="0" w:type="dxa"/>
        </w:tblCellMar>
      </w:tblPr>
      <w:tblGrid>
        <w:gridCol w:w="275"/>
        <w:gridCol w:w="3845"/>
      </w:tblGrid>
      <w:tr>
        <w:trPr/>
        <w:tc>
          <w:tcPr>
            <w:tcW w:w="27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7.1</w:t>
            </w:r>
          </w:p>
        </w:tc>
        <w:tc>
          <w:tcPr>
            <w:tcW w:w="3845"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Grant and Exercise of the Right of First Refusal</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Prior to the Qualified IPO of the Target Company and as long as the Investors hold equity interests in the Target Company, if the NIO Parties intend to indirectly transfer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its equity interests in / shares of the Target Company to any third party other than its affiliate (the “</w:t>
      </w:r>
      <w:r>
        <w:rPr>
          <w:rFonts w:ascii="Times New Roman;Times;serif" w:hAnsi="Times New Roman;Times;serif"/>
          <w:b/>
          <w:sz w:val="20"/>
        </w:rPr>
        <w:t>Transferee</w:t>
      </w:r>
      <w:r>
        <w:rPr>
          <w:rFonts w:ascii="Times New Roman;Times;serif" w:hAnsi="Times New Roman;Times;serif"/>
          <w:sz w:val="20"/>
        </w:rPr>
        <w:t>”) by transferring the equity interests in the Holdco of the Target Company, or if any Shareholders of the Target Company intends to transfer its equity interests in / shares of in the Target Company to any non-affiliated third party except for the Investors (the “</w:t>
      </w:r>
      <w:r>
        <w:rPr>
          <w:rFonts w:ascii="Times New Roman;Times;serif" w:hAnsi="Times New Roman;Times;serif"/>
          <w:b/>
          <w:sz w:val="20"/>
        </w:rPr>
        <w:t>Proposed Transfer</w:t>
      </w:r>
      <w:r>
        <w:rPr>
          <w:rFonts w:ascii="Times New Roman;Times;serif" w:hAnsi="Times New Roman;Times;serif"/>
          <w:sz w:val="20"/>
        </w:rPr>
        <w:t>”), the NIO Parties shall give a prior written notice to the other Shareholders of the Target Company, which shall specify the terms and conditions of the Proposed Transfer or proposed disposal. Each of the other Shareholders of the Target Company (the “</w:t>
      </w:r>
      <w:r>
        <w:rPr>
          <w:rFonts w:ascii="Times New Roman;Times;serif" w:hAnsi="Times New Roman;Times;serif"/>
          <w:b/>
          <w:sz w:val="20"/>
        </w:rPr>
        <w:t>ROFR Holder</w:t>
      </w:r>
      <w:r>
        <w:rPr>
          <w:rFonts w:ascii="Times New Roman;Times;serif" w:hAnsi="Times New Roman;Times;serif"/>
          <w:sz w:val="20"/>
        </w:rPr>
        <w:t>”) shall have the right of first refusal to purchase the equity interests in / shares of the Target Company under the same conditions in proportion to their then respective ratio of paid-in capital contribution (each of the aforesaid Shareholder who intends to transfer equity interests shall be referred to individually as a “</w:t>
      </w:r>
      <w:r>
        <w:rPr>
          <w:rFonts w:ascii="Times New Roman;Times;serif" w:hAnsi="Times New Roman;Times;serif"/>
          <w:b/>
          <w:sz w:val="20"/>
        </w:rPr>
        <w:t>Transferring Shareholder</w:t>
      </w:r>
      <w:r>
        <w:rPr>
          <w:rFonts w:ascii="Times New Roman;Times;serif" w:hAnsi="Times New Roman;Times;serif"/>
          <w:sz w:val="20"/>
        </w:rPr>
        <w:t>”).</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7.1.1</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If any Transferring Shareholder intends to transfer, directly or indirectly, any registered capital of the Target Company held by it, it shall give a written notice (the “</w:t>
            </w:r>
            <w:r>
              <w:rPr>
                <w:rFonts w:ascii="Times New Roman;Times;serif" w:hAnsi="Times New Roman;Times;serif"/>
                <w:b/>
                <w:sz w:val="20"/>
              </w:rPr>
              <w:t>Transfer Notice</w:t>
            </w:r>
            <w:r>
              <w:rPr>
                <w:rFonts w:ascii="Times New Roman;Times;serif" w:hAnsi="Times New Roman;Times;serif"/>
                <w:sz w:val="20"/>
              </w:rPr>
              <w:t>”) to the ROFR Holders fifteen (15) working days before it enters into any binding agreement with such transferee with respect to the Proposed Transfer. The Transfer Notice shall include, without limitation, the number and price of the registered capital to be transferred, and the payment method of the price.</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7.1.2</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ROFR Holders shall reply, in writing within fifteen (15) working days (the “</w:t>
            </w:r>
            <w:r>
              <w:rPr>
                <w:rFonts w:ascii="Times New Roman;Times;serif" w:hAnsi="Times New Roman;Times;serif"/>
                <w:b/>
                <w:sz w:val="20"/>
              </w:rPr>
              <w:t>Transfer Feedback Period</w:t>
            </w:r>
            <w:r>
              <w:rPr>
                <w:rFonts w:ascii="Times New Roman;Times;serif" w:hAnsi="Times New Roman;Times;serif"/>
                <w:sz w:val="20"/>
              </w:rPr>
              <w:t>”) following the receipt of the aforesaid Transfer Notice, whether they opt to exercise the right of first refusal and the amount of registered capital to be purchased by them. If any ROFR Holder fails to reply within such Transfer Feedback Period, it shall be deemed to have waived the right of first refusal, consented to the Proposed Transfer, and waived the co-sale right enjoyed by it (if any).</w:t>
            </w:r>
          </w:p>
        </w:tc>
      </w:tr>
    </w:tbl>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If any ROFR Holder proposes to exercise the right of first refusal, it shall purchase all or part of the equity interests to be transferred at the proposed transfer price and on other same terms and conditions. If the total number of the equity interests to be transferred of which the ROFR Holder propose to exercise the right of first refusal is in excess of the number of the equity interests to be transferred, the maximum number of the equity interests to be transferred which each ROFR Holder is entitled to purchase shall be equal to the product of the equity interests to be transferred multiplied by a fraction, of which the numerator is the total registered capital of the Target Company held by such ROFR Holder as of the date of the Transfer Notice, and the denominator is the total registered capital of the Target Company then held by all ROFR Holders that have elected to exercise the right of first refusal as of the date of the Transfer Notice. The delivery of a written notice from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1440" w:right="0" w:hanging="0"/>
        <w:jc w:val="both"/>
        <w:rPr>
          <w:rFonts w:ascii="Times New Roman;Times;serif" w:hAnsi="Times New Roman;Times;serif"/>
          <w:sz w:val="20"/>
        </w:rPr>
      </w:pPr>
      <w:r>
        <w:rPr>
          <w:rFonts w:ascii="Times New Roman;Times;serif" w:hAnsi="Times New Roman;Times;serif"/>
          <w:sz w:val="20"/>
        </w:rPr>
        <w:t>ROFR Holders exercising the right of first refusal shall constitute a formal agreement between the Transferring Shareholders and such ROFR Holders in respect of sell and purchase all or part of the equity interests to be transferred (the amount of which to be subject to the adjustment as described above, if necessary) at the proposed transfer price and in accordance with other applicable terms and conditions set forth in the Transfer Notice. However, to clarify the transaction arrangement and facilitation of the change registration with competent administration for market regulation, the parties shall cooperate to enter into a written contract in accordance with the formal agreement between them.</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7.1.3</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If the ROFR Holders waive the right of first refusal in writing during the Transfer Feedback Period or fails to response within the Transfer Feedback Period, the Proposed Transfer shall be completed within thirty (30) working days from the earlier of the occurrence of the forgoing circumstances (the completion date shall be the date on which the re-registration with competent administration for market regulation is completed, if applicable); if the Proposed Transfer is not completed within such period, the Transferring Shareholders shall re-issue a Transfer Notice in accordance with Clause 7.1.1 hereof and the ROFR Holders shall have the right of first refusal and the right of co-sale (if applicable) with respect to such transfer.</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7.1.4</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If (a) any ROFR Holder waives the right of first refusal in writing during the Transfer Feedback Period, or (b) any ROFR Holder fails to response within the Transfer Feedback Period, or (c) any ROFR Holder elects to exercise the right of first refusal under Clause 7.1.2 above but does not purchase all of the equity interests to be transferred, after the expiration of the Transfer Feedback Period, the Transferring Shareholders may sell the equity interests to be transferred (or, under the circumstance (c) above, the remaining equity interests to be transferred of which the ROFR Holders are not exercised) to the Transferee at a price and on terms and conditions not less favorable than that of the Proposed Transfer and those set forth in the Transfer Notice.</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7.1.5</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If the Investors agree to acquire the NIO Parties’ equity interest in the Holdco of the Target Company in accordance with this clause and after the Qualified IPO of the Target Company, the NIO Parties undertake to procure, when the Investors decide to exit from the Target Company, the Holdco of the Target Company to sell the shares of the Target Company indirectly held by the Investors at an amount calculated on a basis of ratio of the Investors’ interest in the Holdco of the Target Company, and cooperate with the Investors in completing the procedures for capital reduction by the Holdco of the Target Company; or the NIO Parties or any third party designated by them shall</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acquire the interests of the Holdco of the Target Company held by the Investors at a price calculated on a basis of sales price of the shares of the Target Company by the Holdco of the Target Company.</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7.1.6</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This Clause 7.1 shall not apply to the following circumstances: (i) the equity transfer in accordance with Clause 10 (Anti-dilution) hereof; and (ii) any direct or indirect transfer of equity interests or any interests therein of the Target Company to the participants pursuant to any equity incentive plan duly approved in accordance with Clause 6.1.2 hereof, or any acquisition or transfer of the equity interests or any interests therein of the Target Company directly or indirectly held by the participants pursuant to any duly approved equity incentive plan mentioned above.</w:t>
            </w:r>
          </w:p>
        </w:tc>
      </w:tr>
    </w:tbl>
    <w:tbl>
      <w:tblPr>
        <w:tblW w:w="5170" w:type="dxa"/>
        <w:jc w:val="left"/>
        <w:tblInd w:w="0" w:type="dxa"/>
        <w:tblLayout w:type="fixed"/>
        <w:tblCellMar>
          <w:top w:w="0" w:type="dxa"/>
          <w:left w:w="0" w:type="dxa"/>
          <w:bottom w:w="0" w:type="dxa"/>
          <w:right w:w="0" w:type="dxa"/>
        </w:tblCellMar>
      </w:tblPr>
      <w:tblGrid>
        <w:gridCol w:w="275"/>
        <w:gridCol w:w="4895"/>
      </w:tblGrid>
      <w:tr>
        <w:trPr/>
        <w:tc>
          <w:tcPr>
            <w:tcW w:w="27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7.2</w:t>
            </w:r>
          </w:p>
        </w:tc>
        <w:tc>
          <w:tcPr>
            <w:tcW w:w="4895"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Infringement on the Right of First Refusal and the Remedies</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If the Proposed Transfer infringes the ROFR Holders’ right of first refusal:</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7.2.1</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Proposed Transfer shall be invalid, and none of the Parties shall cooperate in any manner on the registration or filing with the competent administration for market regulation and commerce bureau in respect of the Proposed Transfer;</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7.2.2</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Transferee of the Proposed Transfer is not entitled to any right and interest as a shareholder of the Target Company; and</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7.2.3</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For the purpose of this Agreement, if the Transferring Shareholder intending to make the Proposed Transfer fails to give the Transfer Notice in accordance with Clause 7.1.1 hereof, or if there is material difference or material omission in the conditions of the Proposed Transfer from those given in the Transfer Notice, it shall constitute an infringement of the ROFR Holders’ right of first refusal.</w:t>
            </w:r>
          </w:p>
        </w:tc>
      </w:tr>
    </w:tbl>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RIGHT OF CO-SALE</w:t>
      </w:r>
    </w:p>
    <w:tbl>
      <w:tblPr>
        <w:tblW w:w="3205" w:type="dxa"/>
        <w:jc w:val="left"/>
        <w:tblInd w:w="0" w:type="dxa"/>
        <w:tblLayout w:type="fixed"/>
        <w:tblCellMar>
          <w:top w:w="0" w:type="dxa"/>
          <w:left w:w="0" w:type="dxa"/>
          <w:bottom w:w="0" w:type="dxa"/>
          <w:right w:w="0" w:type="dxa"/>
        </w:tblCellMar>
      </w:tblPr>
      <w:tblGrid>
        <w:gridCol w:w="275"/>
        <w:gridCol w:w="2930"/>
      </w:tblGrid>
      <w:tr>
        <w:trPr/>
        <w:tc>
          <w:tcPr>
            <w:tcW w:w="27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8.1</w:t>
            </w:r>
          </w:p>
        </w:tc>
        <w:tc>
          <w:tcPr>
            <w:tcW w:w="2930"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Grant and Exercise of Co-sale Right</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As long as the Investors hold equity interests in the Target Company, if the NIO Parties intend to directly or indirectly conduct a Proposed Transfer and the Investor fails to exercise the right of first refusal in accordance with Clause 7 hereof, such Investors shall have the co-sale right, i.e., the right to sell the registered capital of the Target Company held by them at the same price and on the same terms and conditions in accordance with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8.1.1</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Investors reply in writing within fifteen (15) working days (the “</w:t>
            </w:r>
            <w:r>
              <w:rPr>
                <w:rFonts w:ascii="Times New Roman;Times;serif" w:hAnsi="Times New Roman;Times;serif"/>
                <w:b/>
                <w:sz w:val="20"/>
              </w:rPr>
              <w:t>Co-Sale Feedback Period</w:t>
            </w:r>
            <w:r>
              <w:rPr>
                <w:rFonts w:ascii="Times New Roman;Times;serif" w:hAnsi="Times New Roman;Times;serif"/>
                <w:sz w:val="20"/>
              </w:rPr>
              <w:t>”) from the date of receipt of the Transfer Notice of the Proposed Transfer from the Transferring Shareholders, stating whether they intend to exercise the co-sale right and the amount of the registered capital proposed to be co-sold. If such Investors fail to reply within such time limit, they shall be deemed to have waived the co-sale right enjoyed by them.</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8.1.2</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Each Investor shall be entitled to simultaneously transfer to such third party all or part of its equity interest in / shares of the Target Company at the same price and under the same conditions under the same conditions in proportion to their respective shareholding percentage at the time. If more than two Investors propose to exercise the co-sale right, the number of the registered capital of which each Investor exercising the co-sale right shall be equal to the product of the registered capital of the Target Company proposed to be transferred by the Transferring Shareholders to the Transferee multiplied by a fraction, of which the numerator is the total registered capital of the Target Company then held by such Investor exercising the co-sale right as of the date of the Transfer Notice, and the denominator is the total registered capital of the Target Company then held by all the Investors that have elected to exercise the co-sale right and the Transferring Shareholders as of the date of the Transfer Notice. If the equity interests in / shares of the Target Company that the NIO Parties and the Investors intend to sell exceed the equity interests Holdco of/shares proposed to be transferred to such third party, the Investors shall have the right of priority to sell the equity interests/shares to such third party. If the subject matter of the Proposed Transfer is the equity interest in the Holdco of the Target Company, the amount of the equity interests to be sold of which the Investors exercising co-sale right shall be calculated on a basis of the number of equity interest in / shares of the Target Company representing the subject matter of the Proposed Transfer.</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8.1.3</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If, in any Proposed Transfer, the Transferee does not agree to purchase the equity interest held by the Investors in the Target Company, and as a result of which the Investors are unable to exercise the co-sale right, the Proposed Transfer shall be terminated and shall not continue, unless such Investors exercising the co-sale right consent in advance in writing.</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8.1.4</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If any Investor waives the co-sale right in writing during the Co-Sale Feedback Period or fails to response within the Co-Sale Feedback Period, the Proposed Transfer shall be completed within thirty (30) working days from the earlier of the occurrence of the forgoing circumstances (the completion date shall be the date on which the re-registration with competent administration for market regulation is completed, if applicable); if the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1440" w:right="0" w:hanging="0"/>
        <w:jc w:val="both"/>
        <w:rPr>
          <w:rFonts w:ascii="Times New Roman;Times;serif" w:hAnsi="Times New Roman;Times;serif"/>
          <w:sz w:val="20"/>
        </w:rPr>
      </w:pPr>
      <w:r>
        <w:rPr>
          <w:rFonts w:ascii="Times New Roman;Times;serif" w:hAnsi="Times New Roman;Times;serif"/>
          <w:sz w:val="20"/>
        </w:rPr>
        <w:t>Proposed Transfer is not completed within such period, the Transferring Shareholders shall give a new Transfer Notice in accordance with Clause 7.1.1 hereof and the Investors shall have the co-sale right with respect to such transfer.</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8.1.5</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This Clause 8.1 shall not apply to the following circumstances: (i) the equity transfer in accordance with Clause 10 (Anti-dilution) hereof; and (ii) any direct or indirect transfer of equity interests or any interests therein of the Target Company to the participants pursuant to any equity incentive plan duly approved in accordance with Clause 6.1.2 hereof, or any acquisition or transfer of the equity interests or any interests therein of the Target Company directly or indirectly held by the participants pursuant to any duly approved equity incentive plan mentioned above.</w:t>
            </w:r>
          </w:p>
        </w:tc>
      </w:tr>
    </w:tbl>
    <w:tbl>
      <w:tblPr>
        <w:tblW w:w="4660" w:type="dxa"/>
        <w:jc w:val="left"/>
        <w:tblInd w:w="0" w:type="dxa"/>
        <w:tblLayout w:type="fixed"/>
        <w:tblCellMar>
          <w:top w:w="0" w:type="dxa"/>
          <w:left w:w="0" w:type="dxa"/>
          <w:bottom w:w="0" w:type="dxa"/>
          <w:right w:w="0" w:type="dxa"/>
        </w:tblCellMar>
      </w:tblPr>
      <w:tblGrid>
        <w:gridCol w:w="275"/>
        <w:gridCol w:w="4385"/>
      </w:tblGrid>
      <w:tr>
        <w:trPr/>
        <w:tc>
          <w:tcPr>
            <w:tcW w:w="27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8.2</w:t>
            </w:r>
          </w:p>
        </w:tc>
        <w:tc>
          <w:tcPr>
            <w:tcW w:w="438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Infringement on the Co-Sale Rights and the Remedies</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If the Proposed Transfer infringes the Investors’ co-sale right:</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8.2.1</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Proposed Transfer shall be invalid, and none of the Parties shall cooperate in any manner on the registration or filing with the competent administration for market regulation and commerce bureau in respect of the Proposed Transfer;</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8.2.2</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Transferee of the Proposed Transfer is not entitled to any right and interest as a shareholder of the Target Company; and</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8.2.3</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For the purpose of this Agreement, if the Transferring Shareholder intending to make the Proposed Transfer fails to give the Transfer Notice in accordance with Clause 7.1.1 hereof, or if there is material difference or material omission in the conditions of the Proposed Transfer from those given in the Transfer Notice, it shall constitute an infringement of the Investors’ co-sale right.</w:t>
            </w:r>
          </w:p>
        </w:tc>
      </w:tr>
    </w:tbl>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PRE-EMPTIVE RIGHTS</w:t>
      </w:r>
    </w:p>
    <w:tbl>
      <w:tblPr>
        <w:tblW w:w="3865" w:type="dxa"/>
        <w:jc w:val="left"/>
        <w:tblInd w:w="0" w:type="dxa"/>
        <w:tblLayout w:type="fixed"/>
        <w:tblCellMar>
          <w:top w:w="0" w:type="dxa"/>
          <w:left w:w="0" w:type="dxa"/>
          <w:bottom w:w="0" w:type="dxa"/>
          <w:right w:w="0" w:type="dxa"/>
        </w:tblCellMar>
      </w:tblPr>
      <w:tblGrid>
        <w:gridCol w:w="275"/>
        <w:gridCol w:w="3590"/>
      </w:tblGrid>
      <w:tr>
        <w:trPr/>
        <w:tc>
          <w:tcPr>
            <w:tcW w:w="27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9.1</w:t>
            </w:r>
          </w:p>
        </w:tc>
        <w:tc>
          <w:tcPr>
            <w:tcW w:w="359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Grant and Exercise of the Pre-emptive Right</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In the event of increase in the registered capital of the Target Company (the “</w:t>
      </w:r>
      <w:r>
        <w:rPr>
          <w:rFonts w:ascii="Times New Roman;Times;serif" w:hAnsi="Times New Roman;Times;serif"/>
          <w:b/>
          <w:sz w:val="20"/>
        </w:rPr>
        <w:t>Proposed Capital Increase</w:t>
      </w:r>
      <w:r>
        <w:rPr>
          <w:rFonts w:ascii="Times New Roman;Times;serif" w:hAnsi="Times New Roman;Times;serif"/>
          <w:sz w:val="20"/>
        </w:rPr>
        <w:t>”), the Shareholders shall have the pre-emptive right to subscribe for the newly increased registered capital or newly issued shares of the Target Company in proportion to their respective ratio of paid-in capital contribution under the same conditions.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9.1.1</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Target Company shall give a written notice (the “</w:t>
            </w:r>
            <w:r>
              <w:rPr>
                <w:rFonts w:ascii="Times New Roman;Times;serif" w:hAnsi="Times New Roman;Times;serif"/>
                <w:b/>
                <w:sz w:val="20"/>
              </w:rPr>
              <w:t>Capital Increase Notice</w:t>
            </w:r>
            <w:r>
              <w:rPr>
                <w:rFonts w:ascii="Times New Roman;Times;serif" w:hAnsi="Times New Roman;Times;serif"/>
                <w:sz w:val="20"/>
              </w:rPr>
              <w:t>”) to each Shareholder fifteen (15) working days before it enters into any binding agreement or convenes a Board’s meeting and/or Shareholders’ meeting in respect of the Proposed Capital Increase, which shall specify, including without limitation, the amount of the registered capital to be increased, the price of the Proposed Capital Increase, and the payment method of price of the registered capital to be increased. If two or more Shareholders with pre-emptive right propose to exercise the pre-emptive rights, the maximum amount of the registered capital for which each Shareholder is entitled to subscribe shall be the product of the newly increased registered capital of the Target Company multiplied by a fraction, of which the numerator is the total paid-in capital contribution to the Target Company then held by such Shareholder exercising the pre-emptive right as of the date of the Capital Increase Notice issued by the Target Company, and the denominator is the total paid-in capital contribution to the Target Company then held by all Shareholders that have elected to exercise the pre-emptive right as of the date of the Capital Increase Notice issued by the Target Company.</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9.1.2</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Each Shareholder shall reply in writing within fifteen (15) working days (the “</w:t>
            </w:r>
            <w:r>
              <w:rPr>
                <w:rFonts w:ascii="Times New Roman;Times;serif" w:hAnsi="Times New Roman;Times;serif"/>
                <w:b/>
                <w:sz w:val="20"/>
              </w:rPr>
              <w:t>Capital Increase Feedback Period</w:t>
            </w:r>
            <w:r>
              <w:rPr>
                <w:rFonts w:ascii="Times New Roman;Times;serif" w:hAnsi="Times New Roman;Times;serif"/>
                <w:sz w:val="20"/>
              </w:rPr>
              <w:t>”) after the receipt of the aforesaid Capital Increase Notice whether it elects to exercise the pre-emptive right and the amount of the registered capital to be subscribed for by it. If any Shareholder fails to reply within the Capital Increase Feedback Period, it shall be deemed to have waived the pre-emptive right.</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9.1.3</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If any Shareholder waives the pre-emptive right in writing during the Capital Increase Feedback Period set forth in Clause 9.1.2 or fails to make response during the Capital Increase Feedback Period, the Proposed Capital Increase shall be completed within thirty (30) working days after the earlier of the occurrence of the foregoing circumstances (the completion date shall be the date on which the re-registration with competent administration for market regulation is completed); if the Proposed Capital Increase is not completed within such period, the Target Company shall re-issue a Capital Increase Notice in accordance with Clause 9.1.1 hereof and such Shareholder shall obtain the pre-emptive right with respect to such capital increase.</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9.1.4</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This Clause 9.1 shall not apply to the newly increased registered capital resulting from the equity incentive plan duly approved in accordance with Clause 6.1.2, the conversion of profits into registered capital on a pro rata basis to all Shareholders, the conversion of capital reserves into registered capital on a pro rata basis to all Shareholders, and the issuance of shares in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1440" w:right="0" w:hanging="0"/>
        <w:jc w:val="both"/>
        <w:rPr>
          <w:rFonts w:ascii="Times New Roman;Times;serif" w:hAnsi="Times New Roman;Times;serif"/>
          <w:sz w:val="20"/>
        </w:rPr>
      </w:pPr>
      <w:r>
        <w:rPr>
          <w:rFonts w:ascii="Times New Roman;Times;serif" w:hAnsi="Times New Roman;Times;serif"/>
          <w:sz w:val="20"/>
        </w:rPr>
        <w:t>connection with the restructuring of a joint stock company and the Qualified IPO.</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9.2</w:t>
            </w:r>
          </w:p>
        </w:tc>
        <w:tc>
          <w:tcPr>
            <w:tcW w:w="99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During the period from the Execution Date hereof to December 31, 2025, the NIO Parties shall have the right to unilaterally subscribe for the then newly increased registered capital of the Target Company at the price and conditions of this Transaction by investing in not more than RMB 20 billion in addition to this Transaction (“</w:t>
            </w:r>
            <w:r>
              <w:rPr>
                <w:rFonts w:ascii="Times New Roman;Times;serif" w:hAnsi="Times New Roman;Times;serif"/>
                <w:b/>
                <w:sz w:val="20"/>
              </w:rPr>
              <w:t>NIO Parties’ Capital Increase Right</w:t>
            </w:r>
            <w:r>
              <w:rPr>
                <w:rFonts w:ascii="Times New Roman;Times;serif" w:hAnsi="Times New Roman;Times;serif"/>
                <w:sz w:val="20"/>
              </w:rPr>
              <w:t>”).  The NIO Parties shall have the right to designate any of its affiliates to exercise the NIO Parties’ Capital Increase Right.  With respect to the newly increased registered capital of the Target Company to be subscribed for with such capital increase price of RMB 20 billion, each of the Investors hereby unconditionally and irrevocably waives any pre-emptive right under this Clause 9. After the completion of such capital increase, the shareholding percentage of each Shareholder in the Target Company shall be adjusted accordingly.</w:t>
            </w:r>
          </w:p>
        </w:tc>
      </w:tr>
    </w:tbl>
    <w:tbl>
      <w:tblPr>
        <w:tblW w:w="4915" w:type="dxa"/>
        <w:jc w:val="left"/>
        <w:tblInd w:w="0" w:type="dxa"/>
        <w:tblLayout w:type="fixed"/>
        <w:tblCellMar>
          <w:top w:w="0" w:type="dxa"/>
          <w:left w:w="0" w:type="dxa"/>
          <w:bottom w:w="0" w:type="dxa"/>
          <w:right w:w="0" w:type="dxa"/>
        </w:tblCellMar>
      </w:tblPr>
      <w:tblGrid>
        <w:gridCol w:w="275"/>
        <w:gridCol w:w="4640"/>
      </w:tblGrid>
      <w:tr>
        <w:trPr/>
        <w:tc>
          <w:tcPr>
            <w:tcW w:w="27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9.3</w:t>
            </w:r>
          </w:p>
        </w:tc>
        <w:tc>
          <w:tcPr>
            <w:tcW w:w="464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Infringement on the Pre-emptive Right and the Remedies</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If the Proposed Capital Increase infringes the Shareholders’ pre-emptive right:</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9.3.1</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Proposed Capital Increase shall be invalid, and none of the Parties shall cooperate in any manner on the registration or filing with the competent administration for market regulation and commerce bureau in respect of the Proposed Capital Increase;</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9.3.2</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subscriber to the registered capital of the Target Company in respect of the Proposed Capital Increase is not entitled to any right and interest as a shareholder of the Target Company; and</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9.3.3</w:t>
            </w:r>
          </w:p>
        </w:tc>
        <w:tc>
          <w:tcPr>
            <w:tcW w:w="975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For the purpose of this Agreement, if the Target Company fails to give the Capital Increase Notice in accordance with Clause 9.1.1 hereof, or if there is material difference or material omission in the conditions of the Proposed Capital Increase from those given in the Capital Increase Notice, it shall constitute an infringement of the Shareholders’ pre-emptive right.</w:t>
            </w:r>
          </w:p>
        </w:tc>
      </w:tr>
    </w:tbl>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VALUE ASSURANCE AND ANTI-DILUTION RIGHTS</w:t>
      </w:r>
    </w:p>
    <w:tbl>
      <w:tblPr>
        <w:tblW w:w="1750" w:type="dxa"/>
        <w:jc w:val="left"/>
        <w:tblInd w:w="0" w:type="dxa"/>
        <w:tblLayout w:type="fixed"/>
        <w:tblCellMar>
          <w:top w:w="0" w:type="dxa"/>
          <w:left w:w="0" w:type="dxa"/>
          <w:bottom w:w="0" w:type="dxa"/>
          <w:right w:w="0" w:type="dxa"/>
        </w:tblCellMar>
      </w:tblPr>
      <w:tblGrid>
        <w:gridCol w:w="380"/>
        <w:gridCol w:w="137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10.1</w:t>
            </w:r>
          </w:p>
        </w:tc>
        <w:tc>
          <w:tcPr>
            <w:tcW w:w="137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Value Assurance</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10.1.1</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Prior to the Qualified IPO of the Target Company, without prior written consent of the Investors, the Target Company shall not issue new shares or increase its registered capital that may result in dilution of the percentage of the Investors’ shareholding or equity interest in any form.</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10.1.2</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After the closing of the Series A Transaction and prior to the date on which the Target Company obtains the guidance filing notice in connection with the Qualified IPO from the provincial securities regulatory bureau at the place where the Target Company is located, if the Investors consent in writing to the issuance of new shares or increase in the registered capital of the Target Company, the NIO Parties shall guarantee that the price of the subsequent financing shall not be lower than the price at the time when the Investors invested in the Target Company (specifically, the subscription price paid by the Series A Investors for their acquisition of equity interests pursuant to the Series A Investment Agreement and its amendments and supplements is RMB5.72 for one (1) Yuan registered capital, the subscription price paid by the Series B Investors for their acquisition of equity interests pursuant to the Series B Investment Agreement is RMB7.00 for one (1) Yuan registered capital, hereinafter collectively referred to as the “</w:t>
            </w:r>
            <w:r>
              <w:rPr>
                <w:rFonts w:ascii="Times New Roman;Times;serif" w:hAnsi="Times New Roman;Times;serif"/>
                <w:b/>
                <w:sz w:val="20"/>
              </w:rPr>
              <w:t>Investors Subscription Price</w:t>
            </w:r>
            <w:r>
              <w:rPr>
                <w:rFonts w:ascii="Times New Roman;Times;serif" w:hAnsi="Times New Roman;Times;serif"/>
                <w:sz w:val="20"/>
              </w:rPr>
              <w:t>”).</w:t>
            </w:r>
          </w:p>
        </w:tc>
      </w:tr>
    </w:tbl>
    <w:tbl>
      <w:tblPr>
        <w:tblW w:w="2710" w:type="dxa"/>
        <w:jc w:val="left"/>
        <w:tblInd w:w="0" w:type="dxa"/>
        <w:tblLayout w:type="fixed"/>
        <w:tblCellMar>
          <w:top w:w="0" w:type="dxa"/>
          <w:left w:w="0" w:type="dxa"/>
          <w:bottom w:w="0" w:type="dxa"/>
          <w:right w:w="0" w:type="dxa"/>
        </w:tblCellMar>
      </w:tblPr>
      <w:tblGrid>
        <w:gridCol w:w="380"/>
        <w:gridCol w:w="233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10.2</w:t>
            </w:r>
          </w:p>
        </w:tc>
        <w:tc>
          <w:tcPr>
            <w:tcW w:w="233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Anti-dilution Compensation</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If the final price or cost paid by any Investor (including the existing Shareholders and any newly joined shareholders) in any new round of investment of the Target Company in the future (either by means of equity interest transfer or capital increase) is lower than the Investors Subscription Price in accordance with certain agreement or arrangement entered into by and among the Target Company, the NIO Parties and the persons acting in concert with the Target Company and the NIO Parties, the Investors Subscription Price shall be re-calculated based on the following formula: P2 = P1 × (A + B) ÷ (A + C), of which, P2 = the Investors Subscription Price after the adjustment; P1 = the initial Investors Subscription Price; A = the registered capital of the Target Company prior to the above mentioned capital increase on a fully diluted basis (i.e., assuming that each Shareholder or any other party has exercised its subscription right, convertible loan or other rights convertible into any equity interest in the Target Company); B = the registered capital of the Target Company that can be acquired at P1 price with the above mentioned capital increase; C = the registered capital of the Target Company actually increased in the above mentioned capital increase. The Investors shall have the right to re-calculate the amount of the registered capital of the Target Company that they are entitled to, based on the adjusted Investors Subscription Price. To the extent permitted by Laws, the difference between such amount and the registered capital of the Target Company that the Investors subscribe for in accordance with the Investment Agreement shall be made up by the Target Company and the NIO Parties as follows: (i) the additional issuance of equity interests by the Target Company to the Investors at the lowest price permitted by applicable Laws; and (ii) the transfer by the NIO Parties of their equity interests in the Target Company to the Investors at the lowest price permitted by applicable Laws. If such compensation is made by means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subclause (i) above, the subscription price for the equity interests that the Investors shall pay to the Target Company shall be borne by the NIO Parties. Other expenses and costs incurred in the process of compensation (if any) shall be borne by the NIO Parties.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For the avoidance of doubt, if an Investor subscribes for the newly increased registered capital of the Target Company in both the Series A Transaction and the Series B Transaction, the registered capital of the Target Company subscribed by such Investor through Each Transaction shall be subject to the anti-dilution compensation specified in Clause 10 hereof, respectively.</w:t>
      </w:r>
    </w:p>
    <w:tbl>
      <w:tblPr>
        <w:tblW w:w="4555" w:type="dxa"/>
        <w:jc w:val="left"/>
        <w:tblInd w:w="0" w:type="dxa"/>
        <w:tblLayout w:type="fixed"/>
        <w:tblCellMar>
          <w:top w:w="0" w:type="dxa"/>
          <w:left w:w="0" w:type="dxa"/>
          <w:bottom w:w="0" w:type="dxa"/>
          <w:right w:w="0" w:type="dxa"/>
        </w:tblCellMar>
      </w:tblPr>
      <w:tblGrid>
        <w:gridCol w:w="380"/>
        <w:gridCol w:w="417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10.3</w:t>
            </w:r>
          </w:p>
        </w:tc>
        <w:tc>
          <w:tcPr>
            <w:tcW w:w="417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Implementation of the Anti-dilution Compensation</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implementation of anti-dilution compensation shall be fully completed within one hundred and twenty (120) days after the date on which the Investors exercise the anti-dilution right in accordance with Clause 10.2 hereof and notify the NIO Parties in writing (if additional time is required due to the performance of any public procedure such as appraisal and/or bidding, auction or listing in respect of the transfer of state-owned assets, such time shall not be included in one hundred and twenty (120) days). The completion date shall be the date on which the registration with competent administration for market regulation is completed.</w:t>
      </w:r>
    </w:p>
    <w:tbl>
      <w:tblPr>
        <w:tblW w:w="4105" w:type="dxa"/>
        <w:jc w:val="left"/>
        <w:tblInd w:w="0" w:type="dxa"/>
        <w:tblLayout w:type="fixed"/>
        <w:tblCellMar>
          <w:top w:w="0" w:type="dxa"/>
          <w:left w:w="0" w:type="dxa"/>
          <w:bottom w:w="0" w:type="dxa"/>
          <w:right w:w="0" w:type="dxa"/>
        </w:tblCellMar>
      </w:tblPr>
      <w:tblGrid>
        <w:gridCol w:w="380"/>
        <w:gridCol w:w="372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10.4</w:t>
            </w:r>
          </w:p>
        </w:tc>
        <w:tc>
          <w:tcPr>
            <w:tcW w:w="372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Anti-dilution Compensation Overdue Penalty</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If the NIO Parties fail to fully implement the anti-dilution compensation within the period specified in Clause 10.3 hereof, the NIO Parties shall pay the overdue penalty to the Investors from the first day of such delay. The overdue penalty shall be calculated at the rate of 0.02% of the outstanding amount of cash compensation payable for each day of such delay.</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10.5</w:t>
            </w:r>
          </w:p>
        </w:tc>
        <w:tc>
          <w:tcPr>
            <w:tcW w:w="982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The Parties agree that, if the Target Company incurs changes in the share capital of the Target Company due to conversion of capital reserves to the registered capital, equity split or consolidation, issuance of equity dividends and other similar events, the price per share for the equity interests of the Target Company obtained by the corresponding Investors shall be adjusted accordingly.</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10.6</w:t>
            </w:r>
          </w:p>
        </w:tc>
        <w:tc>
          <w:tcPr>
            <w:tcW w:w="982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This Clause 10 shall not apply to the newly increased registered capital resulting from the equity incentive plan duly approved in accordance with Clause 6.1.2, the conversion of profits into registered capital on a pro rata basis to all Shareholders, the conversion of capital reserves into registered capital on a pro rata basis to all Shareholders, and the issuance of shares in connection with the restructuring of a joint stock company and the Qualified IPO.</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REDEMPTION RIGHT</w:t>
      </w:r>
    </w:p>
    <w:tbl>
      <w:tblPr>
        <w:tblW w:w="4345" w:type="dxa"/>
        <w:jc w:val="left"/>
        <w:tblInd w:w="0" w:type="dxa"/>
        <w:tblLayout w:type="fixed"/>
        <w:tblCellMar>
          <w:top w:w="0" w:type="dxa"/>
          <w:left w:w="0" w:type="dxa"/>
          <w:bottom w:w="0" w:type="dxa"/>
          <w:right w:w="0" w:type="dxa"/>
        </w:tblCellMar>
      </w:tblPr>
      <w:tblGrid>
        <w:gridCol w:w="380"/>
        <w:gridCol w:w="396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11.1</w:t>
            </w:r>
          </w:p>
        </w:tc>
        <w:tc>
          <w:tcPr>
            <w:tcW w:w="396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Triggering Events of Investor Redemption Right</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Upon the occurrence of any of the following events (“</w:t>
      </w:r>
      <w:r>
        <w:rPr>
          <w:rFonts w:ascii="Times New Roman;Times;serif" w:hAnsi="Times New Roman;Times;serif"/>
          <w:b/>
          <w:sz w:val="20"/>
        </w:rPr>
        <w:t>Redemption Event(s)</w:t>
      </w:r>
      <w:r>
        <w:rPr>
          <w:rFonts w:ascii="Times New Roman;Times;serif" w:hAnsi="Times New Roman;Times;serif"/>
          <w:sz w:val="20"/>
        </w:rPr>
        <w:t>”), any Investor shall obtain a redemption right, i.e., the right to request NIO Inc. and/or the NIO HK Holding Platforms to redeem all or part of the equity interest then held by such Investor in the Target Company. The Target Company shall assume an unlimited joint and several liabilities for the performance of the redemption obligations of NIO Inc. and the NIO HK Holding Platforms (the guarantee period is for two years from the expiration date of the performance period of the relevant principal debt being guaranteed (i.e., the Redemption Price and overdue penalty, etc.). The Parties hereby agree to, and waive the requirement to convene a Shareholders’ meeting to vote on the joint and several liabilities of the Target Company to the NIO Parties pursuant to Clause 11 hereof. The execution of this Agreement by the Parties shall be deemed that: (1) the Company has made an irrevocable warranty to the Investors, of which the joint and several liabilities for the performance of the obligations of NIO Parties to pay the Redemption Price and overdue penalty, and (2) the valid resolutions of the Shareholders’ meeting regarding the Company’s joint and several liabilities for the performance of the redemption obligations of NIO Parties has been adopted. None of the Shareholders of the Company shall raise any defense against the aforementioned circumstances on the grounds that such matters have not been submitted to the Shareholders’ meeting for resolution), and shall cause the Actual Controller to give a written undertaking of using his reasonable efforts to cause NIO Inc. and the NIO HK Holding Platforms to perform the redemption obligations hereunder:</w:t>
      </w:r>
    </w:p>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11.1.1</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Target Company fails to complete the listing application or to issue the material assets restructuring plan related to the Qualified IPO before December 31, 2027, or fails to complete the Qualified IPO before December 31, 2028;</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11.1.2</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With respect to any Mature Investor (as defined below), the Target Company fails to complete the Qualified IPO prior to the maturity date of the fund corresponding to such Investor (the “</w:t>
            </w:r>
            <w:r>
              <w:rPr>
                <w:rFonts w:ascii="Times New Roman;Times;serif" w:hAnsi="Times New Roman;Times;serif"/>
                <w:b/>
                <w:sz w:val="20"/>
              </w:rPr>
              <w:t>Fund Maturity Date</w:t>
            </w:r>
            <w:r>
              <w:rPr>
                <w:rFonts w:ascii="Times New Roman;Times;serif" w:hAnsi="Times New Roman;Times;serif"/>
                <w:sz w:val="20"/>
              </w:rPr>
              <w:t>”, i.e., the expiration date of the fund duration of such Investor as determined by the registration with competent administration for market regulation /filing with the Asset Management Association of China; if the fund duration of such Investor is extended after the Execution Date hereof, the extended fund duration of such Investor as determined by the registration with competent administration for market regulation/filing with the Asset Management Association of China shall apply; such Investor is hereinafter referred to as the “</w:t>
            </w:r>
            <w:r>
              <w:rPr>
                <w:rFonts w:ascii="Times New Roman;Times;serif" w:hAnsi="Times New Roman;Times;serif"/>
                <w:b/>
                <w:sz w:val="20"/>
              </w:rPr>
              <w:t>Mature Investor</w:t>
            </w:r>
            <w:r>
              <w:rPr>
                <w:rFonts w:ascii="Times New Roman;Times;serif" w:hAnsi="Times New Roman;Times;serif"/>
                <w:sz w:val="20"/>
              </w:rPr>
              <w:t>”), and the Mature Investor shall</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1440" w:right="0" w:hanging="0"/>
        <w:jc w:val="both"/>
        <w:rPr>
          <w:rFonts w:ascii="Times New Roman;Times;serif" w:hAnsi="Times New Roman;Times;serif"/>
          <w:sz w:val="20"/>
        </w:rPr>
      </w:pPr>
      <w:r>
        <w:rPr>
          <w:rFonts w:ascii="Times New Roman;Times;serif" w:hAnsi="Times New Roman;Times;serif"/>
          <w:sz w:val="20"/>
        </w:rPr>
        <w:t>notify the NIO Parties and the Target Company of the Fund Maturity Date in writing in advance;</w:t>
      </w:r>
    </w:p>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11.1.3</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NIO Parties or the Target Company has significant concealment, misleading, false statement or suspected fraud in the process of information disclosure for the transactions conducted in accordance with the Investment Agreement;</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11.1.4</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NIO Parties’ capital contribution in the Target Company and other Group Members is false, fraudulent or has been withdrawn, or there is a Material breach in any provision in the formally executed Transaction Documents or any representations, warranties or undertakings thereunder by the NIO Parties and/or the Target Company;</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11.1.5</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Actual Controller of the Target Company and the core management team of the Target Company as listed in Exhibit II (the “</w:t>
            </w:r>
            <w:r>
              <w:rPr>
                <w:rFonts w:ascii="Times New Roman;Times;serif" w:hAnsi="Times New Roman;Times;serif"/>
                <w:b/>
                <w:sz w:val="20"/>
              </w:rPr>
              <w:t>Core Management Team</w:t>
            </w:r>
            <w:r>
              <w:rPr>
                <w:rFonts w:ascii="Times New Roman;Times;serif" w:hAnsi="Times New Roman;Times;serif"/>
                <w:sz w:val="20"/>
              </w:rPr>
              <w:t>”) encounter Material integrity problems, which lead to the Material internal control loopholes in the Target Company, including without limitation, the off-balance-sheet sales income in cash which is unknown to the Investors, misappropriation of funds and unfair related-party transactions; or the Target Company has Material internal control loopholes, which cause Material adverse impact on the Target Company, even though such loopholes are not caused by the Actual Controller or the Core Management Team of the Target Company intentionally;</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11.1.6</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There are major changes in the current Main Business of the Target Company as agreed in the Transaction Documents, or any license and permit of the Target Company necessary for operating such current Main Business is rescinded or the Target Company is not able to obtain and maintain such license or permit;</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11.1.7</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Target Company breaches the provisions with respect to the use of the Capital Increase Price as agreed in the Investment Agreement;</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11.1.8</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There is a change of the Actual Controller of the Target Company or the actual controller of NIO Inc. due to any circumstance;</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11.1.9</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More than half of the Core Management Team resigns within two (2) years prior to the date of submission of the application for the Qualified IPO by the Target Company;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635"/>
        <w:gridCol w:w="9547"/>
      </w:tblGrid>
      <w:tr>
        <w:trPr/>
        <w:tc>
          <w:tcPr>
            <w:tcW w:w="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11.1.10</w:t>
            </w:r>
          </w:p>
        </w:tc>
        <w:tc>
          <w:tcPr>
            <w:tcW w:w="954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Any event for redemption of the equity interests agreed between any Investor or other Shareholders of the Target Company (other than the Investors) and the Target Company or the NIO Parties is triggered, and such Investor or other Shareholders of the Target Company request the Target Company or the NIO Parties to redeem their equity interests in the Target Company;</w:t>
            </w:r>
          </w:p>
        </w:tc>
      </w:tr>
    </w:tbl>
    <w:tbl>
      <w:tblPr>
        <w:tblW w:w="10205" w:type="dxa"/>
        <w:jc w:val="left"/>
        <w:tblInd w:w="0" w:type="dxa"/>
        <w:tblLayout w:type="fixed"/>
        <w:tblCellMar>
          <w:top w:w="0" w:type="dxa"/>
          <w:left w:w="0" w:type="dxa"/>
          <w:bottom w:w="0" w:type="dxa"/>
          <w:right w:w="0" w:type="dxa"/>
        </w:tblCellMar>
      </w:tblPr>
      <w:tblGrid>
        <w:gridCol w:w="23"/>
        <w:gridCol w:w="635"/>
        <w:gridCol w:w="9547"/>
      </w:tblGrid>
      <w:tr>
        <w:trPr/>
        <w:tc>
          <w:tcPr>
            <w:tcW w:w="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11.1.11</w:t>
            </w:r>
          </w:p>
        </w:tc>
        <w:tc>
          <w:tcPr>
            <w:tcW w:w="954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Any event for redemption of the equity interests agreed between the shareholders of NIO Inc. and NIO Inc. is triggered, or the shareholders of NIO Inc. request NIO Inc. or the actual controller of NIO Inc. to redeem the shares held by them, provided that the performance of such redemption obligations may result in change of the actual controller of NIO Inc. or the Actual Controller of the Target Company;</w:t>
            </w:r>
          </w:p>
        </w:tc>
      </w:tr>
    </w:tbl>
    <w:tbl>
      <w:tblPr>
        <w:tblW w:w="10205" w:type="dxa"/>
        <w:jc w:val="left"/>
        <w:tblInd w:w="0" w:type="dxa"/>
        <w:tblLayout w:type="fixed"/>
        <w:tblCellMar>
          <w:top w:w="0" w:type="dxa"/>
          <w:left w:w="0" w:type="dxa"/>
          <w:bottom w:w="0" w:type="dxa"/>
          <w:right w:w="0" w:type="dxa"/>
        </w:tblCellMar>
      </w:tblPr>
      <w:tblGrid>
        <w:gridCol w:w="23"/>
        <w:gridCol w:w="635"/>
        <w:gridCol w:w="9547"/>
      </w:tblGrid>
      <w:tr>
        <w:trPr/>
        <w:tc>
          <w:tcPr>
            <w:tcW w:w="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11.1.12</w:t>
            </w:r>
          </w:p>
        </w:tc>
        <w:tc>
          <w:tcPr>
            <w:tcW w:w="954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Target Company or any of its creditors applies to a PRC court for bankruptcy and reorganization of the Target Company; or NIO Inc. or any of its creditors applies to a competent judicial authority for bankruptcy and reorganization of NIO Inc., which may result in change of the actual controller of NIO Inc. or the Actual Controller of the Target Company;</w:t>
            </w:r>
          </w:p>
        </w:tc>
      </w:tr>
    </w:tbl>
    <w:tbl>
      <w:tblPr>
        <w:tblW w:w="10205" w:type="dxa"/>
        <w:jc w:val="left"/>
        <w:tblInd w:w="0" w:type="dxa"/>
        <w:tblLayout w:type="fixed"/>
        <w:tblCellMar>
          <w:top w:w="0" w:type="dxa"/>
          <w:left w:w="0" w:type="dxa"/>
          <w:bottom w:w="0" w:type="dxa"/>
          <w:right w:w="0" w:type="dxa"/>
        </w:tblCellMar>
      </w:tblPr>
      <w:tblGrid>
        <w:gridCol w:w="23"/>
        <w:gridCol w:w="635"/>
        <w:gridCol w:w="9547"/>
      </w:tblGrid>
      <w:tr>
        <w:trPr/>
        <w:tc>
          <w:tcPr>
            <w:tcW w:w="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11.1.13</w:t>
            </w:r>
          </w:p>
        </w:tc>
        <w:tc>
          <w:tcPr>
            <w:tcW w:w="954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Target Company fails to complete the overall change from a limited liability company to a joint stock limited company (the “</w:t>
            </w:r>
            <w:r>
              <w:rPr>
                <w:rFonts w:ascii="Times New Roman;Times;serif" w:hAnsi="Times New Roman;Times;serif"/>
                <w:b/>
                <w:sz w:val="20"/>
              </w:rPr>
              <w:t>Share Reform</w:t>
            </w:r>
            <w:r>
              <w:rPr>
                <w:rFonts w:ascii="Times New Roman;Times;serif" w:hAnsi="Times New Roman;Times;serif"/>
                <w:sz w:val="20"/>
              </w:rPr>
              <w:t>”) by December 31, 2026 (or other date agreed by Series A Investors and Anhui High-tech Co.), and the completion date of the Share Reform shall be the date on which the Target Company obtains the business license of a joint stock limited company issued by the competent administration for market regulation.</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Company or the NIO Parties shall, within thirty (30) days after it becomes aware or shall be aware of any of the aforementioned Redemption Events, issue a written notice to the Investors stating that such Redemption Event has been triggered. If any of the Investors decides to exercise its Redemption Right, it shall give a redemption notice to NIO Inc. and/or the NIO HK Holding Platforms within twenty-four (24) months after it becomes aware or shall be aware of such Redemption Event (the “</w:t>
      </w:r>
      <w:r>
        <w:rPr>
          <w:rFonts w:ascii="Times New Roman;Times;serif" w:hAnsi="Times New Roman;Times;serif"/>
          <w:b/>
          <w:sz w:val="20"/>
        </w:rPr>
        <w:t>Exercise Period</w:t>
      </w:r>
      <w:r>
        <w:rPr>
          <w:rFonts w:ascii="Times New Roman;Times;serif" w:hAnsi="Times New Roman;Times;serif"/>
          <w:sz w:val="20"/>
        </w:rPr>
        <w:t>”, calculated respectively for the Redemption Events, but no later than December 31, 2030).</w:t>
      </w:r>
    </w:p>
    <w:tbl>
      <w:tblPr>
        <w:tblW w:w="2065" w:type="dxa"/>
        <w:jc w:val="left"/>
        <w:tblInd w:w="0" w:type="dxa"/>
        <w:tblLayout w:type="fixed"/>
        <w:tblCellMar>
          <w:top w:w="0" w:type="dxa"/>
          <w:left w:w="0" w:type="dxa"/>
          <w:bottom w:w="0" w:type="dxa"/>
          <w:right w:w="0" w:type="dxa"/>
        </w:tblCellMar>
      </w:tblPr>
      <w:tblGrid>
        <w:gridCol w:w="380"/>
        <w:gridCol w:w="168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11.2</w:t>
            </w:r>
          </w:p>
        </w:tc>
        <w:tc>
          <w:tcPr>
            <w:tcW w:w="168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Price of Redemption</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If the Investors obtain the redemption right pursuant to Clause 11.1 hereof, and they shall have the right to request NIO Inc. and/or the NIO HK Holding Platforms to redeem all or part of the equity interest in the Target Company then they held, with respect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each Investor, the price of redemption (the “</w:t>
      </w:r>
      <w:r>
        <w:rPr>
          <w:rFonts w:ascii="Times New Roman;Times;serif" w:hAnsi="Times New Roman;Times;serif"/>
          <w:b/>
          <w:sz w:val="20"/>
        </w:rPr>
        <w:t>Redemption Price</w:t>
      </w:r>
      <w:r>
        <w:rPr>
          <w:rFonts w:ascii="Times New Roman;Times;serif" w:hAnsi="Times New Roman;Times;serif"/>
          <w:sz w:val="20"/>
        </w:rPr>
        <w:t>”) shall be the high of: (i) the sum of the total amount of the investment price paid by the Investors to the Target Company for the purpose of acquiring the equity interest in the Target Company that they request to redeem (for the avoidance of doubt, if an Investor subscribes for the newly increased registered capital of the Target Company in both the Series A Transaction and the Series B Transaction, it shall refer to the total amount of the investment price paid by such Investor for Each Transaction, the same below) plus an investment income calculated at a compound interest rate corresponding to Each Transaction (with respect to the compound interest rate, 8.5% is for Series A Investors; 7.5% is for Series B Investors) per annum on basis of the total amount of the investment price (for purpose of calculation, one year shall be calculated as 360 days, and if the time period is less than one year, it shall be calculated based on actual days); in particular, with respect to each Investor, if the investment prices paid by such Investor are paid to the Target Company in installment, the amount of the forging investment income of each installment of the investment price shall be calculated from the actual capital injection date of such batch of investment price. (ii) the post investment value of the Group Members for the most recent financing transaction corresponding to all or part of the equity interest in the Target Company that the Investors request to redeem. The Redemption Price shall be paid in cash.</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Investors shall have pari-passu redemption right. The Investors shall be entitled to the aforesaid Redemption Price by requesting NIO Inc. and/or the NIO HK Holding Platforms to purchase all or part of the equity interest held by the Investors in the Target Company.</w:t>
      </w:r>
    </w:p>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11.2.1</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NIO Inc. and/or the NIO HK Holding Platforms shall complete the payment of the Redemption Price within one hundred and twenty (120) days from the date of receipt of the Investor’s notice requesting to exercise the redemption right, the Party obliged to pay the Redemption Price shall pay additional overdue penalty to the Investors, until the later of (i) the NIO Parties has fulfilled the redemption obligation; (ii) the Investor expressly states that it elects to transfer its equity to a third party in accordance with Clause 11.2.2; and (iii) the date on which the Investor enters into an equity transfer agreement with a third party. In particular, in the circumstances set forth in items (ii) and (iii) above, the calculation of the overdue penalty shall cease to be made only for the portion of the consideration corresponding to the transfer by the Investor to a third party. The overdue penalty shall be calculated at the rate of 0.02% of the outstanding amount of cash compensation payable for each day of delay. The relevant parties shall otherwise agree on the time of redemption through consultation, if additional time is required due to the performance of any public procedure such as appraisal and/or bidding, auction or listing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1440" w:right="0" w:hanging="0"/>
        <w:jc w:val="both"/>
        <w:rPr>
          <w:rFonts w:ascii="Times New Roman;Times;serif" w:hAnsi="Times New Roman;Times;serif"/>
          <w:sz w:val="20"/>
        </w:rPr>
      </w:pPr>
      <w:r>
        <w:rPr>
          <w:rFonts w:ascii="Times New Roman;Times;serif" w:hAnsi="Times New Roman;Times;serif"/>
          <w:sz w:val="20"/>
        </w:rPr>
        <w:t>in respect of the transfer of state-owned assets, or the performance of any mandatory procedures of announcement in respect of the reduction in registered capital in the Target Company.</w:t>
      </w:r>
    </w:p>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11.2.2</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If NIO Inc. and/or the NIO HK Holding Platforms fail to pay the Redemption Price and the overdue penalty in full within one hundred and twenty (120) days from the receipt of the notice of the Investors requesting to exercise the redemption right, the Investors shall have the right to transfer all or part of the equity interest in the Target Company held by it to any third party at any time, and all the then-current Shareholders, the Target Company and the Actual Controller of the Target Company shall cooperate with such transfer. Notwithstanding the foregoing, if NIO Inc. or the NIO HK Holding Platforms fail to comply with the provision in respect of the redemption right, and if the Investors intend to transfer the equity interest in / shares of the Target Company to any NIO Parties Competitor, the Investors shall give a prior notice to the NIO Parties and consult with the NIO Parties in respect of the same, and the NIO Parties shall have the right of first refusal under the same conditions.</w:t>
            </w:r>
          </w:p>
        </w:tc>
      </w:tr>
    </w:tbl>
    <w:p>
      <w:pPr>
        <w:pStyle w:val="TextBody"/>
        <w:bidi w:val="0"/>
        <w:spacing w:before="0" w:after="204"/>
        <w:ind w:left="1440" w:right="0" w:hanging="0"/>
        <w:jc w:val="both"/>
        <w:rPr>
          <w:rFonts w:ascii="Times New Roman;Times;serif" w:hAnsi="Times New Roman;Times;serif"/>
          <w:sz w:val="20"/>
        </w:rPr>
      </w:pPr>
      <w:r>
        <w:rPr>
          <w:rFonts w:ascii="Times New Roman;Times;serif" w:hAnsi="Times New Roman;Times;serif"/>
          <w:sz w:val="20"/>
        </w:rPr>
        <w:t>Under the circumstance that the NIO Parties elect not to exercise the right of first refusal or fail to notify the Investors in writing of its exercise of the right of first refusal within ten (10) days after the receipt of the notice, the Investors may transfer their equity interest in /shares of the Target Company to such NIO Parties Competitor under conditions no less than those for notifying the NIO Parties to exercise the right of first refusal. For the avoidance of doubt, unless expressly indicated by the Investors in writing, no negotiation or execution of any legal document by the Investors in respect of the transfer of equity interests / shares to any third party shall be deemed as a waiver of their rights of claiming obligations of the redemption in accordance with the provision of redemption right hereof against any entity who has the redemption obligations. If the price received by the Investors for the transfer of equity interest/shares in the Target Company to a third party under this clause is less than the Redemption Price and overdue penalty entitled to the Investors in accordance with Clause 11.2, NIO Inc. or the NIO HK Holding Platforms shall make up the shortfall in cash to the Investors within thirty (30) days from the date on which the Investors and the third party enter into relevant equity transfer agreement.</w:t>
      </w:r>
    </w:p>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11.2.3</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If NIO Inc. or the NIO HK Holding Platforms fail to pay the Redemption Price in full within one hundred and twenty (120) days from the receipt of the notice of the Investors requesting to exercise the redemption right, the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1440" w:right="0" w:hanging="0"/>
        <w:jc w:val="both"/>
        <w:rPr>
          <w:rFonts w:ascii="Times New Roman;Times;serif" w:hAnsi="Times New Roman;Times;serif"/>
          <w:sz w:val="20"/>
        </w:rPr>
      </w:pPr>
      <w:r>
        <w:rPr>
          <w:rFonts w:ascii="Times New Roman;Times;serif" w:hAnsi="Times New Roman;Times;serif"/>
          <w:sz w:val="20"/>
        </w:rPr>
        <w:t>Investors shall have the right to give a notice to the Target Company requesting the Target Company to assume joint and several liability with NIO Inc. or the NIO HK Holding Platforms in respect of the payment of the Redemption Price and overdue penalty under Clause 11 hereof, and the Target Company shall complete the payment within thirty (30) days after receipt of the notice as required.</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11.3</w:t>
            </w:r>
          </w:p>
        </w:tc>
        <w:tc>
          <w:tcPr>
            <w:tcW w:w="98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If, after the completion of this Transaction, the Investors intend to acquire more equity interests in/ shares of the Target Company by means of capital increase or transfer of equity interests/ shares, the Redemption Price of such further increased equity interests/ shares shall be agreed by the relevant parties through negotiations.</w:t>
            </w:r>
          </w:p>
        </w:tc>
      </w:tr>
    </w:tbl>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LIQUIDATION PREFERENCE</w:t>
      </w:r>
    </w:p>
    <w:tbl>
      <w:tblPr>
        <w:tblW w:w="3985" w:type="dxa"/>
        <w:jc w:val="left"/>
        <w:tblInd w:w="0" w:type="dxa"/>
        <w:tblLayout w:type="fixed"/>
        <w:tblCellMar>
          <w:top w:w="0" w:type="dxa"/>
          <w:left w:w="0" w:type="dxa"/>
          <w:bottom w:w="0" w:type="dxa"/>
          <w:right w:w="0" w:type="dxa"/>
        </w:tblCellMar>
      </w:tblPr>
      <w:tblGrid>
        <w:gridCol w:w="380"/>
        <w:gridCol w:w="360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12.1</w:t>
            </w:r>
          </w:p>
        </w:tc>
        <w:tc>
          <w:tcPr>
            <w:tcW w:w="360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Guaranteed Minimum Return on Investment</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If the Target Company is to be liquidated due to bankruptcy, reorganization, dissolution, merger, split-off, acquisition or any other reasons, after the Target Company has paid up expenses and costs in all kinds, all debts and taxes in accordance with Laws, the Target Company shall first distribute such Remaining Property to the Investors in cash (the “</w:t>
      </w:r>
      <w:r>
        <w:rPr>
          <w:rFonts w:ascii="Times New Roman;Times;serif" w:hAnsi="Times New Roman;Times;serif"/>
          <w:b/>
          <w:sz w:val="20"/>
        </w:rPr>
        <w:t>Remaining Property</w:t>
      </w:r>
      <w:r>
        <w:rPr>
          <w:rFonts w:ascii="Times New Roman;Times;serif" w:hAnsi="Times New Roman;Times;serif"/>
          <w:sz w:val="20"/>
        </w:rPr>
        <w:t>”), and the amount of the Remaining Property which shall be distributed first to the Investors shall be the higher of (the “</w:t>
      </w:r>
      <w:r>
        <w:rPr>
          <w:rFonts w:ascii="Times New Roman;Times;serif" w:hAnsi="Times New Roman;Times;serif"/>
          <w:b/>
          <w:sz w:val="20"/>
        </w:rPr>
        <w:t>Allocation Priority Amount</w:t>
      </w:r>
      <w:r>
        <w:rPr>
          <w:rFonts w:ascii="Times New Roman;Times;serif" w:hAnsi="Times New Roman;Times;serif"/>
          <w:sz w:val="20"/>
        </w:rPr>
        <w:t>”): (1) the amount of Remaining Property to be distributed to the Investors in proportion to their respective paid-in capital contribution to the Target Company; or (2) the sum of the total amount of the investment price paid by the Investors to the Target Company for the purpose of acquiring the equity interest in the Target Company plus an investment income for Each Transaction calculated at a corresponding compound interest rate (with respect to the compound interest rate, 8.5% is for Series A Investors; 7.5% is for Series B Investors) per annum on basis of the total amount of the investment price (the “</w:t>
      </w:r>
      <w:r>
        <w:rPr>
          <w:rFonts w:ascii="Times New Roman;Times;serif" w:hAnsi="Times New Roman;Times;serif"/>
          <w:b/>
          <w:sz w:val="20"/>
        </w:rPr>
        <w:t>Guaranteed Minimum Investment Return</w:t>
      </w:r>
      <w:r>
        <w:rPr>
          <w:rFonts w:ascii="Times New Roman;Times;serif" w:hAnsi="Times New Roman;Times;serif"/>
          <w:sz w:val="20"/>
        </w:rPr>
        <w:t>”). If the Remaining Property of the Target Company is not sufficient to be distributed among the Investors according to the Allocation Priority Amount of the Investors, the Target Company shall distribute the Remaining Property among the Investors in proportion to the Investors’ respective Allocation Priority Amounts.</w:t>
      </w:r>
    </w:p>
    <w:tbl>
      <w:tblPr>
        <w:tblW w:w="2755" w:type="dxa"/>
        <w:jc w:val="left"/>
        <w:tblInd w:w="0" w:type="dxa"/>
        <w:tblLayout w:type="fixed"/>
        <w:tblCellMar>
          <w:top w:w="0" w:type="dxa"/>
          <w:left w:w="0" w:type="dxa"/>
          <w:bottom w:w="0" w:type="dxa"/>
          <w:right w:w="0" w:type="dxa"/>
        </w:tblCellMar>
      </w:tblPr>
      <w:tblGrid>
        <w:gridCol w:w="380"/>
        <w:gridCol w:w="237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12.2</w:t>
            </w:r>
          </w:p>
        </w:tc>
        <w:tc>
          <w:tcPr>
            <w:tcW w:w="237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Audit of Remaining Property</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Parties unanimously agree that, in the event of the liquidation of the Target Company, an accounting firm recognized by the Parties shall be engaged to audit the balance sheet and property list prepared by the Target Company, and the book value of the Remaining Property shall be subject to the audit results of the auditor so appointed.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280" w:type="dxa"/>
        <w:jc w:val="left"/>
        <w:tblInd w:w="0" w:type="dxa"/>
        <w:tblLayout w:type="fixed"/>
        <w:tblCellMar>
          <w:top w:w="0" w:type="dxa"/>
          <w:left w:w="0" w:type="dxa"/>
          <w:bottom w:w="0" w:type="dxa"/>
          <w:right w:w="0" w:type="dxa"/>
        </w:tblCellMar>
      </w:tblPr>
      <w:tblGrid>
        <w:gridCol w:w="380"/>
        <w:gridCol w:w="290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12.3</w:t>
            </w:r>
          </w:p>
        </w:tc>
        <w:tc>
          <w:tcPr>
            <w:tcW w:w="290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Distribution of Remaining Property</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If the Investors have received the Allocation Priority Amount in full, the remaining property of the Target Company distributable to its Shareholders in accordance with the Laws shall be distributed to the other Shareholders of the Target Company in proportion to their respective shareholding percentages.</w:t>
      </w:r>
    </w:p>
    <w:tbl>
      <w:tblPr>
        <w:tblW w:w="3805" w:type="dxa"/>
        <w:jc w:val="left"/>
        <w:tblInd w:w="0" w:type="dxa"/>
        <w:tblLayout w:type="fixed"/>
        <w:tblCellMar>
          <w:top w:w="0" w:type="dxa"/>
          <w:left w:w="0" w:type="dxa"/>
          <w:bottom w:w="0" w:type="dxa"/>
          <w:right w:w="0" w:type="dxa"/>
        </w:tblCellMar>
      </w:tblPr>
      <w:tblGrid>
        <w:gridCol w:w="380"/>
        <w:gridCol w:w="342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12.4</w:t>
            </w:r>
          </w:p>
        </w:tc>
        <w:tc>
          <w:tcPr>
            <w:tcW w:w="342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Compensation of Insufficient Distribution</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If the Allocation Priority Amount received by the Investors in accordance with Clause 12.1 is less than the Guaranteed Minimum Investment Return, NIO Inc. and the NIO HK Holding Platforms shall compensate the Investors in cash with the amount they obtained in the liquidation. The amount of such compensation equals to the Guaranteed Minimum Investment Return minus the amount the Investors obtained in the liquidation. If the aggregate amounts obtained by NIO Inc. and the NIO HK Holding Platforms in the liquidation are not sufficient to make up the difference between the Guaranteed Minimum Investment Return and the amount the Investors obtained in the liquidation, the Investors shall be entitled to the amount which NIO Inc. and the NIO HK Holding Platforms should have obtained in the liquidation in proportion to the Investors' respective Allocation Priority Amount and in accordance with the order agreed in Clause 12.1.</w:t>
      </w:r>
    </w:p>
    <w:tbl>
      <w:tblPr>
        <w:tblW w:w="2605" w:type="dxa"/>
        <w:jc w:val="left"/>
        <w:tblInd w:w="0" w:type="dxa"/>
        <w:tblLayout w:type="fixed"/>
        <w:tblCellMar>
          <w:top w:w="0" w:type="dxa"/>
          <w:left w:w="0" w:type="dxa"/>
          <w:bottom w:w="0" w:type="dxa"/>
          <w:right w:w="0" w:type="dxa"/>
        </w:tblCellMar>
      </w:tblPr>
      <w:tblGrid>
        <w:gridCol w:w="380"/>
        <w:gridCol w:w="222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12.5</w:t>
            </w:r>
          </w:p>
        </w:tc>
        <w:tc>
          <w:tcPr>
            <w:tcW w:w="222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Deemed Liquidation Event</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Any of the following events shall be deemed as the liquidation of the Target Company (the “</w:t>
      </w:r>
      <w:r>
        <w:rPr>
          <w:rFonts w:ascii="Times New Roman;Times;serif" w:hAnsi="Times New Roman;Times;serif"/>
          <w:b/>
          <w:sz w:val="20"/>
        </w:rPr>
        <w:t>Deemed Liquidation Event</w:t>
      </w:r>
      <w:r>
        <w:rPr>
          <w:rFonts w:ascii="Times New Roman;Times;serif" w:hAnsi="Times New Roman;Times;serif"/>
          <w:sz w:val="20"/>
        </w:rPr>
        <w:t>”):</w:t>
      </w:r>
    </w:p>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12.5.1</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Any merger, split-off, acquisition, reorganization, equity transfer, share swap, capital and share increase or other similar one or a series of transactions of the Target Company, which may result in change of control of the Target Company (subject to a legal opinion issued by a law firm recognized by the NIO Parties and the Investors and affixed with the official seal of such firm);</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12.5.2</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Any sale, transfer, lease or disposal of all or substantially all of the business or assets of the Target Company (or a series of transactions that may result in sale, transfer, lease or disposal of all or substantially all of the business or assets of the Target Company); and</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12.5.3</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Exclusive and irrevocable license to a third Party all or substantially all of the intellectual property of the Target Company.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060" w:type="dxa"/>
        <w:jc w:val="left"/>
        <w:tblInd w:w="0" w:type="dxa"/>
        <w:tblLayout w:type="fixed"/>
        <w:tblCellMar>
          <w:top w:w="0" w:type="dxa"/>
          <w:left w:w="0" w:type="dxa"/>
          <w:bottom w:w="0" w:type="dxa"/>
          <w:right w:w="0" w:type="dxa"/>
        </w:tblCellMar>
      </w:tblPr>
      <w:tblGrid>
        <w:gridCol w:w="380"/>
        <w:gridCol w:w="368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12.6</w:t>
            </w:r>
          </w:p>
        </w:tc>
        <w:tc>
          <w:tcPr>
            <w:tcW w:w="368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Distributions in a Deemed Liquidation Event</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In case of a Deemed Liquidation Event, the Investors shall have the right to require the Target Company and/or all Shareholders of the Target Company to realize in substance the policies of distribution set forth in Clause 12.1 and Clause 12.3 hereof in a reasonable manner in accordance with Laws and Regulations, so as to ensure the priority liquidation right of the Investors or the distribution of the Guaranteed Minimum Investment Return. In the event that the total consideration received by the Investors in such Deemed Liquidation Events is not sufficient to realize the Guaranteed Minimum Investment Return of the Investors, NIO Inc. and the NIO HK Holding Platforms undertake to compensate separately the shortfall to the Investors in cash, and to assume joint and several liabilities for such compensation.</w:t>
      </w:r>
    </w:p>
    <w:tbl>
      <w:tblPr>
        <w:tblW w:w="3520" w:type="dxa"/>
        <w:jc w:val="left"/>
        <w:tblInd w:w="0" w:type="dxa"/>
        <w:tblLayout w:type="fixed"/>
        <w:tblCellMar>
          <w:top w:w="0" w:type="dxa"/>
          <w:left w:w="0" w:type="dxa"/>
          <w:bottom w:w="0" w:type="dxa"/>
          <w:right w:w="0" w:type="dxa"/>
        </w:tblCellMar>
      </w:tblPr>
      <w:tblGrid>
        <w:gridCol w:w="380"/>
        <w:gridCol w:w="314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12.7</w:t>
            </w:r>
          </w:p>
        </w:tc>
        <w:tc>
          <w:tcPr>
            <w:tcW w:w="314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Application of Conflicts of Agreement</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Notwithstanding the provisions of this Clause 12, upon occurrence of the events set forth in Clause 13, the Parties agree and acknowledge that the relevant transaction consideration shall be allocated in the manner described in Clause 13.</w:t>
      </w:r>
    </w:p>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DRAG-ALONG RIGHT</w:t>
      </w:r>
    </w:p>
    <w:tbl>
      <w:tblPr>
        <w:tblW w:w="2770" w:type="dxa"/>
        <w:jc w:val="left"/>
        <w:tblInd w:w="0" w:type="dxa"/>
        <w:tblLayout w:type="fixed"/>
        <w:tblCellMar>
          <w:top w:w="0" w:type="dxa"/>
          <w:left w:w="0" w:type="dxa"/>
          <w:bottom w:w="0" w:type="dxa"/>
          <w:right w:w="0" w:type="dxa"/>
        </w:tblCellMar>
      </w:tblPr>
      <w:tblGrid>
        <w:gridCol w:w="380"/>
        <w:gridCol w:w="239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13.1</w:t>
            </w:r>
          </w:p>
        </w:tc>
        <w:tc>
          <w:tcPr>
            <w:tcW w:w="239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Exercise of Drag-along Right</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If the Investors fail to exit through exercising the redemption right set forth in Clause 11 hereof due to any breach or other fault or negligence of the NIO Parties, and if the third party intends to purchase more than fifty percent (50%) of equity interest in the Target Company or all or substantially all/most of the assets or business of the Target Company (collectively, the “</w:t>
      </w:r>
      <w:r>
        <w:rPr>
          <w:rFonts w:ascii="Times New Roman;Times;serif" w:hAnsi="Times New Roman;Times;serif"/>
          <w:b/>
          <w:sz w:val="20"/>
        </w:rPr>
        <w:t>Co-Sale</w:t>
      </w:r>
      <w:r>
        <w:rPr>
          <w:rFonts w:ascii="Times New Roman;Times;serif" w:hAnsi="Times New Roman;Times;serif"/>
          <w:sz w:val="20"/>
        </w:rPr>
        <w:t>”), then the Investors that individually or in the aggregate hold more than two-thirds (2/3) of the then total equity interests held by all Investors (the “</w:t>
      </w:r>
      <w:r>
        <w:rPr>
          <w:rFonts w:ascii="Times New Roman;Times;serif" w:hAnsi="Times New Roman;Times;serif"/>
          <w:b/>
          <w:sz w:val="20"/>
        </w:rPr>
        <w:t>Drag-along Party</w:t>
      </w:r>
      <w:r>
        <w:rPr>
          <w:rFonts w:ascii="Times New Roman;Times;serif" w:hAnsi="Times New Roman;Times;serif"/>
          <w:sz w:val="20"/>
        </w:rPr>
        <w:t>”) shall have the right to give a written notice (the “</w:t>
      </w:r>
      <w:r>
        <w:rPr>
          <w:rFonts w:ascii="Times New Roman;Times;serif" w:hAnsi="Times New Roman;Times;serif"/>
          <w:b/>
          <w:sz w:val="20"/>
        </w:rPr>
        <w:t>Drag-along Notice</w:t>
      </w:r>
      <w:r>
        <w:rPr>
          <w:rFonts w:ascii="Times New Roman;Times;serif" w:hAnsi="Times New Roman;Times;serif"/>
          <w:sz w:val="20"/>
        </w:rPr>
        <w:t>”) to the NIO Parties, which shall specify the basic information of such third party, the number of equity interest or description of assets that they intend to purchase, the proposed purchase price and other material terms and conditions, and request the NIO Parties, together with the Drag-along Party, to sell to such third party the assets of the Target Company or equity interests in the Target Company respectively held by them at the same price and under the same conditions:</w:t>
      </w:r>
    </w:p>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13.1.1</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If a third party intends to purchase the equity interest in the Target Company, the NIO Parties shall have the right to decide and notify the Drag-along Party in writing within thirty (30) days after the receipt of the Drag-along Notice whether they elect to purchase all of the Target Company’s equity interests held by the Drag-along Party at the proposed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1440" w:right="0" w:hanging="0"/>
        <w:jc w:val="both"/>
        <w:rPr>
          <w:rFonts w:ascii="Times New Roman;Times;serif" w:hAnsi="Times New Roman;Times;serif"/>
          <w:sz w:val="20"/>
        </w:rPr>
      </w:pPr>
      <w:r>
        <w:rPr>
          <w:rFonts w:ascii="Times New Roman;Times;serif" w:hAnsi="Times New Roman;Times;serif"/>
          <w:sz w:val="20"/>
        </w:rPr>
        <w:t>purchase price and on other equivalent terms and conditions, and to deliver a written decision to the Drag-along Party. Such written decision shall constitute a contract between the NIO Parties and the Drag-along Party for the acquisition of all of the Drag-along Party’s equity interest in the Target Company. If, upon the expiration of the forgoing thirty (30)-day period, or if the NIO Parties reply in writing not to exercise their first refusal right, the Drag-along Party shall have the right to request the NIO Parties to sell, together with the Drag-along Party, their respective equity interest in the Target Company that such third party intends to purchase at the same price and under the same conditions (the “</w:t>
      </w:r>
      <w:r>
        <w:rPr>
          <w:rFonts w:ascii="Times New Roman;Times;serif" w:hAnsi="Times New Roman;Times;serif"/>
          <w:b/>
          <w:sz w:val="20"/>
        </w:rPr>
        <w:t>Drag-along Equity Interest Transaction</w:t>
      </w:r>
      <w:r>
        <w:rPr>
          <w:rFonts w:ascii="Times New Roman;Times;serif" w:hAnsi="Times New Roman;Times;serif"/>
          <w:sz w:val="20"/>
        </w:rPr>
        <w:t>”). If the consideration obtained by each Drag-along Party through the Drag-Along Equity Interest Transaction is less than the Redemption Price receivable by such Drag-along Party, all transaction consideration obtained by the NIO Parties through the Drag-along Equity Interest Transaction shall be distributed to each Drag-along Party in proportion to the Redemption Price receivable by such Drag-along Party in order to make up the shortfall.</w:t>
      </w:r>
    </w:p>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13.1.2</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If a third party intends to purchase the assets of the Target Company, the Drag-along Party shall have the right to request the Target Company to sell to such third party the assets of the Target Company that such third party intends to purchase at the proposed purchase price and on other terms and conditions (the “</w:t>
            </w:r>
            <w:r>
              <w:rPr>
                <w:rFonts w:ascii="Times New Roman;Times;serif" w:hAnsi="Times New Roman;Times;serif"/>
                <w:b/>
                <w:sz w:val="20"/>
              </w:rPr>
              <w:t>Drag-along Assets Transaction</w:t>
            </w:r>
            <w:r>
              <w:rPr>
                <w:rFonts w:ascii="Times New Roman;Times;serif" w:hAnsi="Times New Roman;Times;serif"/>
                <w:sz w:val="20"/>
              </w:rPr>
              <w:t>”, together with the Drag-along Equity Transaction, the “</w:t>
            </w:r>
            <w:r>
              <w:rPr>
                <w:rFonts w:ascii="Times New Roman;Times;serif" w:hAnsi="Times New Roman;Times;serif"/>
                <w:b/>
                <w:sz w:val="20"/>
              </w:rPr>
              <w:t>Drag-along Transaction</w:t>
            </w:r>
            <w:r>
              <w:rPr>
                <w:rFonts w:ascii="Times New Roman;Times;serif" w:hAnsi="Times New Roman;Times;serif"/>
                <w:sz w:val="20"/>
              </w:rPr>
              <w:t>”). After such third party has paid up the consideration for the Drag-along Assets Transaction in full to the Target Company, the Target Company shall redeem all equity interests held by each Drag-along Party in the Target Company. In consideration of such payment, the Target Company shall pay to each Drag-along Party with transaction consideration for the Drag-along Assets in proportion to the shareholding percentage on the basis of Redemption Price that each Drag-along Party shall receive. If the consideration received by each Drag-along Party through the Drag-along Asset Transaction is less than the Redemption Price receivable by such Drag-along Party, all transaction consideration obtained by the NIO Parties through the Drag-along Asset Transaction shall be distributed to each Drag-along Party in proportion to the Redemption Price receivable by such Drag-along Party so as to make up the shortfall.</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13.2</w:t>
            </w:r>
          </w:p>
        </w:tc>
        <w:tc>
          <w:tcPr>
            <w:tcW w:w="982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The NIO Parties shall use their best efforts to cooperate with the Drag-along Party to consummate the Drag-along Transaction, including without limitation, to vote in favor of such Drag-along Transaction at the Shareholders’ meeting and the Board meeting, to execute all necessary resolutions and documents at the request of the Drag-along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Party or take all reasonable actions as the Drag-along Party considers necessary, and to make representations and warranties customary for transactions to the third party in the relevant transaction documents in connection with the Drag-along Transaction.</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If the consideration obtained by the Investors through the above Drag-along Transaction is less than the Redemption Price, all transfer prices obtained through the Drag-along Transaction shall be distributed to the Investors in proportion to the respective Redemption Price to which the Investors shall be entitled.</w:t>
      </w:r>
    </w:p>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RESTRICTION ON EQUITY TRANSFER</w:t>
      </w:r>
    </w:p>
    <w:tbl>
      <w:tblPr>
        <w:tblW w:w="3100" w:type="dxa"/>
        <w:jc w:val="left"/>
        <w:tblInd w:w="0" w:type="dxa"/>
        <w:tblLayout w:type="fixed"/>
        <w:tblCellMar>
          <w:top w:w="0" w:type="dxa"/>
          <w:left w:w="0" w:type="dxa"/>
          <w:bottom w:w="0" w:type="dxa"/>
          <w:right w:w="0" w:type="dxa"/>
        </w:tblCellMar>
      </w:tblPr>
      <w:tblGrid>
        <w:gridCol w:w="380"/>
        <w:gridCol w:w="272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14.1</w:t>
            </w:r>
          </w:p>
        </w:tc>
        <w:tc>
          <w:tcPr>
            <w:tcW w:w="272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Consent Right to Equity Transfer</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Prior to the completion of the Qualified IPO of the Target Company, without prior written consent of the Investors or unless otherwise agreed in the Transaction Documents, the NIO Parties shall not, directly or indirectly, transfer, pledge or otherwise dispose the equity interests in / shares of the Target Company if such act may cause the total (direct and indirect) shareholding percentage of NIO Inc. in the Target Company to be decreased to less than sixty percent (60%). For the avoidance of doubt, provided that without prejudice to the foregoing, the NIO Parties have the right to transfer all or part of its equity interests in the Target Company to any of its affiliates without prior written consent of the Investors, and the Investors agree to waive their respective right of first refusal and co-sale right.</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Prior to the completion of the Qualified IPO of the Target Company, unless otherwise approved by the Board of Directors of the Target Company, the NIO Parties shall use their best efforts to cause the equity interests in the Target Company or shares of the management / employee shareholding platform directly or indirectly held by the Core Management Team, and the equity interests in the Target Company directly or indirectly held by the NIO HK Holding Platforms, not to be transferred or disposed of during such period prior to the completion of the Qualified IPO of the Target Company.</w:t>
      </w:r>
    </w:p>
    <w:tbl>
      <w:tblPr>
        <w:tblW w:w="3250" w:type="dxa"/>
        <w:jc w:val="left"/>
        <w:tblInd w:w="0" w:type="dxa"/>
        <w:tblLayout w:type="fixed"/>
        <w:tblCellMar>
          <w:top w:w="0" w:type="dxa"/>
          <w:left w:w="0" w:type="dxa"/>
          <w:bottom w:w="0" w:type="dxa"/>
          <w:right w:w="0" w:type="dxa"/>
        </w:tblCellMar>
      </w:tblPr>
      <w:tblGrid>
        <w:gridCol w:w="380"/>
        <w:gridCol w:w="287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14.2</w:t>
            </w:r>
          </w:p>
        </w:tc>
        <w:tc>
          <w:tcPr>
            <w:tcW w:w="287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Consent to Transaction Documents</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Unless otherwise provided in this Agreement or other Transaction Documents, on the date on which any new shareholder of the Target Company acquires the equity interests held by the Parties and becomes a shareholder of the Target Company in the future in accordance with the PRC Laws, such new shareholder shall execute a binding joinder agreement in the form set forth in the Exhibit I hereto (the “</w:t>
      </w:r>
      <w:r>
        <w:rPr>
          <w:rFonts w:ascii="Times New Roman;Times;serif" w:hAnsi="Times New Roman;Times;serif"/>
          <w:b/>
          <w:sz w:val="20"/>
        </w:rPr>
        <w:t>Joinder Agreement</w:t>
      </w:r>
      <w:r>
        <w:rPr>
          <w:rFonts w:ascii="Times New Roman;Times;serif" w:hAnsi="Times New Roman;Times;serif"/>
          <w:sz w:val="20"/>
        </w:rPr>
        <w:t>”) to become a party hereto, and shall acknowledge the arrangements under this Agreement and other Transaction Documents and consent to the restrictions imposed by this Agreement and other Transaction Documents.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EQUITY INCENTIVE</w:t>
      </w:r>
    </w:p>
    <w:tbl>
      <w:tblPr>
        <w:tblW w:w="2830" w:type="dxa"/>
        <w:jc w:val="left"/>
        <w:tblInd w:w="0" w:type="dxa"/>
        <w:tblLayout w:type="fixed"/>
        <w:tblCellMar>
          <w:top w:w="0" w:type="dxa"/>
          <w:left w:w="0" w:type="dxa"/>
          <w:bottom w:w="0" w:type="dxa"/>
          <w:right w:w="0" w:type="dxa"/>
        </w:tblCellMar>
      </w:tblPr>
      <w:tblGrid>
        <w:gridCol w:w="380"/>
        <w:gridCol w:w="245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15.1</w:t>
            </w:r>
          </w:p>
        </w:tc>
        <w:tc>
          <w:tcPr>
            <w:tcW w:w="245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Principles of Equity Incentive</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Investors encourage the Target Company to maintain the stability of its management team by adopting equity incentives, provided that unless with prior written consent of the Investors, the equity incentives carried out by the Target Company at any time shall satisfy the following requirements:</w:t>
      </w:r>
    </w:p>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15.1.1</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equity incentive plan shall not cause any material adverse effect on the Qualified IPO of the Target Company, including without limitation, that adoption of equity incentive plan shall not cause the number of direct or indirect shareholders of the Target Company (excluding the shareholders of NIO Inc.) to exceed 200, and shall not cause any instability in the shareholding structure of the Target Company.</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15.1.2</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equity incentive plan shall be subject to review and approval by the Board of Directors of the Target Company in accordance with Clause 6.1.2 hereof. The equity incentive plan shall include, without limitation, the equity incentive prices, shares for the equity incentive scheme, the scope of the eligible participants, and restrictions on transfer of the equity interests acquired by the participants through the equity incentive plan. Without the consent of the Investors, the equity of the Target Company obtained by the participants of the equity incentive scheme shall not be transferred prior to the completion of the Qualified IPO of the Target Company. For the avoidance of doubt, the NIO Parties warrant that the aforesaid equity incentive plan will not cause the shareholding ratio of NIO Inc. in the Target Company (in the aggregate directly and indirectly) to be decreased to less than sixty percent (60%).</w:t>
            </w:r>
          </w:p>
        </w:tc>
      </w:tr>
    </w:tbl>
    <w:tbl>
      <w:tblPr>
        <w:tblW w:w="2665" w:type="dxa"/>
        <w:jc w:val="left"/>
        <w:tblInd w:w="0" w:type="dxa"/>
        <w:tblLayout w:type="fixed"/>
        <w:tblCellMar>
          <w:top w:w="0" w:type="dxa"/>
          <w:left w:w="0" w:type="dxa"/>
          <w:bottom w:w="0" w:type="dxa"/>
          <w:right w:w="0" w:type="dxa"/>
        </w:tblCellMar>
      </w:tblPr>
      <w:tblGrid>
        <w:gridCol w:w="380"/>
        <w:gridCol w:w="228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15.2</w:t>
            </w:r>
          </w:p>
        </w:tc>
        <w:tc>
          <w:tcPr>
            <w:tcW w:w="228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Method of Equity Incentive</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Subject to Clause 15.1 hereof, if equity incentives are realized through transfer of equity interests from one or more existing Shareholder(s) of the Target company to the equity incentive participants or the employee stock ownership platform, the transfer price shall be not lower than the audited net asset value per share of the Target Company as of the end of the then most recent period and shall satisfy the relevant provisions of the CSRC and the applicable stock exchange. If the Target Company intends to realize the equity incentives by issuing new shares to the equity incentive participant or on the employee shareholding platform, the new shares to be issued by the Target Company for the purpose of equity incentives shall not exceed ten percent (10%) of the audited registered capital / share capital of the Target Company after the Execution Date hereof, and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capital increase price shall be not lower than the net asset value per share of the Target Company as of the end of the then most recent period and shall satisfy the relevant regulations of the CSRC.</w:t>
      </w:r>
    </w:p>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INFORMATION RIGHTS AND INSECTION RIGHTS</w:t>
      </w:r>
    </w:p>
    <w:tbl>
      <w:tblPr>
        <w:tblW w:w="2185" w:type="dxa"/>
        <w:jc w:val="left"/>
        <w:tblInd w:w="0" w:type="dxa"/>
        <w:tblLayout w:type="fixed"/>
        <w:tblCellMar>
          <w:top w:w="0" w:type="dxa"/>
          <w:left w:w="0" w:type="dxa"/>
          <w:bottom w:w="0" w:type="dxa"/>
          <w:right w:w="0" w:type="dxa"/>
        </w:tblCellMar>
      </w:tblPr>
      <w:tblGrid>
        <w:gridCol w:w="380"/>
        <w:gridCol w:w="180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16.1</w:t>
            </w:r>
          </w:p>
        </w:tc>
        <w:tc>
          <w:tcPr>
            <w:tcW w:w="180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Information Provision</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16.1.1</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As long as the Investors hold equity interests in the Target Company, the Target Company shall, and the NIO Parties shall cause the Target Company to, deliver the following documents in connection with the Target Company in accordance with the requirements of the Investors:</w:t>
            </w:r>
          </w:p>
        </w:tc>
      </w:tr>
    </w:tbl>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w:t>
            </w:r>
          </w:p>
        </w:tc>
        <w:tc>
          <w:tcPr>
            <w:tcW w:w="9971"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Within one hundred and twenty (120) days after the end of each fiscal year, submit to the Investors an annual consolidated audit report which has been prepared by a PRC accounting firm recognized by the Investors in accordance with the PRC accounting standards;</w:t>
            </w:r>
          </w:p>
        </w:tc>
      </w:tr>
    </w:tbl>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w:t>
            </w:r>
          </w:p>
        </w:tc>
        <w:tc>
          <w:tcPr>
            <w:tcW w:w="996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Within ninety (90) days after the end of each quarter, submit to the Investors an unaudited quarterly financial statement of the Company prepared in accordance with the PRC accounting standards;</w:t>
            </w:r>
          </w:p>
        </w:tc>
      </w:tr>
    </w:tbl>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(3)</w:t>
            </w:r>
          </w:p>
        </w:tc>
        <w:tc>
          <w:tcPr>
            <w:tcW w:w="9977"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Other information, statistical data, transaction, business operation and financial data as may be required to which the Shareholders are entitled in accordance with the Laws and Regulations of the PRC, subject to a reasonable request in advance in a manner without any interference to the normal operation of the Target Company.</w:t>
            </w:r>
          </w:p>
        </w:tc>
      </w:tr>
    </w:tbl>
    <w:p>
      <w:pPr>
        <w:pStyle w:val="TextBody"/>
        <w:bidi w:val="0"/>
        <w:spacing w:before="0" w:after="204"/>
        <w:ind w:left="1440" w:right="0" w:hanging="0"/>
        <w:jc w:val="both"/>
        <w:rPr>
          <w:rFonts w:ascii="Times New Roman;Times;serif" w:hAnsi="Times New Roman;Times;serif"/>
          <w:sz w:val="20"/>
        </w:rPr>
      </w:pPr>
      <w:r>
        <w:rPr>
          <w:rFonts w:ascii="Times New Roman;Times;serif" w:hAnsi="Times New Roman;Times;serif"/>
          <w:sz w:val="20"/>
        </w:rPr>
        <w:t>Notwithstanding the foregoing, the provision of the above information by the Target Company and the receipt by the Investors of the above information shall not cause the Target Company and other Group Members to violate any applicable Laws, Regulations or regulatory rules.</w:t>
      </w:r>
    </w:p>
    <w:tbl>
      <w:tblPr>
        <w:tblW w:w="5035" w:type="dxa"/>
        <w:jc w:val="left"/>
        <w:tblInd w:w="0" w:type="dxa"/>
        <w:tblLayout w:type="fixed"/>
        <w:tblCellMar>
          <w:top w:w="0" w:type="dxa"/>
          <w:left w:w="0" w:type="dxa"/>
          <w:bottom w:w="0" w:type="dxa"/>
          <w:right w:w="0" w:type="dxa"/>
        </w:tblCellMar>
      </w:tblPr>
      <w:tblGrid>
        <w:gridCol w:w="380"/>
        <w:gridCol w:w="465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16.2</w:t>
            </w:r>
          </w:p>
        </w:tc>
        <w:tc>
          <w:tcPr>
            <w:tcW w:w="465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Authenticity, Accuracy and Completeness of Information</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legal representative of the Target Company shall verify and confirm that all the information provided to the Shareholders is true and correct and does not have any misleading effect. The financial statements provided by the Target Company to the Investors shall cover the consolidated financial statements of the Target Company and its subsidiaries, and shall have at least the current profit and loss statement, cash flow statement and balance sheet.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865" w:type="dxa"/>
        <w:jc w:val="left"/>
        <w:tblInd w:w="0" w:type="dxa"/>
        <w:tblLayout w:type="fixed"/>
        <w:tblCellMar>
          <w:top w:w="0" w:type="dxa"/>
          <w:left w:w="0" w:type="dxa"/>
          <w:bottom w:w="0" w:type="dxa"/>
          <w:right w:w="0" w:type="dxa"/>
        </w:tblCellMar>
      </w:tblPr>
      <w:tblGrid>
        <w:gridCol w:w="380"/>
        <w:gridCol w:w="348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16.3</w:t>
            </w:r>
          </w:p>
        </w:tc>
        <w:tc>
          <w:tcPr>
            <w:tcW w:w="348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Provision of Equity Financing Information</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Upon request of the Investors, the Target Company shall promptly provide the Investors with the latest version of the Investment Agreement, documents relevant to the Subsequent Financing, management of the Target Company and other matters, including the articles of association signed and sealed by the Parties and filed with competent Governmental Authority.</w:t>
      </w:r>
    </w:p>
    <w:tbl>
      <w:tblPr>
        <w:tblW w:w="3490" w:type="dxa"/>
        <w:jc w:val="left"/>
        <w:tblInd w:w="0" w:type="dxa"/>
        <w:tblLayout w:type="fixed"/>
        <w:tblCellMar>
          <w:top w:w="0" w:type="dxa"/>
          <w:left w:w="0" w:type="dxa"/>
          <w:bottom w:w="0" w:type="dxa"/>
          <w:right w:w="0" w:type="dxa"/>
        </w:tblCellMar>
      </w:tblPr>
      <w:tblGrid>
        <w:gridCol w:w="380"/>
        <w:gridCol w:w="311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16.4</w:t>
            </w:r>
          </w:p>
        </w:tc>
        <w:tc>
          <w:tcPr>
            <w:tcW w:w="311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Collection of Accounting Information</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During the working hours, the Investors may inspect, in a reasonable way, the properties, real properties, financial books, operation records and other materials that Shareholders have the right to access provided by Laws of the Target Company and discuss the business, finance and conditions of the Target Company with its officers, provided that the Investors give a prior notice and do not interfere the normal business of the Target Company. The Investors shall have the right to make proposals to the Senior Officers of the Company through the directors nominated by them.</w:t>
      </w:r>
    </w:p>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RIGHT TO PARTICIPATE IN RESTRUCTURING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After the Investors become the Shareholders of the Target Company, if the Target Company and its directly or indirectly controlled enterprises undertakes any restructuring (the “</w:t>
      </w:r>
      <w:r>
        <w:rPr>
          <w:rFonts w:ascii="Times New Roman;Times;serif" w:hAnsi="Times New Roman;Times;serif"/>
          <w:b/>
          <w:sz w:val="20"/>
        </w:rPr>
        <w:t>Restructuring</w:t>
      </w:r>
      <w:r>
        <w:rPr>
          <w:rFonts w:ascii="Times New Roman;Times;serif" w:hAnsi="Times New Roman;Times;serif"/>
          <w:sz w:val="20"/>
        </w:rPr>
        <w:t>”) and the NIO Parties intend to change the listing company from the Target Company to another platform company (the “</w:t>
      </w:r>
      <w:r>
        <w:rPr>
          <w:rFonts w:ascii="Times New Roman;Times;serif" w:hAnsi="Times New Roman;Times;serif"/>
          <w:b/>
          <w:sz w:val="20"/>
        </w:rPr>
        <w:t>Platform</w:t>
      </w:r>
      <w:r>
        <w:rPr>
          <w:rFonts w:ascii="Times New Roman;Times;serif" w:hAnsi="Times New Roman;Times;serif"/>
          <w:sz w:val="20"/>
        </w:rPr>
        <w:t>”) after the completion of the Restructuring, the plan of the aforesaid Restructuring shall be subject to the written consent of the Investors (for the avoidance of doubt, this provision shall not apply to any Restructuring carried out for the purpose of the separate listing of the enterprises directly or indirectly controlled by the Target Company after the Qualified IPO of the Target Company). The Investors shall have the right to participate in such Restructuring, and to replace their directly or indirectly held equity interests in the Target Company with the equity interests in such Platform to ensure that the Investors will continue to hold the same interests as those in the Target Company and its directly or indirectly controlled enterprises prior to the Restructuring.</w:t>
      </w:r>
    </w:p>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18</w:t>
      </w:r>
      <w:r>
        <w:rPr>
          <w:rFonts w:ascii="Times New Roman;Times;serif" w:hAnsi="Times New Roman;Times;serif"/>
          <w:b/>
          <w:sz w:val="20"/>
        </w:rPr>
        <w:t>UNDERTAKINGS AND CONVANTS</w:t>
      </w:r>
    </w:p>
    <w:p>
      <w:pPr>
        <w:pStyle w:val="TextBody"/>
        <w:bidi w:val="0"/>
        <w:spacing w:before="0" w:after="204"/>
        <w:ind w:left="0" w:right="0" w:hanging="0"/>
        <w:jc w:val="both"/>
        <w:rPr>
          <w:rFonts w:ascii="Times New Roman;Times;serif" w:hAnsi="Times New Roman;Times;serif"/>
          <w:sz w:val="20"/>
        </w:rPr>
      </w:pPr>
      <w:r>
        <w:rPr>
          <w:rFonts w:ascii="Times New Roman;Times;serif" w:hAnsi="Times New Roman;Times;serif"/>
          <w:sz w:val="20"/>
        </w:rPr>
        <w:t>The NIO Parties and the Target Company hereby respectively covenant and warrant to the Investors as follows:</w:t>
      </w:r>
    </w:p>
    <w:tbl>
      <w:tblPr>
        <w:tblW w:w="2785" w:type="dxa"/>
        <w:jc w:val="left"/>
        <w:tblInd w:w="0" w:type="dxa"/>
        <w:tblLayout w:type="fixed"/>
        <w:tblCellMar>
          <w:top w:w="0" w:type="dxa"/>
          <w:left w:w="0" w:type="dxa"/>
          <w:bottom w:w="0" w:type="dxa"/>
          <w:right w:w="0" w:type="dxa"/>
        </w:tblCellMar>
      </w:tblPr>
      <w:tblGrid>
        <w:gridCol w:w="380"/>
        <w:gridCol w:w="240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18.1</w:t>
            </w:r>
          </w:p>
        </w:tc>
        <w:tc>
          <w:tcPr>
            <w:tcW w:w="240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Non-mandatory Commitment</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Target Company and the NIO Parties covenant that the Investors shall not make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any covenant in relation to the listing of the Target Company that is not expressly required by the Laws and Regulations, and neither shall they take any obligation in relation to the listing of the Target Company that is not expressly required by the Laws and Regulations; in particular, the Investors shall not make any covenant in respect of the performance or profits of the Target Company due to the listing of the Target Company.</w:t>
      </w:r>
    </w:p>
    <w:tbl>
      <w:tblPr>
        <w:tblW w:w="2350" w:type="dxa"/>
        <w:jc w:val="left"/>
        <w:tblInd w:w="0" w:type="dxa"/>
        <w:tblLayout w:type="fixed"/>
        <w:tblCellMar>
          <w:top w:w="0" w:type="dxa"/>
          <w:left w:w="0" w:type="dxa"/>
          <w:bottom w:w="0" w:type="dxa"/>
          <w:right w:w="0" w:type="dxa"/>
        </w:tblCellMar>
      </w:tblPr>
      <w:tblGrid>
        <w:gridCol w:w="380"/>
        <w:gridCol w:w="197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18.2</w:t>
            </w:r>
          </w:p>
        </w:tc>
        <w:tc>
          <w:tcPr>
            <w:tcW w:w="197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Cooperation Obligation</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In the event that the Investment Agreement and/or this Agreement does not specify any party or parties of the Target Company or the NIO Parties as the subject of obligations in respect of a certain act, right or obligation of the Investors, the Target Company or the NIO Parties undertake to make the best reasonable efforts to cooperate.</w:t>
      </w:r>
    </w:p>
    <w:tbl>
      <w:tblPr>
        <w:tblW w:w="2815" w:type="dxa"/>
        <w:jc w:val="left"/>
        <w:tblInd w:w="0" w:type="dxa"/>
        <w:tblLayout w:type="fixed"/>
        <w:tblCellMar>
          <w:top w:w="0" w:type="dxa"/>
          <w:left w:w="0" w:type="dxa"/>
          <w:bottom w:w="0" w:type="dxa"/>
          <w:right w:w="0" w:type="dxa"/>
        </w:tblCellMar>
      </w:tblPr>
      <w:tblGrid>
        <w:gridCol w:w="380"/>
        <w:gridCol w:w="243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18.3</w:t>
            </w:r>
          </w:p>
        </w:tc>
        <w:tc>
          <w:tcPr>
            <w:tcW w:w="243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Indemnification Commitment</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Each of the Target Company or the NIO Parties shall perform this Agreement and other Transaction Documents in good faith, and if any party or parties of the Target Company or the NIO Parties violate any provision of this Agreement or other Transaction Documents, such Party or Parties shall be held liable for any damages that may be caused to the Investors, and the other Parties except for the Investors shall assume the joint and several liabilities with respect to such damages.</w:t>
      </w:r>
    </w:p>
    <w:tbl>
      <w:tblPr>
        <w:tblW w:w="1840" w:type="dxa"/>
        <w:jc w:val="left"/>
        <w:tblInd w:w="0" w:type="dxa"/>
        <w:tblLayout w:type="fixed"/>
        <w:tblCellMar>
          <w:top w:w="0" w:type="dxa"/>
          <w:left w:w="0" w:type="dxa"/>
          <w:bottom w:w="0" w:type="dxa"/>
          <w:right w:w="0" w:type="dxa"/>
        </w:tblCellMar>
      </w:tblPr>
      <w:tblGrid>
        <w:gridCol w:w="380"/>
        <w:gridCol w:w="146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18.4</w:t>
            </w:r>
          </w:p>
        </w:tc>
        <w:tc>
          <w:tcPr>
            <w:tcW w:w="146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Non-Competition</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Controlling Shareholders undertake that unless otherwise agreed by the Investors in writing in advance, the Controlling Shareholders shall, and shall cause the Actual Controller to, devote sufficient working time and energy to the operation of the Target Company, and use best efforts to promote the development of the Target Company and seek profits for the Target Company, and not to take any part-time job or invest in any other company with the same or similar business type as the Main Business of Target Company, and to strictly comply with the relevant provisions of the Company Law of the PRC on non-competition of directors and senior management; from the closing date of the Series A Transaction until the expiration of two (2) years from the date on which the Actual Controller ceases to hold neither any direct or indirect interest in the Target Company nor any position in the Target Company, without the prior written consent of the Investors, the Controlling Shareholders shall not, and shall cause the Actual Controller not to, directly or indirectly engage in any business similar to or competing with the Main Business of the Target Company (the “</w:t>
      </w:r>
      <w:r>
        <w:rPr>
          <w:rFonts w:ascii="Times New Roman;Times;serif" w:hAnsi="Times New Roman;Times;serif"/>
          <w:b/>
          <w:sz w:val="20"/>
        </w:rPr>
        <w:t>Competing Business</w:t>
      </w:r>
      <w:r>
        <w:rPr>
          <w:rFonts w:ascii="Times New Roman;Times;serif" w:hAnsi="Times New Roman;Times;serif"/>
          <w:sz w:val="20"/>
        </w:rPr>
        <w:t>”), or directly or indirectly hold any interest in any entity that engages in a Competing Business with the Target Company or its subsidiaries (the “</w:t>
      </w:r>
      <w:r>
        <w:rPr>
          <w:rFonts w:ascii="Times New Roman;Times;serif" w:hAnsi="Times New Roman;Times;serif"/>
          <w:b/>
          <w:sz w:val="20"/>
        </w:rPr>
        <w:t>Competing Entity</w:t>
      </w:r>
      <w:r>
        <w:rPr>
          <w:rFonts w:ascii="Times New Roman;Times;serif" w:hAnsi="Times New Roman;Times;serif"/>
          <w:sz w:val="20"/>
        </w:rPr>
        <w:t>”), or engage in any activity detrimental to the interests of the Target Company, including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without limitation:</w:t>
      </w:r>
    </w:p>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18.4.1</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To have a controlling stake in, or indirectly control, any Competing Entity, or hold more than 5% of the equity interests in any Competing Entity (for the avoidance of doubt, the following circumstances are not in violation of the non-competition provisions in this Clause 18.4: (i) to hold less than 5% of the equity interests in any Competing Entity; (ii) without affecting the Qualified IPO of the Target Company, to hold interests in any overseas Competing Entity, provided the products of such overseas Competing Entity are not sold to the mainland of China; and (iii) as set forth in Exhibit III, the Actual Controller has directly or indirectly held interests in the Competing Entity as of the execution date of the Shareholders Agreement; for the avoidance of doubt, Exhibit III may be updated from time to time by the Controlling Shareholders with the consent of the Investors);</w:t>
            </w:r>
          </w:p>
        </w:tc>
      </w:tr>
    </w:tbl>
    <w:tbl>
      <w:tblPr>
        <w:tblW w:w="9318" w:type="dxa"/>
        <w:jc w:val="left"/>
        <w:tblInd w:w="0" w:type="dxa"/>
        <w:tblLayout w:type="fixed"/>
        <w:tblCellMar>
          <w:top w:w="0" w:type="dxa"/>
          <w:left w:w="0" w:type="dxa"/>
          <w:bottom w:w="0" w:type="dxa"/>
          <w:right w:w="0" w:type="dxa"/>
        </w:tblCellMar>
      </w:tblPr>
      <w:tblGrid>
        <w:gridCol w:w="23"/>
        <w:gridCol w:w="530"/>
        <w:gridCol w:w="8765"/>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18.4.2</w:t>
            </w:r>
          </w:p>
        </w:tc>
        <w:tc>
          <w:tcPr>
            <w:tcW w:w="876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To provide any loan, customer information, advice or any other form of assistance to any Competing Entity;</w:t>
            </w:r>
          </w:p>
        </w:tc>
      </w:tr>
    </w:tbl>
    <w:tbl>
      <w:tblPr>
        <w:tblW w:w="8403" w:type="dxa"/>
        <w:jc w:val="left"/>
        <w:tblInd w:w="0" w:type="dxa"/>
        <w:tblLayout w:type="fixed"/>
        <w:tblCellMar>
          <w:top w:w="0" w:type="dxa"/>
          <w:left w:w="0" w:type="dxa"/>
          <w:bottom w:w="0" w:type="dxa"/>
          <w:right w:w="0" w:type="dxa"/>
        </w:tblCellMar>
      </w:tblPr>
      <w:tblGrid>
        <w:gridCol w:w="23"/>
        <w:gridCol w:w="530"/>
        <w:gridCol w:w="7850"/>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18.4.3</w:t>
            </w:r>
          </w:p>
        </w:tc>
        <w:tc>
          <w:tcPr>
            <w:tcW w:w="785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To directly or indirectly obtain benefits from any Competing Business or any Competing Entity;</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18.4.4</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To solicit, in any manner, customers relating to any business of the Target Company or its subsidiaries, or to deal with or attempt to deal with customers relating to the Main Business of the Target Company or its subsidiaries, regardless of whether such customers are customers of the Target Company or its subsidiaries prior to or after the closing date of the Series A Transaction;</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18.4.5</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To employ any member of the Core Management Team who resigns from the Target Company or its subsidiaries as of the closing date of the Series A Transaction in any manner through any individual or organization which is directly or indirectly controlled by them or in which they have an interest; and</w:t>
            </w:r>
          </w:p>
        </w:tc>
      </w:tr>
    </w:tbl>
    <w:tbl>
      <w:tblPr>
        <w:tblW w:w="10128" w:type="dxa"/>
        <w:jc w:val="left"/>
        <w:tblInd w:w="0" w:type="dxa"/>
        <w:tblLayout w:type="fixed"/>
        <w:tblCellMar>
          <w:top w:w="0" w:type="dxa"/>
          <w:left w:w="0" w:type="dxa"/>
          <w:bottom w:w="0" w:type="dxa"/>
          <w:right w:w="0" w:type="dxa"/>
        </w:tblCellMar>
      </w:tblPr>
      <w:tblGrid>
        <w:gridCol w:w="23"/>
        <w:gridCol w:w="530"/>
        <w:gridCol w:w="9575"/>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18.4.6</w:t>
            </w:r>
          </w:p>
        </w:tc>
        <w:tc>
          <w:tcPr>
            <w:tcW w:w="957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To solicit, in any manner, the employment of any employee then employed by the Target Company or its subsidiaries.</w:t>
            </w:r>
          </w:p>
        </w:tc>
      </w:tr>
    </w:tbl>
    <w:tbl>
      <w:tblPr>
        <w:tblW w:w="1510" w:type="dxa"/>
        <w:jc w:val="left"/>
        <w:tblInd w:w="0" w:type="dxa"/>
        <w:tblLayout w:type="fixed"/>
        <w:tblCellMar>
          <w:top w:w="0" w:type="dxa"/>
          <w:left w:w="0" w:type="dxa"/>
          <w:bottom w:w="0" w:type="dxa"/>
          <w:right w:w="0" w:type="dxa"/>
        </w:tblCellMar>
      </w:tblPr>
      <w:tblGrid>
        <w:gridCol w:w="380"/>
        <w:gridCol w:w="113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18.5</w:t>
            </w:r>
          </w:p>
        </w:tc>
        <w:tc>
          <w:tcPr>
            <w:tcW w:w="113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Qualified IPO</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18.5.1</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Target Company shall complete the direct or indirect listing on the Shanghai Stock Exchange, the Shenzhen Stock Exchange or other overseas securities issuance approval authorities approved by the Parties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1440" w:right="0" w:hanging="0"/>
        <w:jc w:val="both"/>
        <w:rPr>
          <w:rFonts w:ascii="Times New Roman;Times;serif" w:hAnsi="Times New Roman;Times;serif"/>
          <w:sz w:val="20"/>
        </w:rPr>
      </w:pPr>
      <w:r>
        <w:rPr>
          <w:rFonts w:ascii="Times New Roman;Times;serif" w:hAnsi="Times New Roman;Times;serif"/>
          <w:sz w:val="20"/>
        </w:rPr>
        <w:t>by means of initial public offering or material assets restructuring with a listed company prior to December 31, 2028.</w:t>
      </w:r>
    </w:p>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18.5.2</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All the Shareholders shall proactively take reasonable efforts, cooperate with the Target Company to take all necessary actions (including but not limited to cooperate with the Target Company in clearing any material obstacle to the Qualified IPO) and cooperate with the application for the Qualified IPO in accordance with the then effective Laws and regulatory policies of listing.</w:t>
            </w:r>
          </w:p>
        </w:tc>
      </w:tr>
    </w:tbl>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19</w:t>
      </w:r>
      <w:r>
        <w:rPr>
          <w:rFonts w:ascii="Times New Roman;Times;serif" w:hAnsi="Times New Roman;Times;serif"/>
          <w:b/>
          <w:sz w:val="20"/>
        </w:rPr>
        <w:t>CORPORATE GOVERNANCE</w:t>
      </w:r>
    </w:p>
    <w:tbl>
      <w:tblPr>
        <w:tblW w:w="2245" w:type="dxa"/>
        <w:jc w:val="left"/>
        <w:tblInd w:w="0" w:type="dxa"/>
        <w:tblLayout w:type="fixed"/>
        <w:tblCellMar>
          <w:top w:w="0" w:type="dxa"/>
          <w:left w:w="0" w:type="dxa"/>
          <w:bottom w:w="0" w:type="dxa"/>
          <w:right w:w="0" w:type="dxa"/>
        </w:tblCellMar>
      </w:tblPr>
      <w:tblGrid>
        <w:gridCol w:w="380"/>
        <w:gridCol w:w="186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19.1</w:t>
            </w:r>
          </w:p>
        </w:tc>
        <w:tc>
          <w:tcPr>
            <w:tcW w:w="186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Shareholders’ Meeting</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19.1.1</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Shareholders’ meeting of the Target Company shall be attended by all Shareholders and shall be the highest authority of the Target Company.</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19.1.2</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Shareholders’ meetings are composed of regular meetings and extraordinary meetings. The regular Shareholders’ meetings shall be convened at least once a year. An extraordinary Shareholders’ Meeting shall be convened if so proposed by the Shareholders representing more than one-tenth (1/10) of the voting rights, or more than one-third (1/3) of the directors, or the Board of Supervisors.</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19.1.3</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Shareholders’ meeting shall be convened by the Board of Directors and chaired by the chairman; where the chairman is unable or fails to perform his/her duties, the Shareholders’ meeting shall be chaired by a director appointed by more than half of the Board of Directors. If the Board of Directors is unable or fails to convene the Shareholders’ meeting, the meeting shall be convened and presided over by the Board of Supervisors. If the Board of Supervisors fails to convene and preside over the Shareholders’ meeting, the Shareholders representing more than one-tenth (1/10) of the voting rights may convene and preside over such meeting. A notice of the Shareholders’ meeting shall be given to all Shareholders at least fifteen (15) days before the convening of such meeting, unless all Shareholders agree to waive such noticing period.</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19.1.4</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Shareholders’ meeting shall maintain complete and correct minutes of its meetings including copies of all meeting notices. The minutes of the Shareholders’ meeting and the resolutions adopted by the Shareholders’ meeting shall be recorded by a secretary for a meeting designated by the Shareholders’ meeting and shall be circulated among all of the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1440" w:right="0" w:hanging="0"/>
        <w:jc w:val="both"/>
        <w:rPr>
          <w:rFonts w:ascii="Times New Roman;Times;serif" w:hAnsi="Times New Roman;Times;serif"/>
          <w:sz w:val="20"/>
        </w:rPr>
      </w:pPr>
      <w:r>
        <w:rPr>
          <w:rFonts w:ascii="Times New Roman;Times;serif" w:hAnsi="Times New Roman;Times;serif"/>
          <w:sz w:val="20"/>
        </w:rPr>
        <w:t>shareholders within ten (10) days after the close of each meeting. All resolutions of the Shareholders’ meeting shall be signed by all voting Shareholders, and minutes of the Shareholders’ meeting shall be filed by the secretary and kept in the Shareholders’ meeting minutes book of the Target Company.</w:t>
      </w:r>
    </w:p>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19.1.5</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Resolutions of the Shareholders’ meeting may be adopted by written resolution by the Shareholders, provided that such a resolution is sent to each Shareholder.</w:t>
            </w:r>
          </w:p>
        </w:tc>
      </w:tr>
    </w:tbl>
    <w:tbl>
      <w:tblPr>
        <w:tblW w:w="1885" w:type="dxa"/>
        <w:jc w:val="left"/>
        <w:tblInd w:w="0" w:type="dxa"/>
        <w:tblLayout w:type="fixed"/>
        <w:tblCellMar>
          <w:top w:w="0" w:type="dxa"/>
          <w:left w:w="0" w:type="dxa"/>
          <w:bottom w:w="0" w:type="dxa"/>
          <w:right w:w="0" w:type="dxa"/>
        </w:tblCellMar>
      </w:tblPr>
      <w:tblGrid>
        <w:gridCol w:w="380"/>
        <w:gridCol w:w="150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19.2</w:t>
            </w:r>
          </w:p>
        </w:tc>
        <w:tc>
          <w:tcPr>
            <w:tcW w:w="150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Board of Directors</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19.2.1</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Parties unanimously agree that the board of directors (the “</w:t>
            </w:r>
            <w:r>
              <w:rPr>
                <w:rFonts w:ascii="Times New Roman;Times;serif" w:hAnsi="Times New Roman;Times;serif"/>
                <w:b/>
                <w:sz w:val="20"/>
              </w:rPr>
              <w:t>Board of Directors</w:t>
            </w:r>
            <w:r>
              <w:rPr>
                <w:rFonts w:ascii="Times New Roman;Times;serif" w:hAnsi="Times New Roman;Times;serif"/>
                <w:sz w:val="20"/>
              </w:rPr>
              <w:t>” or “</w:t>
            </w:r>
            <w:r>
              <w:rPr>
                <w:rFonts w:ascii="Times New Roman;Times;serif" w:hAnsi="Times New Roman;Times;serif"/>
                <w:b/>
                <w:sz w:val="20"/>
              </w:rPr>
              <w:t>Board</w:t>
            </w:r>
            <w:r>
              <w:rPr>
                <w:rFonts w:ascii="Times New Roman;Times;serif" w:hAnsi="Times New Roman;Times;serif"/>
                <w:sz w:val="20"/>
              </w:rPr>
              <w:t>”) of the Target Company shall consist of seven (7) directors; the Investors shall be entitled to jointly nominate two (2) directors (the “</w:t>
            </w:r>
            <w:r>
              <w:rPr>
                <w:rFonts w:ascii="Times New Roman;Times;serif" w:hAnsi="Times New Roman;Times;serif"/>
                <w:b/>
                <w:sz w:val="20"/>
              </w:rPr>
              <w:t>Investor Directors</w:t>
            </w:r>
            <w:r>
              <w:rPr>
                <w:rFonts w:ascii="Times New Roman;Times;serif" w:hAnsi="Times New Roman;Times;serif"/>
                <w:sz w:val="20"/>
              </w:rPr>
              <w:t>”), of which Advanced Manufacturing Industry Fund shall be entitled to nominate one (1) Investor Director, and Jianheng New Energy Fund shall be entitled to nominate one (1) Investor Director; and the NIO Parties shall be entitled to nominate five (5) directors. If the aggregate percentage of equity interests in the Target Company held by all the Investors in the Target Company is lower than five percent (5%), the above Investors who have the right to nominate directors shall not be entitled to nominate any director.</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19.2.2</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remuneration to the directors in such capacity and their proxies shall be paid by their nominating Parties. The costs incurred by the directors or their proxies in connection with attending Board meetings and performing their obligations as the directors of the Target Company shall be reimbursed by the Target Company in Renminbi or US Dollar based on vouchers permissible under the PRC accounting standards. All directors, including the chairman, shall perform their duties and responsibilities in accordance with the relevant provisions contained in this Agreement and the articles of association. Each director shall faithfully fulfil his or her duties in accordance with the provisions of this Agreement and the articles of association, and refrain from any action that would conflict with the interests of the Target Company.</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19.2.3</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Each of the directors shall serve a term of office of three (3) years, and may serve consecutive terms if re-selected. The Parties agree and undertake that if a director nominated by the Investors or the NIO Parties resigns or is dismissed, or if the seat of the Board becomes vacant due to other reasons, the Investors or the NIO Parties shall have the right to</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1440" w:right="0" w:hanging="0"/>
        <w:jc w:val="both"/>
        <w:rPr>
          <w:rFonts w:ascii="Times New Roman;Times;serif" w:hAnsi="Times New Roman;Times;serif"/>
          <w:sz w:val="20"/>
        </w:rPr>
      </w:pPr>
      <w:r>
        <w:rPr>
          <w:rFonts w:ascii="Times New Roman;Times;serif" w:hAnsi="Times New Roman;Times;serif"/>
          <w:sz w:val="20"/>
        </w:rPr>
        <w:t>nominate another successor and the Parties undertake to in favor of the election of the above nomination as the director of the Target Company at the Shareholders’ Meeting. The replacement shall serve on the Board for the remaining term of the replaced director. The Target Company shall file such change with the registration authority if such filing is so required under the then applicable PRC Law.</w:t>
      </w:r>
    </w:p>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19.2.4</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Board of Directors shall have one (1) chairman. The chairman shall be appointed by the NIO Parties from the directors nominated by the NIO Parties. The chairman of the Board of Directors shall be the legal representative of the Target Company and shall have the following powers and authorities: convening and presiding over meetings of the Board of Directors; and other powers and authorities granted by the Board of Directors, this Agreement or the articles of association.</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19.2.5</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If a matter requires approval of the Board of Directors in accordance with this Agreement or the articles of association, the chairman shall not be authorized to take any action or sign any document on behalf of the Target Company in respect of such matter unless and until it has been duly approved by the Board of Directors.</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19.2.6</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When the chairman is unable to perform his or her duties (including convening and presiding over Board meetings) for any reason, he or she shall designate another director to act on his or her behalf.</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19.2.7</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Board of Directors shall convene at least one (1) regular meeting each quarter. Any one (1) director of the Target Company shall have the right to propose an extraordinary Board meeting in writing, and the chairman of the Board shall convene an extraordinary Board meeting within twenty (20) days after the receipt of such proposal.</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19.2.8</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Board of Directors shall maintain complete and correct minutes of its meetings in Chinese, including copies of all meeting notices. The minutes of the Board meeting and the resolutions adopted by the Board meeting shall be recorded by a secretary for the meeting designated by the Board and shall be circulated among all of the directors within twenty (20) days after the close of each meeting. All resolutions of the Board meeting shall be signed by all voting directors, and minutes of the Board meeting shall be filed by the secretary and kept in the Board meeting minutes book of the Target Company. The nomination, election and replacement of directors shall be recorded in the Board meeting minutes.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19.2.9</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management of the Target Company shall submit quarterly work reports to the Board of Directors on regular basis. The contents of a quarterly work report shall include but not be limited to information pertaining to any related-party transactions and any provision of guarantee of the Target Company, any bank credit and borrowings, any external investment or Major expenditure, any disposal of Major assets, execution of any Material contracts that is not related to Main Business, execution of any contract in relation to intellectual property rights and etc.</w:t>
            </w:r>
          </w:p>
        </w:tc>
      </w:tr>
    </w:tbl>
    <w:tbl>
      <w:tblPr>
        <w:tblW w:w="7053" w:type="dxa"/>
        <w:jc w:val="left"/>
        <w:tblInd w:w="0" w:type="dxa"/>
        <w:tblLayout w:type="fixed"/>
        <w:tblCellMar>
          <w:top w:w="0" w:type="dxa"/>
          <w:left w:w="0" w:type="dxa"/>
          <w:bottom w:w="0" w:type="dxa"/>
          <w:right w:w="0" w:type="dxa"/>
        </w:tblCellMar>
      </w:tblPr>
      <w:tblGrid>
        <w:gridCol w:w="23"/>
        <w:gridCol w:w="63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19.2.10</w:t>
            </w:r>
          </w:p>
        </w:tc>
        <w:tc>
          <w:tcPr>
            <w:tcW w:w="639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When casting votes on board resolutions, each director shall have one (1) vote.</w:t>
            </w:r>
          </w:p>
        </w:tc>
      </w:tr>
    </w:tbl>
    <w:tbl>
      <w:tblPr>
        <w:tblW w:w="10205" w:type="dxa"/>
        <w:jc w:val="left"/>
        <w:tblInd w:w="0" w:type="dxa"/>
        <w:tblLayout w:type="fixed"/>
        <w:tblCellMar>
          <w:top w:w="0" w:type="dxa"/>
          <w:left w:w="0" w:type="dxa"/>
          <w:bottom w:w="0" w:type="dxa"/>
          <w:right w:w="0" w:type="dxa"/>
        </w:tblCellMar>
      </w:tblPr>
      <w:tblGrid>
        <w:gridCol w:w="23"/>
        <w:gridCol w:w="635"/>
        <w:gridCol w:w="9547"/>
      </w:tblGrid>
      <w:tr>
        <w:trPr/>
        <w:tc>
          <w:tcPr>
            <w:tcW w:w="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19.2.11</w:t>
            </w:r>
          </w:p>
        </w:tc>
        <w:tc>
          <w:tcPr>
            <w:tcW w:w="954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quorum for a duly convened board meeting shall be at least one-half (1/2) of all the directors present in person (including attending via videoconference or other electronic means) or by proxy. In the absence of a quorum, any resolutions passed at a Board meeting shall be invalid and have no effect.</w:t>
            </w:r>
          </w:p>
        </w:tc>
      </w:tr>
    </w:tbl>
    <w:tbl>
      <w:tblPr>
        <w:tblW w:w="10205" w:type="dxa"/>
        <w:jc w:val="left"/>
        <w:tblInd w:w="0" w:type="dxa"/>
        <w:tblLayout w:type="fixed"/>
        <w:tblCellMar>
          <w:top w:w="0" w:type="dxa"/>
          <w:left w:w="0" w:type="dxa"/>
          <w:bottom w:w="0" w:type="dxa"/>
          <w:right w:w="0" w:type="dxa"/>
        </w:tblCellMar>
      </w:tblPr>
      <w:tblGrid>
        <w:gridCol w:w="23"/>
        <w:gridCol w:w="635"/>
        <w:gridCol w:w="9547"/>
      </w:tblGrid>
      <w:tr>
        <w:trPr/>
        <w:tc>
          <w:tcPr>
            <w:tcW w:w="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19.2.12</w:t>
            </w:r>
          </w:p>
        </w:tc>
        <w:tc>
          <w:tcPr>
            <w:tcW w:w="954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Notwithstanding any other provision to the contrary, resolutions may be passed without a Board meeting if in writing and executed by all directors or a majority of the directors on the Board (as the case may be) as provided for in Clause 6.1.2, provided that the proposed resolution is delivered to each of the directors.</w:t>
            </w:r>
          </w:p>
        </w:tc>
      </w:tr>
    </w:tbl>
    <w:tbl>
      <w:tblPr>
        <w:tblW w:w="10205" w:type="dxa"/>
        <w:jc w:val="left"/>
        <w:tblInd w:w="0" w:type="dxa"/>
        <w:tblLayout w:type="fixed"/>
        <w:tblCellMar>
          <w:top w:w="0" w:type="dxa"/>
          <w:left w:w="0" w:type="dxa"/>
          <w:bottom w:w="0" w:type="dxa"/>
          <w:right w:w="0" w:type="dxa"/>
        </w:tblCellMar>
      </w:tblPr>
      <w:tblGrid>
        <w:gridCol w:w="23"/>
        <w:gridCol w:w="635"/>
        <w:gridCol w:w="9547"/>
      </w:tblGrid>
      <w:tr>
        <w:trPr/>
        <w:tc>
          <w:tcPr>
            <w:tcW w:w="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19.2.13</w:t>
            </w:r>
          </w:p>
        </w:tc>
        <w:tc>
          <w:tcPr>
            <w:tcW w:w="954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Resolutions of the Board shall require the affirmative votes of more than half of Directors (the term “</w:t>
            </w:r>
            <w:r>
              <w:rPr>
                <w:rFonts w:ascii="Times New Roman;Times;serif" w:hAnsi="Times New Roman;Times;serif"/>
                <w:b/>
                <w:sz w:val="20"/>
              </w:rPr>
              <w:t>more than</w:t>
            </w:r>
            <w:r>
              <w:rPr>
                <w:rFonts w:ascii="Times New Roman;Times;serif" w:hAnsi="Times New Roman;Times;serif"/>
                <w:sz w:val="20"/>
              </w:rPr>
              <w:t>” referred to herein shall be inclusive of the number immediately following thereto) (provided that, for the matters as provided in Clauses 6.1.1 and 6.1.2, such matters shall only be adopted or submitted for the review by the Shareholders’ meeting upon affirmative votes of more than three-fourths (3/4) of the directors; for the matters as provided in Clause 6.1.3, such matters shall only be adopted or submitted for the review by the Shareholders’ meeting upon affirmative votes of more than two-third (2/3) of the directors; for the matters as provided in Clause 6.1.4, such matters shall only be adopted or submitted for the review by the Shareholders’ meeting upon affirmative votes of more than one-half (1/2) of the directors). If any independent director will serve on the board of Target Company or if the number of directors of the Target Company increases in the future, the Parties agree to renegotiate the special voting mechanism. If required by any of the constitutional documents of NIO Inc., or any Law or regulatory rules applicable to NIO Inc. (including but not limited to the securities regulation Laws of the place where NIO Inc. is listed or the corresponding regulatory rules of the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1440" w:right="0" w:hanging="0"/>
        <w:jc w:val="both"/>
        <w:rPr>
          <w:rFonts w:ascii="Times New Roman;Times;serif" w:hAnsi="Times New Roman;Times;serif"/>
          <w:sz w:val="20"/>
        </w:rPr>
      </w:pPr>
      <w:r>
        <w:rPr>
          <w:rFonts w:ascii="Times New Roman;Times;serif" w:hAnsi="Times New Roman;Times;serif"/>
          <w:sz w:val="20"/>
        </w:rPr>
        <w:t>Securities and Exchange Commission/Exchange), the above matters submitted to the Board of Directors of the Target Company for decision shall be otherwise submitted to the Board meeting or the Shareholders’ meeting of NIO Inc. for consideration and resolution.</w:t>
      </w:r>
    </w:p>
    <w:tbl>
      <w:tblPr>
        <w:tblW w:w="10205" w:type="dxa"/>
        <w:jc w:val="left"/>
        <w:tblInd w:w="0" w:type="dxa"/>
        <w:tblLayout w:type="fixed"/>
        <w:tblCellMar>
          <w:top w:w="0" w:type="dxa"/>
          <w:left w:w="0" w:type="dxa"/>
          <w:bottom w:w="0" w:type="dxa"/>
          <w:right w:w="0" w:type="dxa"/>
        </w:tblCellMar>
      </w:tblPr>
      <w:tblGrid>
        <w:gridCol w:w="23"/>
        <w:gridCol w:w="635"/>
        <w:gridCol w:w="9547"/>
      </w:tblGrid>
      <w:tr>
        <w:trPr/>
        <w:tc>
          <w:tcPr>
            <w:tcW w:w="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19.2.14</w:t>
            </w:r>
          </w:p>
        </w:tc>
        <w:tc>
          <w:tcPr>
            <w:tcW w:w="954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All Board meetings shall be convened and presided over by the chairman or a director, as the case may be. The chairman shall give a written notice of a Board meeting to each director ten (10) working days (or such other period as agreed to by the Investors in writing) in advance, which shall specify the time, venue and agenda of the meeting. The chairman shall deliver documents relevant to a Board meeting, if any, to each of the directors at least ten (10) days prior to the meeting. Meetings of the Board may be conducted in person or in the form of telephone conference or video conference as long as each participant is able to hear the other participants clearly and each director so participating shall be deemed to be present at such meeting. Each director shall have the right to appoint a proxy in writing to attend the meeting, who may be another director of the Board, and the proxy so appointed shall have the right to attend the meeting of the Board and vote on the matters under consideration on behalf of the director who appointed him or her. Any proxy so appointed shall have the same rights as the director who appointed him or her, and one proxy may represent more than one director. Such proxy shall have one vote for each director he or she represents and an additional vote if he or she is also a director in his or her own right. The chairman shall have the same right of one vote as accorded to each of the other directors. If a Board meeting fails to achieve the quorum set forth in Clause 19.2.11, such Board meeting shall be adjourned to the fifth (5th) working day after the originally scheduled meeting date. If each director or the proxy appointed by such director still fails to attend the adjourned Board meeting, more than one-half of the directors attending the adjourned Board meeting shall be deemed to constitute the quorum.</w:t>
            </w:r>
          </w:p>
        </w:tc>
      </w:tr>
    </w:tbl>
    <w:tbl>
      <w:tblPr>
        <w:tblW w:w="10205" w:type="dxa"/>
        <w:jc w:val="left"/>
        <w:tblInd w:w="0" w:type="dxa"/>
        <w:tblLayout w:type="fixed"/>
        <w:tblCellMar>
          <w:top w:w="0" w:type="dxa"/>
          <w:left w:w="0" w:type="dxa"/>
          <w:bottom w:w="0" w:type="dxa"/>
          <w:right w:w="0" w:type="dxa"/>
        </w:tblCellMar>
      </w:tblPr>
      <w:tblGrid>
        <w:gridCol w:w="23"/>
        <w:gridCol w:w="635"/>
        <w:gridCol w:w="9547"/>
      </w:tblGrid>
      <w:tr>
        <w:trPr/>
        <w:tc>
          <w:tcPr>
            <w:tcW w:w="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19.2.15</w:t>
            </w:r>
          </w:p>
        </w:tc>
        <w:tc>
          <w:tcPr>
            <w:tcW w:w="954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All reasonable costs incurred by the directors in connection with attending Board meetings shall be borne by the Target Company. The Investor Directors shall be protected and indemnified by the Target Company to the fullest extent possible under applicable Laws, including without limitation from any liability to any third party resulting from their respective performance of duties, and at the request of the Investors and with reference to general business practices, insured by directors’ liability insurance after completing the necessary internal approval procedures.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095" w:type="dxa"/>
        <w:jc w:val="left"/>
        <w:tblInd w:w="0" w:type="dxa"/>
        <w:tblLayout w:type="fixed"/>
        <w:tblCellMar>
          <w:top w:w="0" w:type="dxa"/>
          <w:left w:w="0" w:type="dxa"/>
          <w:bottom w:w="0" w:type="dxa"/>
          <w:right w:w="0" w:type="dxa"/>
        </w:tblCellMar>
      </w:tblPr>
      <w:tblGrid>
        <w:gridCol w:w="380"/>
        <w:gridCol w:w="171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19.3</w:t>
            </w:r>
          </w:p>
        </w:tc>
        <w:tc>
          <w:tcPr>
            <w:tcW w:w="171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Board of Supervisors</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19.3.1</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Target Company shall have a board of supervisors (“</w:t>
            </w:r>
            <w:r>
              <w:rPr>
                <w:rFonts w:ascii="Times New Roman;Times;serif" w:hAnsi="Times New Roman;Times;serif"/>
                <w:b/>
                <w:sz w:val="20"/>
              </w:rPr>
              <w:t>Board of Supervisors</w:t>
            </w:r>
            <w:r>
              <w:rPr>
                <w:rFonts w:ascii="Times New Roman;Times;serif" w:hAnsi="Times New Roman;Times;serif"/>
                <w:sz w:val="20"/>
              </w:rPr>
              <w:t>”), which shall consist of three (3) supervisors. Anhui Sanzhong Yichuang shall be entitled to nominate one (1) supervisor, and the NIO Parties shall be entitled to nominate one (1) supervisor. One (1) supervisor shall be a representative of the employees, who shall be democratically elected through the employees’ representative congress, employees’ congress or by other means. The Company shall have one (1) chairman of the Board of Supervisors, the only candidate of which shall be the supervisor nominated by Anhui Sanzhong Yichuang, who shall be elected by more than half of all the supervisors. The meeting of the Board of Supervisors shall be convened and chaired by the chairman of the Board of Supervisors; if the chairman of the Board of Supervisors is unable or fails to perform his/her duties, the meeting of the Board of Supervisors shall be convened and chaired by a supervisor jointly elected by more than half of all the supervisors. The directors and the Senior Officers of the Target Company shall not act as the supervisors of the Target Company. The supervisors shall serve a term of office of three (3) years, and may serve consecutive terms if re-nominated by such original nominating Party/elected by the employees of the Company and re-approved by the Shareholders’ meeting.</w:t>
            </w:r>
          </w:p>
        </w:tc>
      </w:tr>
    </w:tbl>
    <w:tbl>
      <w:tblPr>
        <w:tblW w:w="5223" w:type="dxa"/>
        <w:jc w:val="left"/>
        <w:tblInd w:w="0" w:type="dxa"/>
        <w:tblLayout w:type="fixed"/>
        <w:tblCellMar>
          <w:top w:w="0" w:type="dxa"/>
          <w:left w:w="0" w:type="dxa"/>
          <w:bottom w:w="0" w:type="dxa"/>
          <w:right w:w="0" w:type="dxa"/>
        </w:tblCellMar>
      </w:tblPr>
      <w:tblGrid>
        <w:gridCol w:w="23"/>
        <w:gridCol w:w="530"/>
        <w:gridCol w:w="4670"/>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19.3.2</w:t>
            </w:r>
          </w:p>
        </w:tc>
        <w:tc>
          <w:tcPr>
            <w:tcW w:w="467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Board of Supervisors exercises the following powers:</w:t>
            </w:r>
          </w:p>
        </w:tc>
      </w:tr>
    </w:tbl>
    <w:tbl>
      <w:tblPr>
        <w:tblW w:w="4083" w:type="dxa"/>
        <w:jc w:val="left"/>
        <w:tblInd w:w="0" w:type="dxa"/>
        <w:tblLayout w:type="fixed"/>
        <w:tblCellMar>
          <w:top w:w="0" w:type="dxa"/>
          <w:left w:w="0" w:type="dxa"/>
          <w:bottom w:w="0" w:type="dxa"/>
          <w:right w:w="0" w:type="dxa"/>
        </w:tblCellMar>
      </w:tblPr>
      <w:tblGrid>
        <w:gridCol w:w="23"/>
        <w:gridCol w:w="245"/>
        <w:gridCol w:w="381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w:t>
            </w:r>
          </w:p>
        </w:tc>
        <w:tc>
          <w:tcPr>
            <w:tcW w:w="381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to inspect the finances of the Target Company;</w:t>
            </w:r>
          </w:p>
        </w:tc>
      </w:tr>
    </w:tbl>
    <w:tbl>
      <w:tblPr>
        <w:tblW w:w="10205" w:type="dxa"/>
        <w:jc w:val="left"/>
        <w:tblInd w:w="0" w:type="dxa"/>
        <w:tblLayout w:type="fixed"/>
        <w:tblCellMar>
          <w:top w:w="0" w:type="dxa"/>
          <w:left w:w="0" w:type="dxa"/>
          <w:bottom w:w="0" w:type="dxa"/>
          <w:right w:w="0" w:type="dxa"/>
        </w:tblCellMar>
      </w:tblPr>
      <w:tblGrid>
        <w:gridCol w:w="23"/>
        <w:gridCol w:w="206"/>
        <w:gridCol w:w="9976"/>
      </w:tblGrid>
      <w:tr>
        <w:trPr/>
        <w:tc>
          <w:tcPr>
            <w:tcW w:w="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w:t>
            </w:r>
          </w:p>
        </w:tc>
        <w:tc>
          <w:tcPr>
            <w:tcW w:w="997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to supervise the behavior of the directors and senior management of the Target Company in the performance of their duties, and to propose the dismissal of any director or senior management who violates the Laws, administrative regulations, the articles of association or the resolutions of the Shareholders’ meeting;</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(3)</w:t>
            </w:r>
          </w:p>
        </w:tc>
        <w:tc>
          <w:tcPr>
            <w:tcW w:w="995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to request the directors and senior management of the Target Company to rectify their behavior when such behavior is detrimental to the interests of the Target Company;</w:t>
            </w:r>
          </w:p>
        </w:tc>
      </w:tr>
    </w:tbl>
    <w:tbl>
      <w:tblPr>
        <w:tblW w:w="10205" w:type="dxa"/>
        <w:jc w:val="left"/>
        <w:tblInd w:w="0" w:type="dxa"/>
        <w:tblLayout w:type="fixed"/>
        <w:tblCellMar>
          <w:top w:w="0" w:type="dxa"/>
          <w:left w:w="0" w:type="dxa"/>
          <w:bottom w:w="0" w:type="dxa"/>
          <w:right w:w="0" w:type="dxa"/>
        </w:tblCellMar>
      </w:tblPr>
      <w:tblGrid>
        <w:gridCol w:w="23"/>
        <w:gridCol w:w="206"/>
        <w:gridCol w:w="9976"/>
      </w:tblGrid>
      <w:tr>
        <w:trPr/>
        <w:tc>
          <w:tcPr>
            <w:tcW w:w="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(4)</w:t>
            </w:r>
          </w:p>
        </w:tc>
        <w:tc>
          <w:tcPr>
            <w:tcW w:w="997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to propose the convening of an extraordinary Shareholders’ meetings of the Target Company, and to convene and chair the Shareholders’ meeting when the Board of Directors of the Target Company fails to fulfill its duty to convene and chair the Shareholders’ meeting of the Target Company according to the Laws;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108" w:type="dxa"/>
        <w:jc w:val="left"/>
        <w:tblInd w:w="0" w:type="dxa"/>
        <w:tblLayout w:type="fixed"/>
        <w:tblCellMar>
          <w:top w:w="0" w:type="dxa"/>
          <w:left w:w="0" w:type="dxa"/>
          <w:bottom w:w="0" w:type="dxa"/>
          <w:right w:w="0" w:type="dxa"/>
        </w:tblCellMar>
      </w:tblPr>
      <w:tblGrid>
        <w:gridCol w:w="23"/>
        <w:gridCol w:w="245"/>
        <w:gridCol w:w="584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(5)</w:t>
            </w:r>
          </w:p>
        </w:tc>
        <w:tc>
          <w:tcPr>
            <w:tcW w:w="584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to make proposals to the Shareholders’ meeting of the Target Company;</w:t>
            </w:r>
          </w:p>
        </w:tc>
      </w:tr>
    </w:tbl>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(6)</w:t>
            </w:r>
          </w:p>
        </w:tc>
        <w:tc>
          <w:tcPr>
            <w:tcW w:w="995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to initiate litigation against the directors and senior management of the Target Company in accordance with the provisions of the PRC Company Law;</w:t>
            </w:r>
          </w:p>
        </w:tc>
      </w:tr>
    </w:tbl>
    <w:tbl>
      <w:tblPr>
        <w:tblW w:w="8088" w:type="dxa"/>
        <w:jc w:val="left"/>
        <w:tblInd w:w="0" w:type="dxa"/>
        <w:tblLayout w:type="fixed"/>
        <w:tblCellMar>
          <w:top w:w="0" w:type="dxa"/>
          <w:left w:w="0" w:type="dxa"/>
          <w:bottom w:w="0" w:type="dxa"/>
          <w:right w:w="0" w:type="dxa"/>
        </w:tblCellMar>
      </w:tblPr>
      <w:tblGrid>
        <w:gridCol w:w="23"/>
        <w:gridCol w:w="245"/>
        <w:gridCol w:w="782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(7)</w:t>
            </w:r>
          </w:p>
        </w:tc>
        <w:tc>
          <w:tcPr>
            <w:tcW w:w="782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other powers as provided for in PRC Laws and the articles of association of the Target Company.</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19.3.3</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 supervisor may attend the Board meetings as a non-voting member and raise inquiries or suggestions concerning the matters subject to resolutions to be adopted by the Board of Directors.</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19.3.4</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If the Board of Supervisors finds any abnormality in the operation of the Target Company, it may carry out an investigation. If necessary, it may engage an accounting firm to assist in its work at the expense of the Target Company.</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19.3.5</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Board of Supervisors may demand the directors or senior management of the Target Company to submit reports on the performance of their duties.</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19.3.6</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meeting of the Board of Supervisors shall be convened at least once a year. The supervisors may propose to convene extraordinary meetings of the Board of Supervisors.</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19.3.7</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For the voting on a resolution of the Board of Supervisors, each supervisor shall have one vote. The resolution of the Board of Supervisors shall be adopted by more than half of all the supervisors.</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19.3.8</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Board of Supervisors shall prepare minutes for the decisions regarding the matters discussed, which shall be signed by the supervisors present at the meeting of the Board of Supervisors.</w:t>
            </w:r>
          </w:p>
        </w:tc>
      </w:tr>
    </w:tbl>
    <w:tbl>
      <w:tblPr>
        <w:tblW w:w="9768" w:type="dxa"/>
        <w:jc w:val="left"/>
        <w:tblInd w:w="0" w:type="dxa"/>
        <w:tblLayout w:type="fixed"/>
        <w:tblCellMar>
          <w:top w:w="0" w:type="dxa"/>
          <w:left w:w="0" w:type="dxa"/>
          <w:bottom w:w="0" w:type="dxa"/>
          <w:right w:w="0" w:type="dxa"/>
        </w:tblCellMar>
      </w:tblPr>
      <w:tblGrid>
        <w:gridCol w:w="23"/>
        <w:gridCol w:w="530"/>
        <w:gridCol w:w="9215"/>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19.3.9</w:t>
            </w:r>
          </w:p>
        </w:tc>
        <w:tc>
          <w:tcPr>
            <w:tcW w:w="921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expenses necessary for the Board of Supervisors to exercise its powers shall be borne by the Target Company.</w:t>
            </w:r>
          </w:p>
        </w:tc>
      </w:tr>
    </w:tbl>
    <w:tbl>
      <w:tblPr>
        <w:tblW w:w="3775" w:type="dxa"/>
        <w:jc w:val="left"/>
        <w:tblInd w:w="0" w:type="dxa"/>
        <w:tblLayout w:type="fixed"/>
        <w:tblCellMar>
          <w:top w:w="0" w:type="dxa"/>
          <w:left w:w="0" w:type="dxa"/>
          <w:bottom w:w="0" w:type="dxa"/>
          <w:right w:w="0" w:type="dxa"/>
        </w:tblCellMar>
      </w:tblPr>
      <w:tblGrid>
        <w:gridCol w:w="380"/>
        <w:gridCol w:w="339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19.4</w:t>
            </w:r>
          </w:p>
        </w:tc>
        <w:tc>
          <w:tcPr>
            <w:tcW w:w="339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Operation and Management Organization</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19.4.1</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Target Company shall have one (1) chief executive officer (“</w:t>
            </w:r>
            <w:r>
              <w:rPr>
                <w:rFonts w:ascii="Times New Roman;Times;serif" w:hAnsi="Times New Roman;Times;serif"/>
                <w:b/>
                <w:sz w:val="20"/>
              </w:rPr>
              <w:t>CEO</w:t>
            </w:r>
            <w:r>
              <w:rPr>
                <w:rFonts w:ascii="Times New Roman;Times;serif" w:hAnsi="Times New Roman;Times;serif"/>
                <w:sz w:val="20"/>
              </w:rPr>
              <w:t>”). The day-to-day management and operation of the Target Company shall</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1440" w:right="0" w:hanging="0"/>
        <w:jc w:val="both"/>
        <w:rPr>
          <w:rFonts w:ascii="Times New Roman;Times;serif" w:hAnsi="Times New Roman;Times;serif"/>
          <w:sz w:val="20"/>
        </w:rPr>
      </w:pPr>
      <w:r>
        <w:rPr>
          <w:rFonts w:ascii="Times New Roman;Times;serif" w:hAnsi="Times New Roman;Times;serif"/>
          <w:sz w:val="20"/>
        </w:rPr>
        <w:t>be carried out by the CEO in accordance with the policies adopted by the Board of Directors from time to time. The CEO shall be directly responsible to the Board of Directors.</w:t>
      </w:r>
    </w:p>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19.4.2</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CEO of the Target Company shall be nominated by the NIO Parties and appointed by the Board of Directors. The CEO shall serve a term of office of three (3) years, and may serve consecutive terms upon re-nomination and re-appointment. The CEO may be dismissed and replaced by the Board of Directors.</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19.4.3</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Target Company shall have one (1) chief financial officer who shall be responsible for internal control and tax matters in respect of finance, accounting and finance (“</w:t>
            </w:r>
            <w:r>
              <w:rPr>
                <w:rFonts w:ascii="Times New Roman;Times;serif" w:hAnsi="Times New Roman;Times;serif"/>
                <w:b/>
                <w:sz w:val="20"/>
              </w:rPr>
              <w:t>CFO</w:t>
            </w:r>
            <w:r>
              <w:rPr>
                <w:rFonts w:ascii="Times New Roman;Times;serif" w:hAnsi="Times New Roman;Times;serif"/>
                <w:sz w:val="20"/>
              </w:rPr>
              <w:t>”). The CFO of the Target Company shall be nominated by the NIO Parties and appointed by the Board of Directors. In case the CFO is unable to perform his or her duties properly, the Board of Directors may dismiss him or her in accordance with the relevant PRC Laws and the labor contract between the Target Company and the CFO.</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19.4.4</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powers and responsibilities of the CEO and the CFO of the Target Company and all management personnel (collectively, the “</w:t>
            </w:r>
            <w:r>
              <w:rPr>
                <w:rFonts w:ascii="Times New Roman;Times;serif" w:hAnsi="Times New Roman;Times;serif"/>
                <w:b/>
                <w:sz w:val="20"/>
              </w:rPr>
              <w:t>Senior Officers</w:t>
            </w:r>
            <w:r>
              <w:rPr>
                <w:rFonts w:ascii="Times New Roman;Times;serif" w:hAnsi="Times New Roman;Times;serif"/>
                <w:sz w:val="20"/>
              </w:rPr>
              <w:t>”) and the organizational table indicating the reporting relationship of each Senior Officers are determined by the articles of association and other internal management documents of the Target Company.</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19.4.5</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In order to enable the CEO to manage the Target Company duly and effectively, the chairman or the Board of Directors, as the case may be, shall issue appropriate written authorizations to the CEO to take actions or sign contracts, agreements or other documents on behalf of the Target Company within the scope of power conferred upon him under this Agreement, the articles of association or any Board resolutions.</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19.4.6</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CEO, CFO and other Senior Officers of the Target Company shall be exempted from personal liabilities and indemnified by the Target Company for acts performed in a normal manner within their respective capacity and authorization, except for claims or charges resulting from any intentional or grossly negligent acts or omissions, or any fraud, graft or serious dereliction of duties.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20</w:t>
      </w:r>
      <w:r>
        <w:rPr>
          <w:rFonts w:ascii="Times New Roman;Times;serif" w:hAnsi="Times New Roman;Times;serif"/>
          <w:b/>
          <w:sz w:val="20"/>
        </w:rPr>
        <w:t>TAXES, FINANCE, AUDIT AND DISTRIBUTION OF PROFIT</w:t>
      </w:r>
    </w:p>
    <w:tbl>
      <w:tblPr>
        <w:tblW w:w="880" w:type="dxa"/>
        <w:jc w:val="left"/>
        <w:tblInd w:w="0" w:type="dxa"/>
        <w:tblLayout w:type="fixed"/>
        <w:tblCellMar>
          <w:top w:w="0" w:type="dxa"/>
          <w:left w:w="0" w:type="dxa"/>
          <w:bottom w:w="0" w:type="dxa"/>
          <w:right w:w="0" w:type="dxa"/>
        </w:tblCellMar>
      </w:tblPr>
      <w:tblGrid>
        <w:gridCol w:w="380"/>
        <w:gridCol w:w="50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20.1</w:t>
            </w:r>
          </w:p>
        </w:tc>
        <w:tc>
          <w:tcPr>
            <w:tcW w:w="50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Taxes</w:t>
            </w:r>
          </w:p>
        </w:tc>
      </w:tr>
    </w:tbl>
    <w:p>
      <w:pPr>
        <w:pStyle w:val="TextBody"/>
        <w:bidi w:val="0"/>
        <w:spacing w:before="0" w:after="204"/>
        <w:ind w:left="763" w:right="0" w:hanging="0"/>
        <w:jc w:val="both"/>
        <w:rPr>
          <w:rFonts w:ascii="Times New Roman;Times;serif" w:hAnsi="Times New Roman;Times;serif"/>
          <w:sz w:val="20"/>
        </w:rPr>
      </w:pPr>
      <w:r>
        <w:rPr>
          <w:rFonts w:ascii="Times New Roman;Times;serif" w:hAnsi="Times New Roman;Times;serif"/>
          <w:sz w:val="20"/>
        </w:rPr>
        <w:t>The Target Company shall pay taxes in accordance with the relevant PRC Laws applicable to the Target Company.</w:t>
      </w:r>
    </w:p>
    <w:tbl>
      <w:tblPr>
        <w:tblW w:w="2260" w:type="dxa"/>
        <w:jc w:val="left"/>
        <w:tblInd w:w="0" w:type="dxa"/>
        <w:tblLayout w:type="fixed"/>
        <w:tblCellMar>
          <w:top w:w="0" w:type="dxa"/>
          <w:left w:w="0" w:type="dxa"/>
          <w:bottom w:w="0" w:type="dxa"/>
          <w:right w:w="0" w:type="dxa"/>
        </w:tblCellMar>
      </w:tblPr>
      <w:tblGrid>
        <w:gridCol w:w="380"/>
        <w:gridCol w:w="188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20.2</w:t>
            </w:r>
          </w:p>
        </w:tc>
        <w:tc>
          <w:tcPr>
            <w:tcW w:w="188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Individual Income Tax</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All employees of the Target Company shall pay individual income tax in accordance with the Individual Income Tax Law of the PRC and other applicable PRC Laws.</w:t>
      </w:r>
    </w:p>
    <w:tbl>
      <w:tblPr>
        <w:tblW w:w="2800" w:type="dxa"/>
        <w:jc w:val="left"/>
        <w:tblInd w:w="0" w:type="dxa"/>
        <w:tblLayout w:type="fixed"/>
        <w:tblCellMar>
          <w:top w:w="0" w:type="dxa"/>
          <w:left w:w="0" w:type="dxa"/>
          <w:bottom w:w="0" w:type="dxa"/>
          <w:right w:w="0" w:type="dxa"/>
        </w:tblCellMar>
      </w:tblPr>
      <w:tblGrid>
        <w:gridCol w:w="380"/>
        <w:gridCol w:w="242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20.3</w:t>
            </w:r>
          </w:p>
        </w:tc>
        <w:tc>
          <w:tcPr>
            <w:tcW w:w="242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Financial Accounting System</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20.3.1</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Target Company shall establish its financial and accounting systems in accordance with the PRC accounting standards and other relevant PRC Laws, which shall be submitted to the Board of Directors for approval.</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20.3.2</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Target Company shall adopt the accrual basis and debit and credit method for bookkeeping and shall prepare complete and accurate monthly, quarterly and annual financial statements in accordance with the PRC accounting standards.</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20.3.3</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Target Company shall adopt calendar year as its fiscal year, commencing on January 1 and ending on December 31 of each year.</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20.3.4</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Renminbi shall be adopted as the currency of accounts of the Target Company. The Target Company shall also record accounts in currencies actually used in payments and receipts where such payments and receipts in cash, bank deposits, other funds, credits and debts, and gains and expenses are not in Renminbi.</w:t>
            </w:r>
          </w:p>
        </w:tc>
      </w:tr>
    </w:tbl>
    <w:tbl>
      <w:tblPr>
        <w:tblW w:w="9363" w:type="dxa"/>
        <w:jc w:val="left"/>
        <w:tblInd w:w="0" w:type="dxa"/>
        <w:tblLayout w:type="fixed"/>
        <w:tblCellMar>
          <w:top w:w="0" w:type="dxa"/>
          <w:left w:w="0" w:type="dxa"/>
          <w:bottom w:w="0" w:type="dxa"/>
          <w:right w:w="0" w:type="dxa"/>
        </w:tblCellMar>
      </w:tblPr>
      <w:tblGrid>
        <w:gridCol w:w="23"/>
        <w:gridCol w:w="530"/>
        <w:gridCol w:w="8810"/>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20.3.5</w:t>
            </w:r>
          </w:p>
        </w:tc>
        <w:tc>
          <w:tcPr>
            <w:tcW w:w="881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All accounting vouchers, books and statements prepared by the Target Company shall be written in Chinese.</w:t>
            </w:r>
          </w:p>
        </w:tc>
      </w:tr>
    </w:tbl>
    <w:tbl>
      <w:tblPr>
        <w:tblW w:w="1135" w:type="dxa"/>
        <w:jc w:val="left"/>
        <w:tblInd w:w="0" w:type="dxa"/>
        <w:tblLayout w:type="fixed"/>
        <w:tblCellMar>
          <w:top w:w="0" w:type="dxa"/>
          <w:left w:w="0" w:type="dxa"/>
          <w:bottom w:w="0" w:type="dxa"/>
          <w:right w:w="0" w:type="dxa"/>
        </w:tblCellMar>
      </w:tblPr>
      <w:tblGrid>
        <w:gridCol w:w="380"/>
        <w:gridCol w:w="75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20.4</w:t>
            </w:r>
          </w:p>
        </w:tc>
        <w:tc>
          <w:tcPr>
            <w:tcW w:w="75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Auditing</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Target Company shall engage its external auditor in accordance with Clause 6.1.4(1). The external auditor shall audit the Target Company’s accounts and prepare an audit report in accordance with the PRC accounting standards, which report shall be submitted by the CEO and the CFO to the Board of Directors for approval. All necessary documents and account books of the Target Company shall be provided to the external auditor. The external auditor shall agree to keep all information obtained during the course of such auditing confidential.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980" w:type="dxa"/>
        <w:jc w:val="left"/>
        <w:tblInd w:w="0" w:type="dxa"/>
        <w:tblLayout w:type="fixed"/>
        <w:tblCellMar>
          <w:top w:w="0" w:type="dxa"/>
          <w:left w:w="0" w:type="dxa"/>
          <w:bottom w:w="0" w:type="dxa"/>
          <w:right w:w="0" w:type="dxa"/>
        </w:tblCellMar>
      </w:tblPr>
      <w:tblGrid>
        <w:gridCol w:w="380"/>
        <w:gridCol w:w="260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20.5</w:t>
            </w:r>
          </w:p>
        </w:tc>
        <w:tc>
          <w:tcPr>
            <w:tcW w:w="260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Banking and Foreign Exchange</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Target Company shall open Renminbi and foreign exchange bank accounts (if necessary) after receipt of its business license. All foreign exchange matters of the Target Company shall be handled in accordance with relevant PRC Laws in respect of foreign exchange.</w:t>
      </w:r>
    </w:p>
    <w:tbl>
      <w:tblPr>
        <w:tblW w:w="3175" w:type="dxa"/>
        <w:jc w:val="left"/>
        <w:tblInd w:w="0" w:type="dxa"/>
        <w:tblLayout w:type="fixed"/>
        <w:tblCellMar>
          <w:top w:w="0" w:type="dxa"/>
          <w:left w:w="0" w:type="dxa"/>
          <w:bottom w:w="0" w:type="dxa"/>
          <w:right w:w="0" w:type="dxa"/>
        </w:tblCellMar>
      </w:tblPr>
      <w:tblGrid>
        <w:gridCol w:w="380"/>
        <w:gridCol w:w="279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20.6</w:t>
            </w:r>
          </w:p>
        </w:tc>
        <w:tc>
          <w:tcPr>
            <w:tcW w:w="279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Reserve Funds and Loss Recovery</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Target Company shall pay taxes and retain reserve funds in accordance with relevant PRC Laws. If the Target Company incurs any loss in any previous year, the profit of the current year shall first be used to make up such loss. No profits shall be distributed or reinvested unless and until (a) the losses of any previous year have been fully made up and (b) all reserve funds have been retained in accordance with relevant PRC Law. Any remaining distributable profit of the Target Company of the previous year that has been retained by the Target Company and not been used for reinvestment can be distributed together with the distributable profits of the current year.</w:t>
      </w:r>
    </w:p>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DURATION AND TERMINATION OF THE TARGET COMPANY</w:t>
      </w:r>
    </w:p>
    <w:tbl>
      <w:tblPr>
        <w:tblW w:w="5335" w:type="dxa"/>
        <w:jc w:val="left"/>
        <w:tblInd w:w="0" w:type="dxa"/>
        <w:tblLayout w:type="fixed"/>
        <w:tblCellMar>
          <w:top w:w="0" w:type="dxa"/>
          <w:left w:w="0" w:type="dxa"/>
          <w:bottom w:w="0" w:type="dxa"/>
          <w:right w:w="0" w:type="dxa"/>
        </w:tblCellMar>
      </w:tblPr>
      <w:tblGrid>
        <w:gridCol w:w="380"/>
        <w:gridCol w:w="495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21.1</w:t>
            </w:r>
          </w:p>
        </w:tc>
        <w:tc>
          <w:tcPr>
            <w:tcW w:w="495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Duration of the Target Company and Term of this Agreement</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duration of the Target Company shall be fifty (50) years from its incorporation date (the “</w:t>
      </w:r>
      <w:r>
        <w:rPr>
          <w:rFonts w:ascii="Times New Roman;Times;serif" w:hAnsi="Times New Roman;Times;serif"/>
          <w:b/>
          <w:sz w:val="20"/>
        </w:rPr>
        <w:t>Duration of the Target Company</w:t>
      </w:r>
      <w:r>
        <w:rPr>
          <w:rFonts w:ascii="Times New Roman;Times;serif" w:hAnsi="Times New Roman;Times;serif"/>
          <w:sz w:val="20"/>
        </w:rPr>
        <w:t>”).</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term of this Agreement shall be from the effective date hereof to the expiration or early termination date of the Duration of the Target Company (the “</w:t>
      </w:r>
      <w:r>
        <w:rPr>
          <w:rFonts w:ascii="Times New Roman;Times;serif" w:hAnsi="Times New Roman;Times;serif"/>
          <w:b/>
          <w:sz w:val="20"/>
        </w:rPr>
        <w:t>Term</w:t>
      </w:r>
      <w:r>
        <w:rPr>
          <w:rFonts w:ascii="Times New Roman;Times;serif" w:hAnsi="Times New Roman;Times;serif"/>
          <w:sz w:val="20"/>
        </w:rPr>
        <w:t>”), which may be renewable upon mutual agreement of the Parties.</w:t>
      </w:r>
    </w:p>
    <w:tbl>
      <w:tblPr>
        <w:tblW w:w="2200" w:type="dxa"/>
        <w:jc w:val="left"/>
        <w:tblInd w:w="0" w:type="dxa"/>
        <w:tblLayout w:type="fixed"/>
        <w:tblCellMar>
          <w:top w:w="0" w:type="dxa"/>
          <w:left w:w="0" w:type="dxa"/>
          <w:bottom w:w="0" w:type="dxa"/>
          <w:right w:w="0" w:type="dxa"/>
        </w:tblCellMar>
      </w:tblPr>
      <w:tblGrid>
        <w:gridCol w:w="380"/>
        <w:gridCol w:w="182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21.2</w:t>
            </w:r>
          </w:p>
        </w:tc>
        <w:tc>
          <w:tcPr>
            <w:tcW w:w="182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Extension of the Term</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Parties shall hold consultations to discuss the extension of the Term at least one (1) year prior to the expiration of the Term. If the Parties agree to extend the Term, an application for relevant procedures shall be submitted to the registration authority in accordance with applicable Laws.</w:t>
      </w:r>
    </w:p>
    <w:tbl>
      <w:tblPr>
        <w:tblW w:w="2695" w:type="dxa"/>
        <w:jc w:val="left"/>
        <w:tblInd w:w="0" w:type="dxa"/>
        <w:tblLayout w:type="fixed"/>
        <w:tblCellMar>
          <w:top w:w="0" w:type="dxa"/>
          <w:left w:w="0" w:type="dxa"/>
          <w:bottom w:w="0" w:type="dxa"/>
          <w:right w:w="0" w:type="dxa"/>
        </w:tblCellMar>
      </w:tblPr>
      <w:tblGrid>
        <w:gridCol w:w="380"/>
        <w:gridCol w:w="231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21.3</w:t>
            </w:r>
          </w:p>
        </w:tc>
        <w:tc>
          <w:tcPr>
            <w:tcW w:w="231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Events of Early Termination</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This Agreement may be terminated and the Target Company dissolved prior to the expiration of the Term upon the occurrence of any of the following events and in accordance with the following provisions:</w:t>
      </w:r>
    </w:p>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21.3.1</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by either Party, if the Target Company is unable to continue operation during any fiscal year due to an event of Force Majeure and such situation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1440" w:right="0" w:hanging="0"/>
        <w:jc w:val="both"/>
        <w:rPr>
          <w:rFonts w:ascii="Times New Roman;Times;serif" w:hAnsi="Times New Roman;Times;serif"/>
          <w:sz w:val="20"/>
        </w:rPr>
      </w:pPr>
      <w:r>
        <w:rPr>
          <w:rFonts w:ascii="Times New Roman;Times;serif" w:hAnsi="Times New Roman;Times;serif"/>
          <w:sz w:val="20"/>
        </w:rPr>
        <w:t>has existed for a period of one hundred and eighty (180) days or more;</w:t>
      </w:r>
    </w:p>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21.3.2</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by either Party, upon approval by the Shareholders’ Meeting, if the Target Company becomes bankrupt or insolvent, or any of its Major assets (including, without limitation, working capital, any operation license, permit or Governmental Approval) necessary for the conduct of its operation activities is not obtained, or is withdrawn, forfeited, revoked or expropriated by any Governmental Authority, or becomes invalid or has expired and is not renewed, as a result of which the Target Company is unable to conduct normal operation activities or is unable to attain its business objectives;</w:t>
            </w:r>
          </w:p>
        </w:tc>
      </w:tr>
    </w:tbl>
    <w:tbl>
      <w:tblPr>
        <w:tblW w:w="8043" w:type="dxa"/>
        <w:jc w:val="left"/>
        <w:tblInd w:w="0" w:type="dxa"/>
        <w:tblLayout w:type="fixed"/>
        <w:tblCellMar>
          <w:top w:w="0" w:type="dxa"/>
          <w:left w:w="0" w:type="dxa"/>
          <w:bottom w:w="0" w:type="dxa"/>
          <w:right w:w="0" w:type="dxa"/>
        </w:tblCellMar>
      </w:tblPr>
      <w:tblGrid>
        <w:gridCol w:w="23"/>
        <w:gridCol w:w="530"/>
        <w:gridCol w:w="7490"/>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21.3.3</w:t>
            </w:r>
          </w:p>
        </w:tc>
        <w:tc>
          <w:tcPr>
            <w:tcW w:w="749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by the Investors in any event of any Deemed Liquidation Event set forth in Clause 12.5; and</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21.3.4</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if the Parties unanimously agree that, the termination of the Target Company is in the best interests of the Parties, and approved by the Shareholders’ meeting.</w:t>
            </w:r>
          </w:p>
        </w:tc>
      </w:tr>
    </w:tbl>
    <w:tbl>
      <w:tblPr>
        <w:tblW w:w="5845" w:type="dxa"/>
        <w:jc w:val="left"/>
        <w:tblInd w:w="0" w:type="dxa"/>
        <w:tblLayout w:type="fixed"/>
        <w:tblCellMar>
          <w:top w:w="0" w:type="dxa"/>
          <w:left w:w="0" w:type="dxa"/>
          <w:bottom w:w="0" w:type="dxa"/>
          <w:right w:w="0" w:type="dxa"/>
        </w:tblCellMar>
      </w:tblPr>
      <w:tblGrid>
        <w:gridCol w:w="380"/>
        <w:gridCol w:w="546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21.4</w:t>
            </w:r>
          </w:p>
        </w:tc>
        <w:tc>
          <w:tcPr>
            <w:tcW w:w="546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Shareholders’ Meeting to Discuss Early Termination or Dissolution</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21.4.1</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Upon the occurrence of any of the events of early termination set forth in Clause 21.3 above, either Party may request that a Shareholders’ Meeting be convened to discuss the early termination of this Agreement. The Board shall convene a Shareholders’ Meeting within twenty (20) days of the receipt of such a request in accordance with the provisions regarding the Shareholders’ Meetings.</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21.4.2</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At the Shareholders’ meeting, the Shareholders shall use their best efforts to reach a solution acceptable to all the Parties. If the Shareholders are unable to reach a solution acceptable to all Shareholders at the Shareholders’ Meeting, the Shareholders shall vote unanimously to dissolve and liquidate the Target Company.</w:t>
            </w:r>
          </w:p>
        </w:tc>
      </w:tr>
    </w:tbl>
    <w:tbl>
      <w:tblPr>
        <w:tblW w:w="2440" w:type="dxa"/>
        <w:jc w:val="left"/>
        <w:tblInd w:w="0" w:type="dxa"/>
        <w:tblLayout w:type="fixed"/>
        <w:tblCellMar>
          <w:top w:w="0" w:type="dxa"/>
          <w:left w:w="0" w:type="dxa"/>
          <w:bottom w:w="0" w:type="dxa"/>
          <w:right w:w="0" w:type="dxa"/>
        </w:tblCellMar>
      </w:tblPr>
      <w:tblGrid>
        <w:gridCol w:w="380"/>
        <w:gridCol w:w="206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21.5</w:t>
            </w:r>
          </w:p>
        </w:tc>
        <w:tc>
          <w:tcPr>
            <w:tcW w:w="206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Effect of the Termination</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If the Target Company fails to renew upon expiration or this Agreement is early terminated in accordance with Clauses 21.3 and 21.4 above, this Agreement shall become void with no further force and effect (for the avoidance of doubt, if the termination of the Target Company is due to the fact that the NIO Parties intend to take a platform company other than the Target Company as the listing company after the completion of the Restructuring in accordance with Clause 17 hereof, the Investors shall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be ensured to have the same rights under the Transaction Documents in the new platform company), and the Target Company shall be liquidated and dissolved, and the Shareholders’ Meeting shall establish a liquidation committee to carry out the liquidation of the Target Company in accordance with relevant PRC Laws and this Agreement. However, no termination of this Agreement pursuant to Clauses 21.3 and 21.4 above shall have an effect on any right of a Party to claim compensation for losses or receive indemnification due to any breach of any representations, warranties, covenants or obligations hereunder prior to the termination of this Agreement. Furthermore, Clause 11 (</w:t>
      </w:r>
      <w:r>
        <w:rPr>
          <w:rFonts w:ascii="Times New Roman;Times;serif" w:hAnsi="Times New Roman;Times;serif"/>
          <w:i/>
          <w:sz w:val="20"/>
        </w:rPr>
        <w:t>Redemption Right)</w:t>
      </w:r>
      <w:r>
        <w:rPr>
          <w:rFonts w:ascii="Times New Roman;Times;serif" w:hAnsi="Times New Roman;Times;serif"/>
          <w:sz w:val="20"/>
        </w:rPr>
        <w:t>, Clause 12 (</w:t>
      </w:r>
      <w:r>
        <w:rPr>
          <w:rFonts w:ascii="Times New Roman;Times;serif" w:hAnsi="Times New Roman;Times;serif"/>
          <w:i/>
          <w:sz w:val="20"/>
        </w:rPr>
        <w:t>Liquidation Preference</w:t>
      </w:r>
      <w:r>
        <w:rPr>
          <w:rFonts w:ascii="Times New Roman;Times;serif" w:hAnsi="Times New Roman;Times;serif"/>
          <w:sz w:val="20"/>
        </w:rPr>
        <w:t>), this Clause 21.5 (</w:t>
      </w:r>
      <w:r>
        <w:rPr>
          <w:rFonts w:ascii="Times New Roman;Times;serif" w:hAnsi="Times New Roman;Times;serif"/>
          <w:i/>
          <w:sz w:val="20"/>
        </w:rPr>
        <w:t>Effect of Termination</w:t>
      </w:r>
      <w:r>
        <w:rPr>
          <w:rFonts w:ascii="Times New Roman;Times;serif" w:hAnsi="Times New Roman;Times;serif"/>
          <w:sz w:val="20"/>
        </w:rPr>
        <w:t>), Clause 24 (</w:t>
      </w:r>
      <w:r>
        <w:rPr>
          <w:rFonts w:ascii="Times New Roman;Times;serif" w:hAnsi="Times New Roman;Times;serif"/>
          <w:i/>
          <w:sz w:val="20"/>
        </w:rPr>
        <w:t>Confidentiality</w:t>
      </w:r>
      <w:r>
        <w:rPr>
          <w:rFonts w:ascii="Times New Roman;Times;serif" w:hAnsi="Times New Roman;Times;serif"/>
          <w:sz w:val="20"/>
        </w:rPr>
        <w:t>) and Clause 29 (</w:t>
      </w:r>
      <w:r>
        <w:rPr>
          <w:rFonts w:ascii="Times New Roman;Times;serif" w:hAnsi="Times New Roman;Times;serif"/>
          <w:i/>
          <w:sz w:val="20"/>
        </w:rPr>
        <w:t>Miscellaneous</w:t>
      </w:r>
      <w:r>
        <w:rPr>
          <w:rFonts w:ascii="Times New Roman;Times;serif" w:hAnsi="Times New Roman;Times;serif"/>
          <w:sz w:val="20"/>
        </w:rPr>
        <w:t>) shall survive the termination of this Agreement.</w:t>
      </w:r>
    </w:p>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FORCE MAJEURE</w:t>
      </w:r>
    </w:p>
    <w:tbl>
      <w:tblPr>
        <w:tblW w:w="2380" w:type="dxa"/>
        <w:jc w:val="left"/>
        <w:tblInd w:w="0" w:type="dxa"/>
        <w:tblLayout w:type="fixed"/>
        <w:tblCellMar>
          <w:top w:w="0" w:type="dxa"/>
          <w:left w:w="0" w:type="dxa"/>
          <w:bottom w:w="0" w:type="dxa"/>
          <w:right w:w="0" w:type="dxa"/>
        </w:tblCellMar>
      </w:tblPr>
      <w:tblGrid>
        <w:gridCol w:w="380"/>
        <w:gridCol w:w="200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22.1</w:t>
            </w:r>
          </w:p>
        </w:tc>
        <w:tc>
          <w:tcPr>
            <w:tcW w:w="200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Events of Force Majeure</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An event of force majeure (“</w:t>
      </w:r>
      <w:r>
        <w:rPr>
          <w:rFonts w:ascii="Times New Roman;Times;serif" w:hAnsi="Times New Roman;Times;serif"/>
          <w:b/>
          <w:sz w:val="20"/>
        </w:rPr>
        <w:t>Force Majeure</w:t>
      </w:r>
      <w:r>
        <w:rPr>
          <w:rFonts w:ascii="Times New Roman;Times;serif" w:hAnsi="Times New Roman;Times;serif"/>
          <w:sz w:val="20"/>
        </w:rPr>
        <w:t>”) shall mean any act or event which is reasonably unforeseeable and unavoidable and which is beyond the control of the affected Party, including, without limitation, earthquake, typhoon, flood, or other acts of nature, fire, war, riots, terrorist acts or any other unforeseeable or unavoidable act or event which is generally accepted as Force Majeure in international commercial practice.</w:t>
      </w:r>
    </w:p>
    <w:tbl>
      <w:tblPr>
        <w:tblW w:w="3340" w:type="dxa"/>
        <w:jc w:val="left"/>
        <w:tblInd w:w="0" w:type="dxa"/>
        <w:tblLayout w:type="fixed"/>
        <w:tblCellMar>
          <w:top w:w="0" w:type="dxa"/>
          <w:left w:w="0" w:type="dxa"/>
          <w:bottom w:w="0" w:type="dxa"/>
          <w:right w:w="0" w:type="dxa"/>
        </w:tblCellMar>
      </w:tblPr>
      <w:tblGrid>
        <w:gridCol w:w="380"/>
        <w:gridCol w:w="296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22.2</w:t>
            </w:r>
          </w:p>
        </w:tc>
        <w:tc>
          <w:tcPr>
            <w:tcW w:w="296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Occurrence of Force Majeure Events</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If either Party has been prevented from performing its obligations or responsibilities under this Agreement because of an event of Force Majeure, it shall notify the other Parties in writing within thirty (30) days after the occurrence of such event, provide the other Parties with detailed information concerning the event of Force Majeure and documents evidencing such event, including documentary evidence issued by government authorities or judicial authorities or any other competent authorities, explaining the reason for its inability to perform, and act to mitigate damages, if possible.</w:t>
      </w:r>
    </w:p>
    <w:tbl>
      <w:tblPr>
        <w:tblW w:w="2245" w:type="dxa"/>
        <w:jc w:val="left"/>
        <w:tblInd w:w="0" w:type="dxa"/>
        <w:tblLayout w:type="fixed"/>
        <w:tblCellMar>
          <w:top w:w="0" w:type="dxa"/>
          <w:left w:w="0" w:type="dxa"/>
          <w:bottom w:w="0" w:type="dxa"/>
          <w:right w:w="0" w:type="dxa"/>
        </w:tblCellMar>
      </w:tblPr>
      <w:tblGrid>
        <w:gridCol w:w="380"/>
        <w:gridCol w:w="186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22.3</w:t>
            </w:r>
          </w:p>
        </w:tc>
        <w:tc>
          <w:tcPr>
            <w:tcW w:w="186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Disclaimer of Liability</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If an event of Force Majeure occurs, none of the Parties shall be liable for any damage, increased costs, or losses that the other Parties may sustain because of the failure or delay of performance of any of its obligations under this Agreement, and such failure or delay shall not be deemed a breach of this Agreement. The Party encountering the Force Majeure event shall take appropriate means to minimize or mitigate the effects of Force Majeure and, as soon as practicably possible, attempt to resume performance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of the obligation affected by Force Majeure.</w:t>
      </w:r>
    </w:p>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REPRESENTATIONS AND WARRANTIES OF THE PARTIES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Each of the Parties hereby represents and warrants to the other Parties that, as of the effective date hereof:</w:t>
      </w:r>
    </w:p>
    <w:tbl>
      <w:tblPr>
        <w:tblW w:w="3640" w:type="dxa"/>
        <w:jc w:val="left"/>
        <w:tblInd w:w="0" w:type="dxa"/>
        <w:tblLayout w:type="fixed"/>
        <w:tblCellMar>
          <w:top w:w="0" w:type="dxa"/>
          <w:left w:w="0" w:type="dxa"/>
          <w:bottom w:w="0" w:type="dxa"/>
          <w:right w:w="0" w:type="dxa"/>
        </w:tblCellMar>
      </w:tblPr>
      <w:tblGrid>
        <w:gridCol w:w="380"/>
        <w:gridCol w:w="326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23.1</w:t>
            </w:r>
          </w:p>
        </w:tc>
        <w:tc>
          <w:tcPr>
            <w:tcW w:w="326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Existence, Authority and Enforceability</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It has the power and authority to execute this Agreement and to perform its obligations hereunder. It is an entity duly organized and validly existing under the Law of the jurisdiction of incorporation, or an individual with full capacity for civil conduct. Unless otherwise agreed in this Agreement, this Agreement has been duly executed by it, and constitutes its lawful, valid and binding obligations, enforceable against it in accordance with its terms upon the execution of this Agreement.</w:t>
      </w:r>
    </w:p>
    <w:tbl>
      <w:tblPr>
        <w:tblW w:w="1360" w:type="dxa"/>
        <w:jc w:val="left"/>
        <w:tblInd w:w="0" w:type="dxa"/>
        <w:tblLayout w:type="fixed"/>
        <w:tblCellMar>
          <w:top w:w="0" w:type="dxa"/>
          <w:left w:w="0" w:type="dxa"/>
          <w:bottom w:w="0" w:type="dxa"/>
          <w:right w:w="0" w:type="dxa"/>
        </w:tblCellMar>
      </w:tblPr>
      <w:tblGrid>
        <w:gridCol w:w="380"/>
        <w:gridCol w:w="98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23.2</w:t>
            </w:r>
          </w:p>
        </w:tc>
        <w:tc>
          <w:tcPr>
            <w:tcW w:w="98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No Conflict</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Its execution and delivery of this Agreement, and the performance of the obligations hereunder will not (a) conflict with, or result in a breach of any provision of its constitutional documents; (b) result in any breach, contradiction, default or event of default of, or trigger any acceleration or termination of rights or any additional payment obligations under, the terms of any contract, agreement or license to which it is a party or by which its assets or operations are bound or affected; or (c) violate any Law applicable to it.</w:t>
      </w:r>
    </w:p>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CONFIDENTIALITY</w:t>
      </w:r>
    </w:p>
    <w:tbl>
      <w:tblPr>
        <w:tblW w:w="2035" w:type="dxa"/>
        <w:jc w:val="left"/>
        <w:tblInd w:w="0" w:type="dxa"/>
        <w:tblLayout w:type="fixed"/>
        <w:tblCellMar>
          <w:top w:w="0" w:type="dxa"/>
          <w:left w:w="0" w:type="dxa"/>
          <w:bottom w:w="0" w:type="dxa"/>
          <w:right w:w="0" w:type="dxa"/>
        </w:tblCellMar>
      </w:tblPr>
      <w:tblGrid>
        <w:gridCol w:w="380"/>
        <w:gridCol w:w="165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24.1</w:t>
            </w:r>
          </w:p>
        </w:tc>
        <w:tc>
          <w:tcPr>
            <w:tcW w:w="165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General Obligations</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Unless with the prior written consent of the other Parties or as otherwise provided by this Agreement and Laws, none of the Parties shall, whether directly or indirectly, disclose, use, or permit its directors, employees, representatives, agents, advisors and counsel to disclose or use, the following confidential information:</w:t>
      </w:r>
    </w:p>
    <w:tbl>
      <w:tblPr>
        <w:tblW w:w="8253" w:type="dxa"/>
        <w:jc w:val="left"/>
        <w:tblInd w:w="0" w:type="dxa"/>
        <w:tblLayout w:type="fixed"/>
        <w:tblCellMar>
          <w:top w:w="0" w:type="dxa"/>
          <w:left w:w="0" w:type="dxa"/>
          <w:bottom w:w="0" w:type="dxa"/>
          <w:right w:w="0" w:type="dxa"/>
        </w:tblCellMar>
      </w:tblPr>
      <w:tblGrid>
        <w:gridCol w:w="23"/>
        <w:gridCol w:w="530"/>
        <w:gridCol w:w="7700"/>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24.1.1</w:t>
            </w:r>
          </w:p>
        </w:tc>
        <w:tc>
          <w:tcPr>
            <w:tcW w:w="770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existence of the Transaction Documents and information in connection with Each Transaction;</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24.1.2</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any discussions between the Parties regarding the execution and performance of this Agreement, the terms and conditions of this Agreement or any other information in connection with Each Transaction;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1440" w:right="0" w:hanging="0"/>
        <w:jc w:val="both"/>
        <w:rPr>
          <w:rFonts w:ascii="Times New Roman;Times;serif" w:hAnsi="Times New Roman;Times;serif"/>
          <w:sz w:val="20"/>
        </w:rPr>
      </w:pPr>
      <w:r>
        <w:rPr>
          <w:rFonts w:ascii="Times New Roman;Times;serif" w:hAnsi="Times New Roman;Times;serif"/>
          <w:sz w:val="20"/>
        </w:rPr>
        <w:t>and</w:t>
      </w:r>
    </w:p>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24.1.3</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any non-public information relating to the other Parties or any of their affiliates obtained by either Party in the negotiation of Each Transaction with the other Parties or the performance of this Agreement.</w:t>
            </w:r>
          </w:p>
        </w:tc>
      </w:tr>
    </w:tbl>
    <w:tbl>
      <w:tblPr>
        <w:tblW w:w="2020" w:type="dxa"/>
        <w:jc w:val="left"/>
        <w:tblInd w:w="0" w:type="dxa"/>
        <w:tblLayout w:type="fixed"/>
        <w:tblCellMar>
          <w:top w:w="0" w:type="dxa"/>
          <w:left w:w="0" w:type="dxa"/>
          <w:bottom w:w="0" w:type="dxa"/>
          <w:right w:w="0" w:type="dxa"/>
        </w:tblCellMar>
      </w:tblPr>
      <w:tblGrid>
        <w:gridCol w:w="380"/>
        <w:gridCol w:w="164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24.2</w:t>
            </w:r>
          </w:p>
        </w:tc>
        <w:tc>
          <w:tcPr>
            <w:tcW w:w="164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Special Exemptions</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Parties shall be exempted from the above confidentiality obligations under the following circumstances:</w:t>
      </w:r>
    </w:p>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24.2.1</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any confidential information may be disclosed to the officers, representatives, agents, consultants, counsel and other persons of any Party during Each Transaction on the need-to-know basis, provided that such officers, representatives, agents, consultants, counsel and other persons have assumed the confidentiality obligations with respect to such confidential information;</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24.2.2</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if any confidential information has been disclosed by any third party and becomes available to the public which is not attributable to or arises out of any Party, the confidentiality obligations with respect to such confidential information do not apply to such Party; and</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24.2.3</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any information has been publicly disclosed or any information has been disclosed in accordance with any Laws, regulations and/or the requirements of any security regulatory authority, any stock exchanges and any administrative authority that is responsible for filing, examination and approval.</w:t>
            </w:r>
          </w:p>
        </w:tc>
      </w:tr>
    </w:tbl>
    <w:tbl>
      <w:tblPr>
        <w:tblW w:w="1195" w:type="dxa"/>
        <w:jc w:val="left"/>
        <w:tblInd w:w="0" w:type="dxa"/>
        <w:tblLayout w:type="fixed"/>
        <w:tblCellMar>
          <w:top w:w="0" w:type="dxa"/>
          <w:left w:w="0" w:type="dxa"/>
          <w:bottom w:w="0" w:type="dxa"/>
          <w:right w:w="0" w:type="dxa"/>
        </w:tblCellMar>
      </w:tblPr>
      <w:tblGrid>
        <w:gridCol w:w="380"/>
        <w:gridCol w:w="81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24.3</w:t>
            </w:r>
          </w:p>
        </w:tc>
        <w:tc>
          <w:tcPr>
            <w:tcW w:w="81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Remedies</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Parties agree that if either Party breaches the confidentiality obligation hereunder, such Party shall be in breach of this Agreement, and the other Parties shall have the right to make claim against the defaulting Party for liability for breach of contract and initiate legal proceedings to prevent such infringement or take other remedies to prevent further infringement.</w:t>
      </w:r>
    </w:p>
    <w:tbl>
      <w:tblPr>
        <w:tblW w:w="1090" w:type="dxa"/>
        <w:jc w:val="left"/>
        <w:tblInd w:w="0" w:type="dxa"/>
        <w:tblLayout w:type="fixed"/>
        <w:tblCellMar>
          <w:top w:w="0" w:type="dxa"/>
          <w:left w:w="0" w:type="dxa"/>
          <w:bottom w:w="0" w:type="dxa"/>
          <w:right w:w="0" w:type="dxa"/>
        </w:tblCellMar>
      </w:tblPr>
      <w:tblGrid>
        <w:gridCol w:w="380"/>
        <w:gridCol w:w="71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24.4</w:t>
            </w:r>
          </w:p>
        </w:tc>
        <w:tc>
          <w:tcPr>
            <w:tcW w:w="71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Survival</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confidentiality obligation under this clause shall survive the termination of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25</w:t>
      </w:r>
      <w:r>
        <w:rPr>
          <w:rFonts w:ascii="Times New Roman;Times;serif" w:hAnsi="Times New Roman;Times;serif"/>
          <w:b/>
          <w:sz w:val="20"/>
        </w:rPr>
        <w:t>GOVERNING LAW AND DISPUTE RESOLUTION</w:t>
      </w:r>
    </w:p>
    <w:tbl>
      <w:tblPr>
        <w:tblW w:w="1660" w:type="dxa"/>
        <w:jc w:val="left"/>
        <w:tblInd w:w="0" w:type="dxa"/>
        <w:tblLayout w:type="fixed"/>
        <w:tblCellMar>
          <w:top w:w="0" w:type="dxa"/>
          <w:left w:w="0" w:type="dxa"/>
          <w:bottom w:w="0" w:type="dxa"/>
          <w:right w:w="0" w:type="dxa"/>
        </w:tblCellMar>
      </w:tblPr>
      <w:tblGrid>
        <w:gridCol w:w="380"/>
        <w:gridCol w:w="128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25.1</w:t>
            </w:r>
          </w:p>
        </w:tc>
        <w:tc>
          <w:tcPr>
            <w:tcW w:w="128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Governing Law</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formation, validity, interpretation, execution of this Agreement and resolution of any disputes arising hereunder shall be governed by and construed in accordance with the Laws of the PRC.</w:t>
      </w:r>
    </w:p>
    <w:tbl>
      <w:tblPr>
        <w:tblW w:w="1300" w:type="dxa"/>
        <w:jc w:val="left"/>
        <w:tblInd w:w="0" w:type="dxa"/>
        <w:tblLayout w:type="fixed"/>
        <w:tblCellMar>
          <w:top w:w="0" w:type="dxa"/>
          <w:left w:w="0" w:type="dxa"/>
          <w:bottom w:w="0" w:type="dxa"/>
          <w:right w:w="0" w:type="dxa"/>
        </w:tblCellMar>
      </w:tblPr>
      <w:tblGrid>
        <w:gridCol w:w="380"/>
        <w:gridCol w:w="92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25.2</w:t>
            </w:r>
          </w:p>
        </w:tc>
        <w:tc>
          <w:tcPr>
            <w:tcW w:w="92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Arbitration</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25.2.1</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Any dispute, controversy, difference or claim arising out of or relating to this Agreement shall be resolved by the Parties in dispute through amicable consultation. If the Parties fail to resolve such dispute within thirty (30) days of the date of the written notice given by a Party to the relevant other Parties indicating the existence of the dispute or requesting the commencement of negotiation, any Party may refer the dispute to arbitral institution.</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25.2.2</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Any dispute arising out of performance of this Agreement or relating to this Agreement shall be submitted to the China International Economic and Trade Arbitration Commission for arbitration in Beijing in accordance with the arbitration rules of arbitration institution effective at the time of application for arbitration. The arbitration proceedings shall be conducted in Chinese.</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25.2.3</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arbitration tribunal shall consist of three (3) arbitrators to be appointed in accordance with the arbitration rules. The applicant and the respondent shall each appoint one (1) arbitrator, if either of the joint applicants or joint respondents fails to jointly appoint an arbitrator of such party, it shall not affect the appointment of an arbitrator by the other party, and the two (2) arbitrators so appointed by the parties shall agree upon the third arbitrator or the China International Economic and Trade Arbitration Commission shall appoint the third arbitrator.</w:t>
            </w:r>
          </w:p>
        </w:tc>
      </w:tr>
    </w:tbl>
    <w:tbl>
      <w:tblPr>
        <w:tblW w:w="7038" w:type="dxa"/>
        <w:jc w:val="left"/>
        <w:tblInd w:w="0" w:type="dxa"/>
        <w:tblLayout w:type="fixed"/>
        <w:tblCellMar>
          <w:top w:w="0" w:type="dxa"/>
          <w:left w:w="0" w:type="dxa"/>
          <w:bottom w:w="0" w:type="dxa"/>
          <w:right w:w="0" w:type="dxa"/>
        </w:tblCellMar>
      </w:tblPr>
      <w:tblGrid>
        <w:gridCol w:w="23"/>
        <w:gridCol w:w="530"/>
        <w:gridCol w:w="6485"/>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25.2.4</w:t>
            </w:r>
          </w:p>
        </w:tc>
        <w:tc>
          <w:tcPr>
            <w:tcW w:w="648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arbitration award shall be final and binding on the parties to the arbitration.</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25.2.5</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losing Party shall be liable for the costs of the arbitration, all costs and expenses of the arbitration proceedings and all costs and expenses in relation to the enforcement of any arbitral award. The arbitral tribunal shall rule upon the costs of the parties not expressly provided for in this section.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320" w:type="dxa"/>
        <w:jc w:val="left"/>
        <w:tblInd w:w="0" w:type="dxa"/>
        <w:tblLayout w:type="fixed"/>
        <w:tblCellMar>
          <w:top w:w="0" w:type="dxa"/>
          <w:left w:w="0" w:type="dxa"/>
          <w:bottom w:w="0" w:type="dxa"/>
          <w:right w:w="0" w:type="dxa"/>
        </w:tblCellMar>
      </w:tblPr>
      <w:tblGrid>
        <w:gridCol w:w="380"/>
        <w:gridCol w:w="194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25.3</w:t>
            </w:r>
          </w:p>
        </w:tc>
        <w:tc>
          <w:tcPr>
            <w:tcW w:w="194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Continued Performance</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Parties shall continue to perform the rights and obligations under this Agreement during the negotiation and arbitration period, other than the disputed matter.</w:t>
      </w:r>
    </w:p>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26</w:t>
      </w:r>
      <w:r>
        <w:rPr>
          <w:rFonts w:ascii="Times New Roman;Times;serif" w:hAnsi="Times New Roman;Times;serif"/>
          <w:b/>
          <w:sz w:val="20"/>
        </w:rPr>
        <w:t>EFFECTIVENESS, MODIFICATION AND VALIDITY</w:t>
      </w:r>
    </w:p>
    <w:tbl>
      <w:tblPr>
        <w:tblW w:w="1480" w:type="dxa"/>
        <w:jc w:val="left"/>
        <w:tblInd w:w="0" w:type="dxa"/>
        <w:tblLayout w:type="fixed"/>
        <w:tblCellMar>
          <w:top w:w="0" w:type="dxa"/>
          <w:left w:w="0" w:type="dxa"/>
          <w:bottom w:w="0" w:type="dxa"/>
          <w:right w:w="0" w:type="dxa"/>
        </w:tblCellMar>
      </w:tblPr>
      <w:tblGrid>
        <w:gridCol w:w="380"/>
        <w:gridCol w:w="110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26.1</w:t>
            </w:r>
          </w:p>
        </w:tc>
        <w:tc>
          <w:tcPr>
            <w:tcW w:w="110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Effectiveness</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This Agreement shall come into force and become binding on the Parties upon the execution by the individuals and the respective authorized representatives of foreign entities among the Parties and the execution by the legal representatives or the respective authorized representatives of the Chinese entities and the affixation of their respective company chops, unless otherwise agreed in this Agreement.</w:t>
      </w:r>
    </w:p>
    <w:tbl>
      <w:tblPr>
        <w:tblW w:w="2350" w:type="dxa"/>
        <w:jc w:val="left"/>
        <w:tblInd w:w="0" w:type="dxa"/>
        <w:tblLayout w:type="fixed"/>
        <w:tblCellMar>
          <w:top w:w="0" w:type="dxa"/>
          <w:left w:w="0" w:type="dxa"/>
          <w:bottom w:w="0" w:type="dxa"/>
          <w:right w:w="0" w:type="dxa"/>
        </w:tblCellMar>
      </w:tblPr>
      <w:tblGrid>
        <w:gridCol w:w="380"/>
        <w:gridCol w:w="197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26.2</w:t>
            </w:r>
          </w:p>
        </w:tc>
        <w:tc>
          <w:tcPr>
            <w:tcW w:w="197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Amendments in Writing</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This Agreement may be amended or modified by the Parties through mutual consultation. Any amendment or modification shall be made in writing and become effective upon execution by the Parties hereto.</w:t>
      </w:r>
    </w:p>
    <w:tbl>
      <w:tblPr>
        <w:tblW w:w="2455" w:type="dxa"/>
        <w:jc w:val="left"/>
        <w:tblInd w:w="0" w:type="dxa"/>
        <w:tblLayout w:type="fixed"/>
        <w:tblCellMar>
          <w:top w:w="0" w:type="dxa"/>
          <w:left w:w="0" w:type="dxa"/>
          <w:bottom w:w="0" w:type="dxa"/>
          <w:right w:w="0" w:type="dxa"/>
        </w:tblCellMar>
      </w:tblPr>
      <w:tblGrid>
        <w:gridCol w:w="380"/>
        <w:gridCol w:w="207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26.3</w:t>
            </w:r>
          </w:p>
        </w:tc>
        <w:tc>
          <w:tcPr>
            <w:tcW w:w="207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Supplemental Agreement</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Provisions relating to the relevant rights and obligations of SDIC and/or its designated investment entity shall become legally binding on SDIC and/or its designated investment entity upon the approval of the Transaction by the competent decision-making authority of SDIC and/or its designated investment entity. Provisions relating to the relevant rights and obligations of Anhui High-tech Co. and/or its designated investment entity shall become legally binding on Anhui High-tech Co. and/or its designated investment entity upon the approval of the Transaction by the competent decision-making authority of Anhui High-tech Co. and/or its designated investment entity. Provisions relating to the relevant rights and obligations of Jianheng New Energy Fund shall become legally binding on Jianheng New Energy Fund upon the approval of the Transaction by the competent decision-making authority of Jianheng New Energy Fund.</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If Anhui High-tech Co. and/or its designated investment entity, SDIC and/or its designated investment entity and Jianheng New Energy Fund intend to amend the provisions of this Agreement during the examination and approval process required by their respective competent decision-making authority, the Parties agree to enter into a separate supplemental agreement to reach an agreement. In case of any inconsistency, such supplemental agreement shall prevail.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75" w:type="dxa"/>
        <w:jc w:val="left"/>
        <w:tblInd w:w="0" w:type="dxa"/>
        <w:tblLayout w:type="fixed"/>
        <w:tblCellMar>
          <w:top w:w="0" w:type="dxa"/>
          <w:left w:w="0" w:type="dxa"/>
          <w:bottom w:w="0" w:type="dxa"/>
          <w:right w:w="0" w:type="dxa"/>
        </w:tblCellMar>
      </w:tblPr>
      <w:tblGrid>
        <w:gridCol w:w="380"/>
        <w:gridCol w:w="69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26.4</w:t>
            </w:r>
          </w:p>
        </w:tc>
        <w:tc>
          <w:tcPr>
            <w:tcW w:w="69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Validity</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If any provisions of this Agreement shall be held, declared or deemed to be illegal, invalid or incapable of being enforced by any arbitral tribunal, judicial or administrative authority, the legality, validity and enforceability of all the other provisions of this Agreement shall not be affected or impaired. The Parties agrees to modify this Agreement or to enter into a supplemental agreement as appropriate through consultation in good faith so as to restore the original intent of this Agreement and the rights or obligations that shall be enjoyed or performed by the Parties as initially agreed in this Agreement.</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If any provisions of this Agreement shall be amended due to changes of relevant Laws, regulations or policies or as required by any Governmental Authority, the Parties shall use their best efforts to reach an agreement on such amendment and enter into relevant agreements so as to restore and confirm the rights or obligations that shall be enjoyed or performed by the Parties as agreed in this Agreement under the requirements of relevant Laws, regulations or policies.</w:t>
      </w:r>
    </w:p>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27</w:t>
      </w:r>
      <w:r>
        <w:rPr>
          <w:rFonts w:ascii="Times New Roman;Times;serif" w:hAnsi="Times New Roman;Times;serif"/>
          <w:b/>
          <w:sz w:val="20"/>
        </w:rPr>
        <w:t>BREACH</w:t>
      </w:r>
    </w:p>
    <w:tbl>
      <w:tblPr>
        <w:tblW w:w="1780" w:type="dxa"/>
        <w:jc w:val="left"/>
        <w:tblInd w:w="0" w:type="dxa"/>
        <w:tblLayout w:type="fixed"/>
        <w:tblCellMar>
          <w:top w:w="0" w:type="dxa"/>
          <w:left w:w="0" w:type="dxa"/>
          <w:bottom w:w="0" w:type="dxa"/>
          <w:right w:w="0" w:type="dxa"/>
        </w:tblCellMar>
      </w:tblPr>
      <w:tblGrid>
        <w:gridCol w:w="380"/>
        <w:gridCol w:w="140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27.1</w:t>
            </w:r>
          </w:p>
        </w:tc>
        <w:tc>
          <w:tcPr>
            <w:tcW w:w="140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Events of Breach</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Parties hereto shall strictly comply with the provisions of this Agreement. Each of the following events shall constitute an event of breach:</w:t>
      </w:r>
    </w:p>
    <w:tbl>
      <w:tblPr>
        <w:tblW w:w="9393" w:type="dxa"/>
        <w:jc w:val="left"/>
        <w:tblInd w:w="0" w:type="dxa"/>
        <w:tblLayout w:type="fixed"/>
        <w:tblCellMar>
          <w:top w:w="0" w:type="dxa"/>
          <w:left w:w="0" w:type="dxa"/>
          <w:bottom w:w="0" w:type="dxa"/>
          <w:right w:w="0" w:type="dxa"/>
        </w:tblCellMar>
      </w:tblPr>
      <w:tblGrid>
        <w:gridCol w:w="23"/>
        <w:gridCol w:w="530"/>
        <w:gridCol w:w="8840"/>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27.1.1</w:t>
            </w:r>
          </w:p>
        </w:tc>
        <w:tc>
          <w:tcPr>
            <w:tcW w:w="884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either Party hereto fails to perform or duly and fully perform any of its obligations or covenants hereunder; or</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27.1.2</w:t>
            </w:r>
          </w:p>
        </w:tc>
        <w:tc>
          <w:tcPr>
            <w:tcW w:w="96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any of the representations, covenants, undertakings or warranties given by either Party hereto under this Agreement is materially untrue, inaccurate or incomplete.</w:t>
            </w:r>
          </w:p>
        </w:tc>
      </w:tr>
    </w:tbl>
    <w:tbl>
      <w:tblPr>
        <w:tblW w:w="2020" w:type="dxa"/>
        <w:jc w:val="left"/>
        <w:tblInd w:w="0" w:type="dxa"/>
        <w:tblLayout w:type="fixed"/>
        <w:tblCellMar>
          <w:top w:w="0" w:type="dxa"/>
          <w:left w:w="0" w:type="dxa"/>
          <w:bottom w:w="0" w:type="dxa"/>
          <w:right w:w="0" w:type="dxa"/>
        </w:tblCellMar>
      </w:tblPr>
      <w:tblGrid>
        <w:gridCol w:w="380"/>
        <w:gridCol w:w="164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27.2</w:t>
            </w:r>
          </w:p>
        </w:tc>
        <w:tc>
          <w:tcPr>
            <w:tcW w:w="164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Damages for Breach</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Parties agree that, unless otherwise agreed in this Agreement, in the event of a breach of this Agreement, the defaulting Party shall indemnify the non-defaulting Party from and against any losses that may be incurred by non-defaulting Party arising out of the defaulting Party’s breach.</w:t>
      </w:r>
    </w:p>
    <w:tbl>
      <w:tblPr>
        <w:tblW w:w="1690" w:type="dxa"/>
        <w:jc w:val="left"/>
        <w:tblInd w:w="0" w:type="dxa"/>
        <w:tblLayout w:type="fixed"/>
        <w:tblCellMar>
          <w:top w:w="0" w:type="dxa"/>
          <w:left w:w="0" w:type="dxa"/>
          <w:bottom w:w="0" w:type="dxa"/>
          <w:right w:w="0" w:type="dxa"/>
        </w:tblCellMar>
      </w:tblPr>
      <w:tblGrid>
        <w:gridCol w:w="380"/>
        <w:gridCol w:w="131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27.3</w:t>
            </w:r>
          </w:p>
        </w:tc>
        <w:tc>
          <w:tcPr>
            <w:tcW w:w="131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Other Remedies</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damages for breach shall not affect the right of the non-defaulting Party to require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breaching party to continue to perform this Agreement or terminate this Agreement.</w:t>
      </w:r>
    </w:p>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28</w:t>
      </w:r>
      <w:r>
        <w:rPr>
          <w:rFonts w:ascii="Times New Roman;Times;serif" w:hAnsi="Times New Roman;Times;serif"/>
          <w:b/>
          <w:sz w:val="20"/>
        </w:rPr>
        <w:t>NOTICES AND DELIVERY</w:t>
      </w:r>
    </w:p>
    <w:tbl>
      <w:tblPr>
        <w:tblW w:w="1015" w:type="dxa"/>
        <w:jc w:val="left"/>
        <w:tblInd w:w="0" w:type="dxa"/>
        <w:tblLayout w:type="fixed"/>
        <w:tblCellMar>
          <w:top w:w="0" w:type="dxa"/>
          <w:left w:w="0" w:type="dxa"/>
          <w:bottom w:w="0" w:type="dxa"/>
          <w:right w:w="0" w:type="dxa"/>
        </w:tblCellMar>
      </w:tblPr>
      <w:tblGrid>
        <w:gridCol w:w="380"/>
        <w:gridCol w:w="63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28.1</w:t>
            </w:r>
          </w:p>
        </w:tc>
        <w:tc>
          <w:tcPr>
            <w:tcW w:w="63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Notices</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Parties agree that any notices relating to this Agreement shall only be effective if it is given in writing. Delivery in written form includes without limitation to delivery by way of facsimile, courier, registered mail and email. All such notices shall be deemed to have been given or received (a) on the date when the recipient receives the notice if delivered by courier or personal delivery; (b) on the seventh (7th) working day after it is sent if delivered by registered mail; and (c) upon successfully delivery if sent by email. All notices shall be deemed effectively given if delivered or sent to the following addresses or email addresses:</w:t>
      </w:r>
    </w:p>
    <w:tbl>
      <w:tblPr>
        <w:tblW w:w="4110" w:type="dxa"/>
        <w:jc w:val="left"/>
        <w:tblInd w:w="0" w:type="dxa"/>
        <w:tblLayout w:type="fixed"/>
        <w:tblCellMar>
          <w:top w:w="0" w:type="dxa"/>
          <w:left w:w="0" w:type="dxa"/>
          <w:bottom w:w="0" w:type="dxa"/>
          <w:right w:w="0" w:type="dxa"/>
        </w:tblCellMar>
      </w:tblPr>
      <w:tblGrid>
        <w:gridCol w:w="1626"/>
        <w:gridCol w:w="2484"/>
      </w:tblGrid>
      <w:tr>
        <w:trPr/>
        <w:tc>
          <w:tcPr>
            <w:tcW w:w="411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Jianheng New Energy Fund</w:t>
            </w:r>
          </w:p>
        </w:tc>
      </w:tr>
      <w:tr>
        <w:trPr/>
        <w:tc>
          <w:tcPr>
            <w:tcW w:w="4110" w:type="dxa"/>
            <w:gridSpan w:val="2"/>
            <w:tcBorders/>
            <w:vAlign w:val="center"/>
          </w:tcPr>
          <w:p>
            <w:pPr>
              <w:pStyle w:val="TableContents"/>
              <w:bidi w:val="0"/>
              <w:spacing w:before="0" w:after="0"/>
              <w:ind w:left="0" w:right="0" w:hanging="0"/>
              <w:jc w:val="left"/>
              <w:rPr/>
            </w:pPr>
            <w:r>
              <w:rPr/>
              <w:t>​</w:t>
            </w:r>
          </w:p>
        </w:tc>
      </w:tr>
      <w:tr>
        <w:trPr/>
        <w:tc>
          <w:tcPr>
            <w:tcW w:w="1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w:t>
            </w:r>
          </w:p>
        </w:tc>
        <w:tc>
          <w:tcPr>
            <w:tcW w:w="2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ZHOU Yu</w:t>
            </w:r>
          </w:p>
        </w:tc>
      </w:tr>
      <w:tr>
        <w:trPr/>
        <w:tc>
          <w:tcPr>
            <w:tcW w:w="1626" w:type="dxa"/>
            <w:tcBorders/>
            <w:vAlign w:val="center"/>
          </w:tcPr>
          <w:p>
            <w:pPr>
              <w:pStyle w:val="TableContents"/>
              <w:bidi w:val="0"/>
              <w:spacing w:before="0" w:after="0"/>
              <w:ind w:left="0" w:right="0" w:hanging="0"/>
              <w:jc w:val="left"/>
              <w:rPr/>
            </w:pPr>
            <w:r>
              <w:rPr/>
              <w:t>​</w:t>
            </w:r>
          </w:p>
        </w:tc>
        <w:tc>
          <w:tcPr>
            <w:tcW w:w="2484" w:type="dxa"/>
            <w:tcBorders/>
            <w:vAlign w:val="center"/>
          </w:tcPr>
          <w:p>
            <w:pPr>
              <w:pStyle w:val="TableContents"/>
              <w:bidi w:val="0"/>
              <w:spacing w:before="0" w:after="0"/>
              <w:ind w:left="0" w:right="0" w:hanging="0"/>
              <w:jc w:val="left"/>
              <w:rPr/>
            </w:pPr>
            <w:r>
              <w:rPr/>
              <w:t>​</w:t>
            </w:r>
          </w:p>
        </w:tc>
      </w:tr>
      <w:tr>
        <w:trPr/>
        <w:tc>
          <w:tcPr>
            <w:tcW w:w="1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2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26" w:type="dxa"/>
            <w:tcBorders/>
            <w:vAlign w:val="center"/>
          </w:tcPr>
          <w:p>
            <w:pPr>
              <w:pStyle w:val="TableContents"/>
              <w:bidi w:val="0"/>
              <w:spacing w:before="0" w:after="0"/>
              <w:ind w:left="0" w:right="0" w:hanging="0"/>
              <w:jc w:val="left"/>
              <w:rPr/>
            </w:pPr>
            <w:r>
              <w:rPr/>
              <w:t>​</w:t>
            </w:r>
          </w:p>
        </w:tc>
        <w:tc>
          <w:tcPr>
            <w:tcW w:w="2484" w:type="dxa"/>
            <w:tcBorders/>
            <w:vAlign w:val="center"/>
          </w:tcPr>
          <w:p>
            <w:pPr>
              <w:pStyle w:val="TableContents"/>
              <w:bidi w:val="0"/>
              <w:spacing w:before="0" w:after="0"/>
              <w:ind w:left="0" w:right="0" w:hanging="0"/>
              <w:jc w:val="left"/>
              <w:rPr/>
            </w:pPr>
            <w:r>
              <w:rPr/>
              <w:t>​</w:t>
            </w:r>
          </w:p>
        </w:tc>
      </w:tr>
      <w:tr>
        <w:trPr/>
        <w:tc>
          <w:tcPr>
            <w:tcW w:w="1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Telephone:</w:t>
            </w:r>
          </w:p>
        </w:tc>
        <w:tc>
          <w:tcPr>
            <w:tcW w:w="2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26" w:type="dxa"/>
            <w:tcBorders/>
            <w:vAlign w:val="center"/>
          </w:tcPr>
          <w:p>
            <w:pPr>
              <w:pStyle w:val="TableContents"/>
              <w:bidi w:val="0"/>
              <w:spacing w:before="0" w:after="0"/>
              <w:ind w:left="0" w:right="0" w:hanging="0"/>
              <w:jc w:val="left"/>
              <w:rPr/>
            </w:pPr>
            <w:r>
              <w:rPr/>
              <w:t>​</w:t>
            </w:r>
          </w:p>
        </w:tc>
        <w:tc>
          <w:tcPr>
            <w:tcW w:w="2484" w:type="dxa"/>
            <w:tcBorders/>
            <w:vAlign w:val="center"/>
          </w:tcPr>
          <w:p>
            <w:pPr>
              <w:pStyle w:val="TableContents"/>
              <w:bidi w:val="0"/>
              <w:spacing w:before="0" w:after="0"/>
              <w:ind w:left="0" w:right="0" w:hanging="0"/>
              <w:jc w:val="left"/>
              <w:rPr/>
            </w:pPr>
            <w:r>
              <w:rPr/>
              <w:t>​</w:t>
            </w:r>
          </w:p>
        </w:tc>
      </w:tr>
      <w:tr>
        <w:trPr/>
        <w:tc>
          <w:tcPr>
            <w:tcW w:w="1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w:t>
            </w:r>
          </w:p>
        </w:tc>
        <w:tc>
          <w:tcPr>
            <w:tcW w:w="2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26" w:type="dxa"/>
            <w:tcBorders/>
            <w:vAlign w:val="center"/>
          </w:tcPr>
          <w:p>
            <w:pPr>
              <w:pStyle w:val="TableContents"/>
              <w:bidi w:val="0"/>
              <w:spacing w:before="0" w:after="0"/>
              <w:ind w:left="0" w:right="0" w:hanging="0"/>
              <w:jc w:val="left"/>
              <w:rPr/>
            </w:pPr>
            <w:r>
              <w:rPr/>
              <w:t>​</w:t>
            </w:r>
          </w:p>
        </w:tc>
        <w:tc>
          <w:tcPr>
            <w:tcW w:w="2484" w:type="dxa"/>
            <w:tcBorders/>
            <w:vAlign w:val="center"/>
          </w:tcPr>
          <w:p>
            <w:pPr>
              <w:pStyle w:val="TableContents"/>
              <w:bidi w:val="0"/>
              <w:spacing w:before="0" w:after="0"/>
              <w:ind w:left="0" w:right="0" w:hanging="0"/>
              <w:jc w:val="left"/>
              <w:rPr/>
            </w:pPr>
            <w:r>
              <w:rPr/>
              <w:t>​</w:t>
            </w:r>
          </w:p>
        </w:tc>
      </w:tr>
      <w:tr>
        <w:trPr/>
        <w:tc>
          <w:tcPr>
            <w:tcW w:w="411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SDIC, Advanced Manufacturing Industry Fund</w:t>
            </w:r>
          </w:p>
        </w:tc>
      </w:tr>
      <w:tr>
        <w:trPr/>
        <w:tc>
          <w:tcPr>
            <w:tcW w:w="4110" w:type="dxa"/>
            <w:gridSpan w:val="2"/>
            <w:tcBorders/>
            <w:vAlign w:val="center"/>
          </w:tcPr>
          <w:p>
            <w:pPr>
              <w:pStyle w:val="TableContents"/>
              <w:bidi w:val="0"/>
              <w:spacing w:before="0" w:after="0"/>
              <w:ind w:left="0" w:right="0" w:hanging="0"/>
              <w:jc w:val="left"/>
              <w:rPr/>
            </w:pPr>
            <w:r>
              <w:rPr/>
              <w:t>​</w:t>
            </w:r>
          </w:p>
        </w:tc>
      </w:tr>
      <w:tr>
        <w:trPr/>
        <w:tc>
          <w:tcPr>
            <w:tcW w:w="1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w:t>
            </w:r>
          </w:p>
        </w:tc>
        <w:tc>
          <w:tcPr>
            <w:tcW w:w="2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 Shuo</w:t>
            </w:r>
          </w:p>
        </w:tc>
      </w:tr>
      <w:tr>
        <w:trPr/>
        <w:tc>
          <w:tcPr>
            <w:tcW w:w="1626" w:type="dxa"/>
            <w:tcBorders/>
            <w:vAlign w:val="center"/>
          </w:tcPr>
          <w:p>
            <w:pPr>
              <w:pStyle w:val="TableContents"/>
              <w:bidi w:val="0"/>
              <w:spacing w:before="0" w:after="0"/>
              <w:ind w:left="0" w:right="0" w:hanging="0"/>
              <w:jc w:val="left"/>
              <w:rPr/>
            </w:pPr>
            <w:r>
              <w:rPr/>
              <w:t>​</w:t>
            </w:r>
          </w:p>
        </w:tc>
        <w:tc>
          <w:tcPr>
            <w:tcW w:w="2484" w:type="dxa"/>
            <w:tcBorders/>
            <w:vAlign w:val="center"/>
          </w:tcPr>
          <w:p>
            <w:pPr>
              <w:pStyle w:val="TableContents"/>
              <w:bidi w:val="0"/>
              <w:spacing w:before="0" w:after="0"/>
              <w:ind w:left="0" w:right="0" w:hanging="0"/>
              <w:jc w:val="left"/>
              <w:rPr/>
            </w:pPr>
            <w:r>
              <w:rPr/>
              <w:t>​</w:t>
            </w:r>
          </w:p>
        </w:tc>
      </w:tr>
      <w:tr>
        <w:trPr/>
        <w:tc>
          <w:tcPr>
            <w:tcW w:w="1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2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26" w:type="dxa"/>
            <w:tcBorders/>
            <w:vAlign w:val="center"/>
          </w:tcPr>
          <w:p>
            <w:pPr>
              <w:pStyle w:val="TableContents"/>
              <w:bidi w:val="0"/>
              <w:spacing w:before="0" w:after="0"/>
              <w:ind w:left="0" w:right="0" w:hanging="0"/>
              <w:jc w:val="left"/>
              <w:rPr/>
            </w:pPr>
            <w:r>
              <w:rPr/>
              <w:t>​</w:t>
            </w:r>
          </w:p>
        </w:tc>
        <w:tc>
          <w:tcPr>
            <w:tcW w:w="2484" w:type="dxa"/>
            <w:tcBorders/>
            <w:vAlign w:val="center"/>
          </w:tcPr>
          <w:p>
            <w:pPr>
              <w:pStyle w:val="TableContents"/>
              <w:bidi w:val="0"/>
              <w:spacing w:before="0" w:after="0"/>
              <w:ind w:left="0" w:right="0" w:hanging="0"/>
              <w:jc w:val="left"/>
              <w:rPr/>
            </w:pPr>
            <w:r>
              <w:rPr/>
              <w:t>​</w:t>
            </w:r>
          </w:p>
        </w:tc>
      </w:tr>
      <w:tr>
        <w:trPr/>
        <w:tc>
          <w:tcPr>
            <w:tcW w:w="1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Telephone:</w:t>
            </w:r>
          </w:p>
        </w:tc>
        <w:tc>
          <w:tcPr>
            <w:tcW w:w="2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26" w:type="dxa"/>
            <w:tcBorders/>
            <w:vAlign w:val="center"/>
          </w:tcPr>
          <w:p>
            <w:pPr>
              <w:pStyle w:val="TableContents"/>
              <w:bidi w:val="0"/>
              <w:spacing w:before="0" w:after="0"/>
              <w:ind w:left="0" w:right="0" w:hanging="0"/>
              <w:jc w:val="left"/>
              <w:rPr/>
            </w:pPr>
            <w:r>
              <w:rPr/>
              <w:t>​</w:t>
            </w:r>
          </w:p>
        </w:tc>
        <w:tc>
          <w:tcPr>
            <w:tcW w:w="2484" w:type="dxa"/>
            <w:tcBorders/>
            <w:vAlign w:val="center"/>
          </w:tcPr>
          <w:p>
            <w:pPr>
              <w:pStyle w:val="TableContents"/>
              <w:bidi w:val="0"/>
              <w:spacing w:before="0" w:after="0"/>
              <w:ind w:left="0" w:right="0" w:hanging="0"/>
              <w:jc w:val="left"/>
              <w:rPr/>
            </w:pPr>
            <w:r>
              <w:rPr/>
              <w:t>​</w:t>
            </w:r>
          </w:p>
        </w:tc>
      </w:tr>
      <w:tr>
        <w:trPr/>
        <w:tc>
          <w:tcPr>
            <w:tcW w:w="1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w:t>
            </w:r>
          </w:p>
        </w:tc>
        <w:tc>
          <w:tcPr>
            <w:tcW w:w="2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26" w:type="dxa"/>
            <w:tcBorders/>
            <w:vAlign w:val="center"/>
          </w:tcPr>
          <w:p>
            <w:pPr>
              <w:pStyle w:val="TableContents"/>
              <w:bidi w:val="0"/>
              <w:spacing w:before="0" w:after="0"/>
              <w:ind w:left="0" w:right="0" w:hanging="0"/>
              <w:jc w:val="left"/>
              <w:rPr/>
            </w:pPr>
            <w:r>
              <w:rPr/>
              <w:t>​</w:t>
            </w:r>
          </w:p>
        </w:tc>
        <w:tc>
          <w:tcPr>
            <w:tcW w:w="2484" w:type="dxa"/>
            <w:tcBorders/>
            <w:vAlign w:val="center"/>
          </w:tcPr>
          <w:p>
            <w:pPr>
              <w:pStyle w:val="TableContents"/>
              <w:bidi w:val="0"/>
              <w:spacing w:before="0" w:after="0"/>
              <w:ind w:left="0" w:right="0" w:hanging="0"/>
              <w:jc w:val="left"/>
              <w:rPr/>
            </w:pPr>
            <w:r>
              <w:rPr/>
              <w:t>​</w:t>
            </w:r>
          </w:p>
        </w:tc>
      </w:tr>
      <w:tr>
        <w:trPr/>
        <w:tc>
          <w:tcPr>
            <w:tcW w:w="411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Anhui High-tech Co.</w:t>
            </w:r>
          </w:p>
        </w:tc>
      </w:tr>
      <w:tr>
        <w:trPr/>
        <w:tc>
          <w:tcPr>
            <w:tcW w:w="4110" w:type="dxa"/>
            <w:gridSpan w:val="2"/>
            <w:tcBorders/>
            <w:vAlign w:val="center"/>
          </w:tcPr>
          <w:p>
            <w:pPr>
              <w:pStyle w:val="TableContents"/>
              <w:bidi w:val="0"/>
              <w:spacing w:before="0" w:after="0"/>
              <w:ind w:left="0" w:right="0" w:hanging="0"/>
              <w:jc w:val="left"/>
              <w:rPr/>
            </w:pPr>
            <w:r>
              <w:rPr/>
              <w:t>​</w:t>
            </w:r>
          </w:p>
        </w:tc>
      </w:tr>
      <w:tr>
        <w:trPr/>
        <w:tc>
          <w:tcPr>
            <w:tcW w:w="1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w:t>
            </w:r>
          </w:p>
        </w:tc>
        <w:tc>
          <w:tcPr>
            <w:tcW w:w="2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ZHANG Youpeng</w:t>
            </w:r>
          </w:p>
        </w:tc>
      </w:tr>
      <w:tr>
        <w:trPr/>
        <w:tc>
          <w:tcPr>
            <w:tcW w:w="1626" w:type="dxa"/>
            <w:tcBorders/>
            <w:vAlign w:val="center"/>
          </w:tcPr>
          <w:p>
            <w:pPr>
              <w:pStyle w:val="TableContents"/>
              <w:bidi w:val="0"/>
              <w:spacing w:before="0" w:after="0"/>
              <w:ind w:left="0" w:right="0" w:hanging="0"/>
              <w:jc w:val="left"/>
              <w:rPr/>
            </w:pPr>
            <w:r>
              <w:rPr/>
              <w:t>​</w:t>
            </w:r>
          </w:p>
        </w:tc>
        <w:tc>
          <w:tcPr>
            <w:tcW w:w="2484" w:type="dxa"/>
            <w:tcBorders/>
            <w:vAlign w:val="center"/>
          </w:tcPr>
          <w:p>
            <w:pPr>
              <w:pStyle w:val="TableContents"/>
              <w:bidi w:val="0"/>
              <w:spacing w:before="0" w:after="0"/>
              <w:ind w:left="0" w:right="0" w:hanging="0"/>
              <w:jc w:val="left"/>
              <w:rPr/>
            </w:pPr>
            <w:r>
              <w:rPr/>
              <w:t>​</w:t>
            </w:r>
          </w:p>
        </w:tc>
      </w:tr>
      <w:tr>
        <w:trPr/>
        <w:tc>
          <w:tcPr>
            <w:tcW w:w="1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2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26" w:type="dxa"/>
            <w:tcBorders/>
            <w:vAlign w:val="center"/>
          </w:tcPr>
          <w:p>
            <w:pPr>
              <w:pStyle w:val="TableContents"/>
              <w:bidi w:val="0"/>
              <w:spacing w:before="0" w:after="0"/>
              <w:ind w:left="0" w:right="0" w:hanging="0"/>
              <w:jc w:val="left"/>
              <w:rPr/>
            </w:pPr>
            <w:r>
              <w:rPr/>
              <w:t>​</w:t>
            </w:r>
          </w:p>
        </w:tc>
        <w:tc>
          <w:tcPr>
            <w:tcW w:w="2484" w:type="dxa"/>
            <w:tcBorders/>
            <w:vAlign w:val="center"/>
          </w:tcPr>
          <w:p>
            <w:pPr>
              <w:pStyle w:val="TableContents"/>
              <w:bidi w:val="0"/>
              <w:spacing w:before="0" w:after="0"/>
              <w:ind w:left="0" w:right="0" w:hanging="0"/>
              <w:jc w:val="left"/>
              <w:rPr/>
            </w:pPr>
            <w:r>
              <w:rPr/>
              <w:t>​</w:t>
            </w:r>
          </w:p>
        </w:tc>
      </w:tr>
      <w:tr>
        <w:trPr/>
        <w:tc>
          <w:tcPr>
            <w:tcW w:w="1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Telephone:</w:t>
            </w:r>
          </w:p>
        </w:tc>
        <w:tc>
          <w:tcPr>
            <w:tcW w:w="2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715" w:type="dxa"/>
        <w:jc w:val="left"/>
        <w:tblInd w:w="0" w:type="dxa"/>
        <w:tblLayout w:type="fixed"/>
        <w:tblCellMar>
          <w:top w:w="0" w:type="dxa"/>
          <w:left w:w="0" w:type="dxa"/>
          <w:bottom w:w="0" w:type="dxa"/>
          <w:right w:w="0" w:type="dxa"/>
        </w:tblCellMar>
      </w:tblPr>
      <w:tblGrid>
        <w:gridCol w:w="1305"/>
        <w:gridCol w:w="1410"/>
      </w:tblGrid>
      <w:tr>
        <w:trPr/>
        <w:tc>
          <w:tcPr>
            <w:tcW w:w="1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828675" cy="175260"/>
                      <wp:effectExtent l="0" t="0" r="0" b="0"/>
                      <wp:wrapNone/>
                      <wp:docPr id="709" name="Frame700"/>
                      <a:graphic xmlns:a="http://schemas.openxmlformats.org/drawingml/2006/main">
                        <a:graphicData uri="http://schemas.microsoft.com/office/word/2010/wordprocessingShape">
                          <wps:wsp>
                            <wps:cNvSpPr txBox="1"/>
                            <wps:spPr>
                              <a:xfrm>
                                <a:off x="0" y="0"/>
                                <a:ext cx="828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895350" cy="175260"/>
                      <wp:effectExtent l="0" t="0" r="0" b="0"/>
                      <wp:wrapNone/>
                      <wp:docPr id="710" name="Frame701"/>
                      <a:graphic xmlns:a="http://schemas.openxmlformats.org/drawingml/2006/main">
                        <a:graphicData uri="http://schemas.microsoft.com/office/word/2010/wordprocessingShape">
                          <wps:wsp>
                            <wps:cNvSpPr txBox="1"/>
                            <wps:spPr>
                              <a:xfrm>
                                <a:off x="0" y="0"/>
                                <a:ext cx="895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w:t>
            </w:r>
          </w:p>
        </w:tc>
        <w:tc>
          <w:tcPr>
            <w:tcW w:w="1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05" w:type="dxa"/>
            <w:tcBorders/>
            <w:vAlign w:val="center"/>
          </w:tcPr>
          <w:p>
            <w:pPr>
              <w:pStyle w:val="TableContents"/>
              <w:bidi w:val="0"/>
              <w:spacing w:before="0" w:after="0"/>
              <w:ind w:left="0" w:right="0" w:hanging="0"/>
              <w:jc w:val="left"/>
              <w:rPr/>
            </w:pPr>
            <w:r>
              <w:rPr/>
              <w:t>​</w:t>
            </w:r>
          </w:p>
        </w:tc>
        <w:tc>
          <w:tcPr>
            <w:tcW w:w="1410" w:type="dxa"/>
            <w:tcBorders/>
            <w:vAlign w:val="center"/>
          </w:tcPr>
          <w:p>
            <w:pPr>
              <w:pStyle w:val="TableContents"/>
              <w:bidi w:val="0"/>
              <w:spacing w:before="0" w:after="0"/>
              <w:ind w:left="0" w:right="0" w:hanging="0"/>
              <w:jc w:val="left"/>
              <w:rPr/>
            </w:pPr>
            <w:r>
              <w:rPr/>
              <w:t>​</w:t>
            </w:r>
          </w:p>
        </w:tc>
      </w:tr>
      <w:tr>
        <w:trPr/>
        <w:tc>
          <w:tcPr>
            <w:tcW w:w="271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Anhui Sanzhong Yichuang</w:t>
            </w:r>
          </w:p>
        </w:tc>
      </w:tr>
      <w:tr>
        <w:trPr/>
        <w:tc>
          <w:tcPr>
            <w:tcW w:w="2715" w:type="dxa"/>
            <w:gridSpan w:val="2"/>
            <w:tcBorders/>
            <w:vAlign w:val="center"/>
          </w:tcPr>
          <w:p>
            <w:pPr>
              <w:pStyle w:val="TableContents"/>
              <w:bidi w:val="0"/>
              <w:spacing w:before="0" w:after="0"/>
              <w:ind w:left="0" w:right="0" w:hanging="0"/>
              <w:jc w:val="left"/>
              <w:rPr/>
            </w:pPr>
            <w:r>
              <w:rPr/>
              <w:t>​</w:t>
            </w:r>
          </w:p>
        </w:tc>
      </w:tr>
      <w:tr>
        <w:trPr/>
        <w:tc>
          <w:tcPr>
            <w:tcW w:w="1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w:t>
            </w:r>
          </w:p>
        </w:tc>
        <w:tc>
          <w:tcPr>
            <w:tcW w:w="1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XU Haiqiang</w:t>
            </w:r>
          </w:p>
        </w:tc>
      </w:tr>
      <w:tr>
        <w:trPr/>
        <w:tc>
          <w:tcPr>
            <w:tcW w:w="1305" w:type="dxa"/>
            <w:tcBorders/>
            <w:vAlign w:val="center"/>
          </w:tcPr>
          <w:p>
            <w:pPr>
              <w:pStyle w:val="TableContents"/>
              <w:bidi w:val="0"/>
              <w:spacing w:before="0" w:after="0"/>
              <w:ind w:left="0" w:right="0" w:hanging="0"/>
              <w:jc w:val="left"/>
              <w:rPr/>
            </w:pPr>
            <w:r>
              <w:rPr/>
              <w:t>​</w:t>
            </w:r>
          </w:p>
        </w:tc>
        <w:tc>
          <w:tcPr>
            <w:tcW w:w="1410" w:type="dxa"/>
            <w:tcBorders/>
            <w:vAlign w:val="center"/>
          </w:tcPr>
          <w:p>
            <w:pPr>
              <w:pStyle w:val="TableContents"/>
              <w:bidi w:val="0"/>
              <w:spacing w:before="0" w:after="0"/>
              <w:ind w:left="0" w:right="0" w:hanging="0"/>
              <w:jc w:val="left"/>
              <w:rPr/>
            </w:pPr>
            <w:r>
              <w:rPr/>
              <w:t>​</w:t>
            </w:r>
          </w:p>
        </w:tc>
      </w:tr>
      <w:tr>
        <w:trPr/>
        <w:tc>
          <w:tcPr>
            <w:tcW w:w="1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1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05" w:type="dxa"/>
            <w:tcBorders/>
            <w:vAlign w:val="center"/>
          </w:tcPr>
          <w:p>
            <w:pPr>
              <w:pStyle w:val="TableContents"/>
              <w:bidi w:val="0"/>
              <w:spacing w:before="0" w:after="0"/>
              <w:ind w:left="0" w:right="0" w:hanging="0"/>
              <w:jc w:val="left"/>
              <w:rPr/>
            </w:pPr>
            <w:r>
              <w:rPr/>
              <w:t>​</w:t>
            </w:r>
          </w:p>
        </w:tc>
        <w:tc>
          <w:tcPr>
            <w:tcW w:w="1410" w:type="dxa"/>
            <w:tcBorders/>
            <w:vAlign w:val="center"/>
          </w:tcPr>
          <w:p>
            <w:pPr>
              <w:pStyle w:val="TableContents"/>
              <w:bidi w:val="0"/>
              <w:spacing w:before="0" w:after="0"/>
              <w:ind w:left="0" w:right="0" w:hanging="0"/>
              <w:jc w:val="left"/>
              <w:rPr/>
            </w:pPr>
            <w:r>
              <w:rPr/>
              <w:t>​</w:t>
            </w:r>
          </w:p>
        </w:tc>
      </w:tr>
      <w:tr>
        <w:trPr/>
        <w:tc>
          <w:tcPr>
            <w:tcW w:w="1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Telephone:</w:t>
            </w:r>
          </w:p>
        </w:tc>
        <w:tc>
          <w:tcPr>
            <w:tcW w:w="1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05" w:type="dxa"/>
            <w:tcBorders/>
            <w:vAlign w:val="center"/>
          </w:tcPr>
          <w:p>
            <w:pPr>
              <w:pStyle w:val="TableContents"/>
              <w:bidi w:val="0"/>
              <w:spacing w:before="0" w:after="0"/>
              <w:ind w:left="0" w:right="0" w:hanging="0"/>
              <w:jc w:val="left"/>
              <w:rPr/>
            </w:pPr>
            <w:r>
              <w:rPr/>
              <w:t>​</w:t>
            </w:r>
          </w:p>
        </w:tc>
        <w:tc>
          <w:tcPr>
            <w:tcW w:w="1410" w:type="dxa"/>
            <w:tcBorders/>
            <w:vAlign w:val="center"/>
          </w:tcPr>
          <w:p>
            <w:pPr>
              <w:pStyle w:val="TableContents"/>
              <w:bidi w:val="0"/>
              <w:spacing w:before="0" w:after="0"/>
              <w:ind w:left="0" w:right="0" w:hanging="0"/>
              <w:jc w:val="left"/>
              <w:rPr/>
            </w:pPr>
            <w:r>
              <w:rPr/>
              <w:t>​</w:t>
            </w:r>
          </w:p>
        </w:tc>
      </w:tr>
      <w:tr>
        <w:trPr/>
        <w:tc>
          <w:tcPr>
            <w:tcW w:w="1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w:t>
            </w:r>
          </w:p>
        </w:tc>
        <w:tc>
          <w:tcPr>
            <w:tcW w:w="1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05" w:type="dxa"/>
            <w:tcBorders/>
            <w:vAlign w:val="center"/>
          </w:tcPr>
          <w:p>
            <w:pPr>
              <w:pStyle w:val="TableContents"/>
              <w:bidi w:val="0"/>
              <w:spacing w:before="0" w:after="0"/>
              <w:ind w:left="0" w:right="0" w:hanging="0"/>
              <w:jc w:val="left"/>
              <w:rPr/>
            </w:pPr>
            <w:r>
              <w:rPr/>
              <w:t>​</w:t>
            </w:r>
          </w:p>
        </w:tc>
        <w:tc>
          <w:tcPr>
            <w:tcW w:w="1410" w:type="dxa"/>
            <w:tcBorders/>
            <w:vAlign w:val="center"/>
          </w:tcPr>
          <w:p>
            <w:pPr>
              <w:pStyle w:val="TableContents"/>
              <w:bidi w:val="0"/>
              <w:spacing w:before="0" w:after="0"/>
              <w:ind w:left="0" w:right="0" w:hanging="0"/>
              <w:jc w:val="left"/>
              <w:rPr/>
            </w:pPr>
            <w:r>
              <w:rPr/>
              <w:t>​</w:t>
            </w:r>
          </w:p>
        </w:tc>
      </w:tr>
      <w:tr>
        <w:trPr/>
        <w:tc>
          <w:tcPr>
            <w:tcW w:w="271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New Energy Automobile Fund</w:t>
            </w:r>
          </w:p>
        </w:tc>
      </w:tr>
      <w:tr>
        <w:trPr/>
        <w:tc>
          <w:tcPr>
            <w:tcW w:w="2715" w:type="dxa"/>
            <w:gridSpan w:val="2"/>
            <w:tcBorders/>
            <w:vAlign w:val="center"/>
          </w:tcPr>
          <w:p>
            <w:pPr>
              <w:pStyle w:val="TableContents"/>
              <w:bidi w:val="0"/>
              <w:spacing w:before="0" w:after="0"/>
              <w:ind w:left="0" w:right="0" w:hanging="0"/>
              <w:jc w:val="left"/>
              <w:rPr/>
            </w:pPr>
            <w:r>
              <w:rPr/>
              <w:t>​</w:t>
            </w:r>
          </w:p>
        </w:tc>
      </w:tr>
      <w:tr>
        <w:trPr/>
        <w:tc>
          <w:tcPr>
            <w:tcW w:w="1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w:t>
            </w:r>
          </w:p>
        </w:tc>
        <w:tc>
          <w:tcPr>
            <w:tcW w:w="1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 Xiao</w:t>
            </w:r>
          </w:p>
        </w:tc>
      </w:tr>
      <w:tr>
        <w:trPr/>
        <w:tc>
          <w:tcPr>
            <w:tcW w:w="1305" w:type="dxa"/>
            <w:tcBorders/>
            <w:vAlign w:val="center"/>
          </w:tcPr>
          <w:p>
            <w:pPr>
              <w:pStyle w:val="TableContents"/>
              <w:bidi w:val="0"/>
              <w:spacing w:before="0" w:after="0"/>
              <w:ind w:left="0" w:right="0" w:hanging="0"/>
              <w:jc w:val="left"/>
              <w:rPr/>
            </w:pPr>
            <w:r>
              <w:rPr/>
              <w:t>​</w:t>
            </w:r>
          </w:p>
        </w:tc>
        <w:tc>
          <w:tcPr>
            <w:tcW w:w="1410" w:type="dxa"/>
            <w:tcBorders/>
            <w:vAlign w:val="center"/>
          </w:tcPr>
          <w:p>
            <w:pPr>
              <w:pStyle w:val="TableContents"/>
              <w:bidi w:val="0"/>
              <w:spacing w:before="0" w:after="0"/>
              <w:ind w:left="0" w:right="0" w:hanging="0"/>
              <w:jc w:val="left"/>
              <w:rPr/>
            </w:pPr>
            <w:r>
              <w:rPr/>
              <w:t>​</w:t>
            </w:r>
          </w:p>
        </w:tc>
      </w:tr>
      <w:tr>
        <w:trPr/>
        <w:tc>
          <w:tcPr>
            <w:tcW w:w="1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1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05" w:type="dxa"/>
            <w:tcBorders/>
            <w:vAlign w:val="center"/>
          </w:tcPr>
          <w:p>
            <w:pPr>
              <w:pStyle w:val="TableContents"/>
              <w:bidi w:val="0"/>
              <w:spacing w:before="0" w:after="0"/>
              <w:ind w:left="0" w:right="0" w:hanging="0"/>
              <w:jc w:val="left"/>
              <w:rPr/>
            </w:pPr>
            <w:r>
              <w:rPr/>
              <w:t>​</w:t>
            </w:r>
          </w:p>
        </w:tc>
        <w:tc>
          <w:tcPr>
            <w:tcW w:w="1410" w:type="dxa"/>
            <w:tcBorders/>
            <w:vAlign w:val="center"/>
          </w:tcPr>
          <w:p>
            <w:pPr>
              <w:pStyle w:val="TableContents"/>
              <w:bidi w:val="0"/>
              <w:spacing w:before="0" w:after="0"/>
              <w:ind w:left="0" w:right="0" w:hanging="0"/>
              <w:jc w:val="left"/>
              <w:rPr/>
            </w:pPr>
            <w:r>
              <w:rPr/>
              <w:t>​</w:t>
            </w:r>
          </w:p>
        </w:tc>
      </w:tr>
      <w:tr>
        <w:trPr/>
        <w:tc>
          <w:tcPr>
            <w:tcW w:w="1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Telephone:</w:t>
            </w:r>
          </w:p>
        </w:tc>
        <w:tc>
          <w:tcPr>
            <w:tcW w:w="1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05" w:type="dxa"/>
            <w:tcBorders/>
            <w:vAlign w:val="center"/>
          </w:tcPr>
          <w:p>
            <w:pPr>
              <w:pStyle w:val="TableContents"/>
              <w:bidi w:val="0"/>
              <w:spacing w:before="0" w:after="0"/>
              <w:ind w:left="0" w:right="0" w:hanging="0"/>
              <w:jc w:val="left"/>
              <w:rPr/>
            </w:pPr>
            <w:r>
              <w:rPr/>
              <w:t>​</w:t>
            </w:r>
          </w:p>
        </w:tc>
        <w:tc>
          <w:tcPr>
            <w:tcW w:w="1410" w:type="dxa"/>
            <w:tcBorders/>
            <w:vAlign w:val="center"/>
          </w:tcPr>
          <w:p>
            <w:pPr>
              <w:pStyle w:val="TableContents"/>
              <w:bidi w:val="0"/>
              <w:spacing w:before="0" w:after="0"/>
              <w:ind w:left="0" w:right="0" w:hanging="0"/>
              <w:jc w:val="left"/>
              <w:rPr/>
            </w:pPr>
            <w:r>
              <w:rPr/>
              <w:t>​</w:t>
            </w:r>
          </w:p>
        </w:tc>
      </w:tr>
      <w:tr>
        <w:trPr/>
        <w:tc>
          <w:tcPr>
            <w:tcW w:w="1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w:t>
            </w:r>
          </w:p>
        </w:tc>
        <w:tc>
          <w:tcPr>
            <w:tcW w:w="1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05" w:type="dxa"/>
            <w:tcBorders/>
            <w:vAlign w:val="center"/>
          </w:tcPr>
          <w:p>
            <w:pPr>
              <w:pStyle w:val="TableContents"/>
              <w:bidi w:val="0"/>
              <w:spacing w:before="0" w:after="0"/>
              <w:ind w:left="0" w:right="0" w:hanging="0"/>
              <w:jc w:val="left"/>
              <w:rPr/>
            </w:pPr>
            <w:r>
              <w:rPr/>
              <w:t>​</w:t>
            </w:r>
          </w:p>
        </w:tc>
        <w:tc>
          <w:tcPr>
            <w:tcW w:w="1410" w:type="dxa"/>
            <w:tcBorders/>
            <w:vAlign w:val="center"/>
          </w:tcPr>
          <w:p>
            <w:pPr>
              <w:pStyle w:val="TableContents"/>
              <w:bidi w:val="0"/>
              <w:spacing w:before="0" w:after="0"/>
              <w:ind w:left="0" w:right="0" w:hanging="0"/>
              <w:jc w:val="left"/>
              <w:rPr/>
            </w:pPr>
            <w:r>
              <w:rPr/>
              <w:t>​</w:t>
            </w:r>
          </w:p>
        </w:tc>
      </w:tr>
      <w:tr>
        <w:trPr/>
        <w:tc>
          <w:tcPr>
            <w:tcW w:w="13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NIO Parties</w:t>
            </w:r>
          </w:p>
        </w:tc>
        <w:tc>
          <w:tcPr>
            <w:tcW w:w="1410" w:type="dxa"/>
            <w:tcBorders/>
            <w:vAlign w:val="center"/>
          </w:tcPr>
          <w:p>
            <w:pPr>
              <w:pStyle w:val="TableContents"/>
              <w:bidi w:val="0"/>
              <w:spacing w:before="0" w:after="0"/>
              <w:ind w:left="0" w:right="0" w:hanging="0"/>
              <w:jc w:val="left"/>
              <w:rPr/>
            </w:pPr>
            <w:r>
              <w:rPr/>
              <w:t>​</w:t>
            </w:r>
          </w:p>
        </w:tc>
      </w:tr>
      <w:tr>
        <w:trPr/>
        <w:tc>
          <w:tcPr>
            <w:tcW w:w="1305" w:type="dxa"/>
            <w:tcBorders/>
            <w:vAlign w:val="center"/>
          </w:tcPr>
          <w:p>
            <w:pPr>
              <w:pStyle w:val="TableContents"/>
              <w:bidi w:val="0"/>
              <w:spacing w:before="0" w:after="0"/>
              <w:ind w:left="0" w:right="0" w:hanging="0"/>
              <w:jc w:val="left"/>
              <w:rPr/>
            </w:pPr>
            <w:r>
              <w:rPr/>
              <w:t>​</w:t>
            </w:r>
          </w:p>
        </w:tc>
        <w:tc>
          <w:tcPr>
            <w:tcW w:w="1410" w:type="dxa"/>
            <w:tcBorders/>
            <w:vAlign w:val="center"/>
          </w:tcPr>
          <w:p>
            <w:pPr>
              <w:pStyle w:val="TableContents"/>
              <w:bidi w:val="0"/>
              <w:spacing w:before="0" w:after="0"/>
              <w:ind w:left="0" w:right="0" w:hanging="0"/>
              <w:jc w:val="left"/>
              <w:rPr/>
            </w:pPr>
            <w:r>
              <w:rPr/>
              <w:t>​</w:t>
            </w:r>
          </w:p>
        </w:tc>
      </w:tr>
      <w:tr>
        <w:trPr/>
        <w:tc>
          <w:tcPr>
            <w:tcW w:w="1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w:t>
            </w:r>
          </w:p>
        </w:tc>
        <w:tc>
          <w:tcPr>
            <w:tcW w:w="1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 Yu</w:t>
            </w:r>
          </w:p>
        </w:tc>
      </w:tr>
      <w:tr>
        <w:trPr/>
        <w:tc>
          <w:tcPr>
            <w:tcW w:w="1305" w:type="dxa"/>
            <w:tcBorders/>
            <w:vAlign w:val="center"/>
          </w:tcPr>
          <w:p>
            <w:pPr>
              <w:pStyle w:val="TableContents"/>
              <w:bidi w:val="0"/>
              <w:spacing w:before="0" w:after="0"/>
              <w:ind w:left="0" w:right="0" w:hanging="0"/>
              <w:jc w:val="left"/>
              <w:rPr/>
            </w:pPr>
            <w:r>
              <w:rPr/>
              <w:t>​</w:t>
            </w:r>
          </w:p>
        </w:tc>
        <w:tc>
          <w:tcPr>
            <w:tcW w:w="1410" w:type="dxa"/>
            <w:tcBorders/>
            <w:vAlign w:val="center"/>
          </w:tcPr>
          <w:p>
            <w:pPr>
              <w:pStyle w:val="TableContents"/>
              <w:bidi w:val="0"/>
              <w:spacing w:before="0" w:after="0"/>
              <w:ind w:left="0" w:right="0" w:hanging="0"/>
              <w:jc w:val="left"/>
              <w:rPr/>
            </w:pPr>
            <w:r>
              <w:rPr/>
              <w:t>​</w:t>
            </w:r>
          </w:p>
        </w:tc>
      </w:tr>
      <w:tr>
        <w:trPr/>
        <w:tc>
          <w:tcPr>
            <w:tcW w:w="1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1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05" w:type="dxa"/>
            <w:tcBorders/>
            <w:vAlign w:val="center"/>
          </w:tcPr>
          <w:p>
            <w:pPr>
              <w:pStyle w:val="TableContents"/>
              <w:bidi w:val="0"/>
              <w:spacing w:before="0" w:after="0"/>
              <w:ind w:left="0" w:right="0" w:hanging="0"/>
              <w:jc w:val="left"/>
              <w:rPr/>
            </w:pPr>
            <w:r>
              <w:rPr/>
              <w:t>​</w:t>
            </w:r>
          </w:p>
        </w:tc>
        <w:tc>
          <w:tcPr>
            <w:tcW w:w="1410" w:type="dxa"/>
            <w:tcBorders/>
            <w:vAlign w:val="center"/>
          </w:tcPr>
          <w:p>
            <w:pPr>
              <w:pStyle w:val="TableContents"/>
              <w:bidi w:val="0"/>
              <w:spacing w:before="0" w:after="0"/>
              <w:ind w:left="0" w:right="0" w:hanging="0"/>
              <w:jc w:val="left"/>
              <w:rPr/>
            </w:pPr>
            <w:r>
              <w:rPr/>
              <w:t>​</w:t>
            </w:r>
          </w:p>
        </w:tc>
      </w:tr>
      <w:tr>
        <w:trPr/>
        <w:tc>
          <w:tcPr>
            <w:tcW w:w="1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Telephone:</w:t>
            </w:r>
          </w:p>
        </w:tc>
        <w:tc>
          <w:tcPr>
            <w:tcW w:w="1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05" w:type="dxa"/>
            <w:tcBorders/>
            <w:vAlign w:val="center"/>
          </w:tcPr>
          <w:p>
            <w:pPr>
              <w:pStyle w:val="TableContents"/>
              <w:bidi w:val="0"/>
              <w:spacing w:before="0" w:after="0"/>
              <w:ind w:left="0" w:right="0" w:hanging="0"/>
              <w:jc w:val="left"/>
              <w:rPr/>
            </w:pPr>
            <w:r>
              <w:rPr/>
              <w:t>​</w:t>
            </w:r>
          </w:p>
        </w:tc>
        <w:tc>
          <w:tcPr>
            <w:tcW w:w="1410" w:type="dxa"/>
            <w:tcBorders/>
            <w:vAlign w:val="center"/>
          </w:tcPr>
          <w:p>
            <w:pPr>
              <w:pStyle w:val="TableContents"/>
              <w:bidi w:val="0"/>
              <w:spacing w:before="0" w:after="0"/>
              <w:ind w:left="0" w:right="0" w:hanging="0"/>
              <w:jc w:val="left"/>
              <w:rPr/>
            </w:pPr>
            <w:r>
              <w:rPr/>
              <w:t>​</w:t>
            </w:r>
          </w:p>
        </w:tc>
      </w:tr>
      <w:tr>
        <w:trPr/>
        <w:tc>
          <w:tcPr>
            <w:tcW w:w="1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w:t>
            </w:r>
          </w:p>
        </w:tc>
        <w:tc>
          <w:tcPr>
            <w:tcW w:w="1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05" w:type="dxa"/>
            <w:tcBorders/>
            <w:vAlign w:val="center"/>
          </w:tcPr>
          <w:p>
            <w:pPr>
              <w:pStyle w:val="TableContents"/>
              <w:bidi w:val="0"/>
              <w:spacing w:before="0" w:after="0"/>
              <w:ind w:left="0" w:right="0" w:hanging="0"/>
              <w:jc w:val="left"/>
              <w:rPr/>
            </w:pPr>
            <w:r>
              <w:rPr/>
              <w:t>​</w:t>
            </w:r>
          </w:p>
        </w:tc>
        <w:tc>
          <w:tcPr>
            <w:tcW w:w="1410" w:type="dxa"/>
            <w:tcBorders/>
            <w:vAlign w:val="center"/>
          </w:tcPr>
          <w:p>
            <w:pPr>
              <w:pStyle w:val="TableContents"/>
              <w:bidi w:val="0"/>
              <w:spacing w:before="0" w:after="0"/>
              <w:ind w:left="0" w:right="0" w:hanging="0"/>
              <w:jc w:val="left"/>
              <w:rPr/>
            </w:pPr>
            <w:r>
              <w:rPr/>
              <w:t>​</w:t>
            </w:r>
          </w:p>
        </w:tc>
      </w:tr>
      <w:tr>
        <w:trPr/>
        <w:tc>
          <w:tcPr>
            <w:tcW w:w="271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Target Company</w:t>
            </w:r>
          </w:p>
        </w:tc>
      </w:tr>
      <w:tr>
        <w:trPr/>
        <w:tc>
          <w:tcPr>
            <w:tcW w:w="2715" w:type="dxa"/>
            <w:gridSpan w:val="2"/>
            <w:tcBorders/>
            <w:vAlign w:val="center"/>
          </w:tcPr>
          <w:p>
            <w:pPr>
              <w:pStyle w:val="TableContents"/>
              <w:bidi w:val="0"/>
              <w:spacing w:before="0" w:after="0"/>
              <w:ind w:left="0" w:right="0" w:hanging="0"/>
              <w:jc w:val="left"/>
              <w:rPr/>
            </w:pPr>
            <w:r>
              <w:rPr/>
              <w:t>​</w:t>
            </w:r>
          </w:p>
        </w:tc>
      </w:tr>
      <w:tr>
        <w:trPr/>
        <w:tc>
          <w:tcPr>
            <w:tcW w:w="1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w:t>
            </w:r>
          </w:p>
        </w:tc>
        <w:tc>
          <w:tcPr>
            <w:tcW w:w="1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 Yu</w:t>
            </w:r>
          </w:p>
        </w:tc>
      </w:tr>
      <w:tr>
        <w:trPr/>
        <w:tc>
          <w:tcPr>
            <w:tcW w:w="1305" w:type="dxa"/>
            <w:tcBorders/>
            <w:vAlign w:val="center"/>
          </w:tcPr>
          <w:p>
            <w:pPr>
              <w:pStyle w:val="TableContents"/>
              <w:bidi w:val="0"/>
              <w:spacing w:before="0" w:after="0"/>
              <w:ind w:left="0" w:right="0" w:hanging="0"/>
              <w:jc w:val="left"/>
              <w:rPr/>
            </w:pPr>
            <w:r>
              <w:rPr/>
              <w:t>​</w:t>
            </w:r>
          </w:p>
        </w:tc>
        <w:tc>
          <w:tcPr>
            <w:tcW w:w="1410" w:type="dxa"/>
            <w:tcBorders/>
            <w:vAlign w:val="center"/>
          </w:tcPr>
          <w:p>
            <w:pPr>
              <w:pStyle w:val="TableContents"/>
              <w:bidi w:val="0"/>
              <w:spacing w:before="0" w:after="0"/>
              <w:ind w:left="0" w:right="0" w:hanging="0"/>
              <w:jc w:val="left"/>
              <w:rPr/>
            </w:pPr>
            <w:r>
              <w:rPr/>
              <w:t>​</w:t>
            </w:r>
          </w:p>
        </w:tc>
      </w:tr>
      <w:tr>
        <w:trPr/>
        <w:tc>
          <w:tcPr>
            <w:tcW w:w="1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1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05" w:type="dxa"/>
            <w:tcBorders/>
            <w:vAlign w:val="center"/>
          </w:tcPr>
          <w:p>
            <w:pPr>
              <w:pStyle w:val="TableContents"/>
              <w:bidi w:val="0"/>
              <w:spacing w:before="0" w:after="0"/>
              <w:ind w:left="0" w:right="0" w:hanging="0"/>
              <w:jc w:val="left"/>
              <w:rPr/>
            </w:pPr>
            <w:r>
              <w:rPr/>
              <w:t>​</w:t>
            </w:r>
          </w:p>
        </w:tc>
        <w:tc>
          <w:tcPr>
            <w:tcW w:w="1410" w:type="dxa"/>
            <w:tcBorders/>
            <w:vAlign w:val="center"/>
          </w:tcPr>
          <w:p>
            <w:pPr>
              <w:pStyle w:val="TableContents"/>
              <w:bidi w:val="0"/>
              <w:spacing w:before="0" w:after="0"/>
              <w:ind w:left="0" w:right="0" w:hanging="0"/>
              <w:jc w:val="left"/>
              <w:rPr/>
            </w:pPr>
            <w:r>
              <w:rPr/>
              <w:t>​</w:t>
            </w:r>
          </w:p>
        </w:tc>
      </w:tr>
      <w:tr>
        <w:trPr/>
        <w:tc>
          <w:tcPr>
            <w:tcW w:w="1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Telephone:</w:t>
            </w:r>
          </w:p>
        </w:tc>
        <w:tc>
          <w:tcPr>
            <w:tcW w:w="1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05" w:type="dxa"/>
            <w:tcBorders/>
            <w:vAlign w:val="center"/>
          </w:tcPr>
          <w:p>
            <w:pPr>
              <w:pStyle w:val="TableContents"/>
              <w:bidi w:val="0"/>
              <w:spacing w:before="0" w:after="0"/>
              <w:ind w:left="0" w:right="0" w:hanging="0"/>
              <w:jc w:val="left"/>
              <w:rPr/>
            </w:pPr>
            <w:r>
              <w:rPr/>
              <w:t>​</w:t>
            </w:r>
          </w:p>
        </w:tc>
        <w:tc>
          <w:tcPr>
            <w:tcW w:w="1410" w:type="dxa"/>
            <w:tcBorders/>
            <w:vAlign w:val="center"/>
          </w:tcPr>
          <w:p>
            <w:pPr>
              <w:pStyle w:val="TableContents"/>
              <w:bidi w:val="0"/>
              <w:spacing w:before="0" w:after="0"/>
              <w:ind w:left="0" w:right="0" w:hanging="0"/>
              <w:jc w:val="left"/>
              <w:rPr/>
            </w:pPr>
            <w:r>
              <w:rPr/>
              <w:t>​</w:t>
            </w:r>
          </w:p>
        </w:tc>
      </w:tr>
      <w:tr>
        <w:trPr/>
        <w:tc>
          <w:tcPr>
            <w:tcW w:w="1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w:t>
            </w:r>
          </w:p>
        </w:tc>
        <w:tc>
          <w:tcPr>
            <w:tcW w:w="1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245" w:type="dxa"/>
        <w:jc w:val="left"/>
        <w:tblInd w:w="0" w:type="dxa"/>
        <w:tblLayout w:type="fixed"/>
        <w:tblCellMar>
          <w:top w:w="0" w:type="dxa"/>
          <w:left w:w="0" w:type="dxa"/>
          <w:bottom w:w="0" w:type="dxa"/>
          <w:right w:w="0" w:type="dxa"/>
        </w:tblCellMar>
      </w:tblPr>
      <w:tblGrid>
        <w:gridCol w:w="380"/>
        <w:gridCol w:w="186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28.2</w:t>
            </w:r>
          </w:p>
        </w:tc>
        <w:tc>
          <w:tcPr>
            <w:tcW w:w="186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Change of Information</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If either Party changes its above mailing address or contact information (the “</w:t>
      </w:r>
      <w:r>
        <w:rPr>
          <w:rFonts w:ascii="Times New Roman;Times;serif" w:hAnsi="Times New Roman;Times;serif"/>
          <w:b/>
          <w:sz w:val="20"/>
        </w:rPr>
        <w:t>Changing Party</w:t>
      </w:r>
      <w:r>
        <w:rPr>
          <w:rFonts w:ascii="Times New Roman;Times;serif" w:hAnsi="Times New Roman;Times;serif"/>
          <w:sz w:val="20"/>
        </w:rPr>
        <w:t>”), it shall notify the other Parties within seven (7) days after the occurrence of such change. If the Changing Party fails to notify the other Parties of the same in a timely manner, it shall bear the losses arising from such failure.</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All Parties hereby confirm that, in the event of litigation or arbitration arising from disputes during or in connection with the performance of this Agreement (including enforcement procedures), the above mailing address shall serve as the receiving address for relevant notices and legal documents sent by mail to the other Parties, people’s courts, arbitration institutions, etc. If the above mailing address provided by a Party is inaccurate, the change of the above mailing address is not promptly notified to the other Parties, or such Party or its designated recipient refuses to sign for the delivery of the notice or relevant legal documents, resulting in such notice or relevant legal documents not being actually received by such Party, the date on which such documents are returned shall be deemed as the date of service.</w:t>
      </w:r>
    </w:p>
    <w:p>
      <w:pPr>
        <w:pStyle w:val="TextBody"/>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29</w:t>
      </w:r>
      <w:r>
        <w:rPr>
          <w:rFonts w:ascii="Times New Roman;Times;serif" w:hAnsi="Times New Roman;Times;serif"/>
          <w:b/>
          <w:sz w:val="20"/>
        </w:rPr>
        <w:t>MISCELLANEOUS</w:t>
      </w:r>
    </w:p>
    <w:tbl>
      <w:tblPr>
        <w:tblW w:w="1825" w:type="dxa"/>
        <w:jc w:val="left"/>
        <w:tblInd w:w="0" w:type="dxa"/>
        <w:tblLayout w:type="fixed"/>
        <w:tblCellMar>
          <w:top w:w="0" w:type="dxa"/>
          <w:left w:w="0" w:type="dxa"/>
          <w:bottom w:w="0" w:type="dxa"/>
          <w:right w:w="0" w:type="dxa"/>
        </w:tblCellMar>
      </w:tblPr>
      <w:tblGrid>
        <w:gridCol w:w="380"/>
        <w:gridCol w:w="144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29.1</w:t>
            </w:r>
          </w:p>
        </w:tc>
        <w:tc>
          <w:tcPr>
            <w:tcW w:w="144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Entire Agreement</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This Agreement, the other Transaction Documents and the exhibits attached hereto shall constitute the entire agreement of the Parties with respect to this Transaction and shall supersede all prior written or oral agreements, letter of intent, memorandum of understanding, representations or other obligations of the Parties with respect to this Transaction (including all forms of communication), including but not limited to the Series A Shareholders Agreement, Amendment and Supplementary Agreement I to the Shareholders Agreement, Amendment and Supplementary Agreement II to the Shareholders Agreement, Amendment and Supplementary Agreement III to the Shareholders Agreement, Amendment and Supplementary Agreement IV to the Shareholders Agreement, Amendment and Supplementary Agreement V to the Shareholders Agreement and Amendment, Supplementary Agreement VI to the Shareholders Agreement and the New Series A Shareholders Agreement. This Agreement (including any amendments or modifications thereto and the other Transaction Documents) contains the sole and entire agreement of the Parties with respect to the subject matters hereof.</w:t>
      </w:r>
    </w:p>
    <w:tbl>
      <w:tblPr>
        <w:tblW w:w="1825" w:type="dxa"/>
        <w:jc w:val="left"/>
        <w:tblInd w:w="0" w:type="dxa"/>
        <w:tblLayout w:type="fixed"/>
        <w:tblCellMar>
          <w:top w:w="0" w:type="dxa"/>
          <w:left w:w="0" w:type="dxa"/>
          <w:bottom w:w="0" w:type="dxa"/>
          <w:right w:w="0" w:type="dxa"/>
        </w:tblCellMar>
      </w:tblPr>
      <w:tblGrid>
        <w:gridCol w:w="380"/>
        <w:gridCol w:w="144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29.2</w:t>
            </w:r>
          </w:p>
        </w:tc>
        <w:tc>
          <w:tcPr>
            <w:tcW w:w="144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No Authorization</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Nothing in the Investors’ implementation of Each Transaction shall constitute an authorization of the Investors of the use of any trademark, tradename, service trademark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or logo of the Investors or its affiliates (any abbreviated or imitative forms of the foregoing). Without prior written consent of the Investors, none of the Target Company, the NIO Parties or any of their affiliates shall directly or indirectly represent that any goods or services provided by it have been approved or recognized by any Investors or any of their affiliates.</w:t>
      </w:r>
    </w:p>
    <w:tbl>
      <w:tblPr>
        <w:tblW w:w="1585" w:type="dxa"/>
        <w:jc w:val="left"/>
        <w:tblInd w:w="0" w:type="dxa"/>
        <w:tblLayout w:type="fixed"/>
        <w:tblCellMar>
          <w:top w:w="0" w:type="dxa"/>
          <w:left w:w="0" w:type="dxa"/>
          <w:bottom w:w="0" w:type="dxa"/>
          <w:right w:w="0" w:type="dxa"/>
        </w:tblCellMar>
      </w:tblPr>
      <w:tblGrid>
        <w:gridCol w:w="380"/>
        <w:gridCol w:w="120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29.3</w:t>
            </w:r>
          </w:p>
        </w:tc>
        <w:tc>
          <w:tcPr>
            <w:tcW w:w="120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Further Action</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For the purpose of maintaining and protecting the rights, powers and remedies of the Investors hereunder, the other Parties shall take all such further acts and actions or cause all such further acts and actions to be taken and execute or procure the execution of all such further documents, as may be reasonably required by the Investors from time to time.</w:t>
      </w:r>
    </w:p>
    <w:tbl>
      <w:tblPr>
        <w:tblW w:w="1390" w:type="dxa"/>
        <w:jc w:val="left"/>
        <w:tblInd w:w="0" w:type="dxa"/>
        <w:tblLayout w:type="fixed"/>
        <w:tblCellMar>
          <w:top w:w="0" w:type="dxa"/>
          <w:left w:w="0" w:type="dxa"/>
          <w:bottom w:w="0" w:type="dxa"/>
          <w:right w:w="0" w:type="dxa"/>
        </w:tblCellMar>
      </w:tblPr>
      <w:tblGrid>
        <w:gridCol w:w="380"/>
        <w:gridCol w:w="101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29.4</w:t>
            </w:r>
          </w:p>
        </w:tc>
        <w:tc>
          <w:tcPr>
            <w:tcW w:w="101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Severability</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If any provision of this Agreement is illegal, invalid or incapable of being enforced, in whole or in part, the legality, validity and enforceability of all the other provisions of this Agreement shall not be affected. The Parties shall, to the extent reasonable, use their best efforts replace the invalid or unenforceable provision with a valid and enforceable provision that corresponds as far as possible to the spirit and purpose of the invalid or unenforceable provision.</w:t>
      </w:r>
    </w:p>
    <w:tbl>
      <w:tblPr>
        <w:tblW w:w="1270" w:type="dxa"/>
        <w:jc w:val="left"/>
        <w:tblInd w:w="0" w:type="dxa"/>
        <w:tblLayout w:type="fixed"/>
        <w:tblCellMar>
          <w:top w:w="0" w:type="dxa"/>
          <w:left w:w="0" w:type="dxa"/>
          <w:bottom w:w="0" w:type="dxa"/>
          <w:right w:w="0" w:type="dxa"/>
        </w:tblCellMar>
      </w:tblPr>
      <w:tblGrid>
        <w:gridCol w:w="380"/>
        <w:gridCol w:w="89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29.5</w:t>
            </w:r>
          </w:p>
        </w:tc>
        <w:tc>
          <w:tcPr>
            <w:tcW w:w="89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No Waiver</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No failure or delay by either Party hereto to exercise and/or enjoy its rights and/or benefits hereunder shall be deemed as a waiver of such rights and/or benefits, nor shall any partial exercise of such rights and/or benefits preclude any future exercise of such rights and/or benefits. Any waiver by either Party of any provision of this Agreement shall not be construed as a waiver of any other provisions of this Agreement, nor shall such waiver be construed as a waiver of such provision with respect to any other event or circumstances, whether in the past, at present or in future. Furthermore, the remedies provided in this Agreement be cumulative and not exclusive of any provided by Laws.</w:t>
      </w:r>
    </w:p>
    <w:tbl>
      <w:tblPr>
        <w:tblW w:w="1360" w:type="dxa"/>
        <w:jc w:val="left"/>
        <w:tblInd w:w="0" w:type="dxa"/>
        <w:tblLayout w:type="fixed"/>
        <w:tblCellMar>
          <w:top w:w="0" w:type="dxa"/>
          <w:left w:w="0" w:type="dxa"/>
          <w:bottom w:w="0" w:type="dxa"/>
          <w:right w:w="0" w:type="dxa"/>
        </w:tblCellMar>
      </w:tblPr>
      <w:tblGrid>
        <w:gridCol w:w="380"/>
        <w:gridCol w:w="98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29.6</w:t>
            </w:r>
          </w:p>
        </w:tc>
        <w:tc>
          <w:tcPr>
            <w:tcW w:w="98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Assignment</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Subject to relevant provisions of this Agreement, the Investors shall have the right to assign or transfer its equity interest in the Target Company and the rights, interests and obligations hereunder to any third party except for the competitors of the NIO Parties set forth in Exhibit IV (the “</w:t>
      </w:r>
      <w:r>
        <w:rPr>
          <w:rFonts w:ascii="Times New Roman;Times;serif" w:hAnsi="Times New Roman;Times;serif"/>
          <w:b/>
          <w:sz w:val="20"/>
        </w:rPr>
        <w:t>NIO Parties Competitors</w:t>
      </w:r>
      <w:r>
        <w:rPr>
          <w:rFonts w:ascii="Times New Roman;Times;serif" w:hAnsi="Times New Roman;Times;serif"/>
          <w:sz w:val="20"/>
        </w:rPr>
        <w:t>”). In the event that the license or consent of any Party hereto is required for such transfer, such Party shall give its utmost cooperation. In particular, SDIC and/or its designated investment entity,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Advanced Manufacturing Industry Fund, New Energy Automobile Fund, Anhui High-tech Co. and/or its designated investment entity, Anhui Sanzhong Yichuang and Jianheng New Energy Fund have the right to transfer all or part of their rights, interests and obligations under this Agreement to any of their affiliates or any third party agreed by the NIO Parties, and the relevant transferee shall recognize and consent to all provisions of this Agreement, and together with the original contracting parties, to re-enter into this Agreement or a supplementary agreement or joining agreement to clarify the rights, interests and obligations of the transferee under this Agreement. In respect of such transfer, the other Parties to this Agreement hereby waive their respective pre-emptive rights that they may be entitled to in accordance with applicable PRC Laws, this Agreement, the articles of association of the Target Company or any other matters. Unless otherwise agreed in this Agreement, none of the Parties shall assign or transfer any of its rights, benefits or obligations under this Agreement without the prior written consent of the other Parties. No assignment of rights, benefits or obligations in violation of this section shall be valid.</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This Agreement shall be binding upon, inure to the benefit of and be effective for the Parties and their respective successors and assigns permitted hereunder. In addition, unless otherwise set forth herein, no third party is intended to be a beneficiary of this Agreement.</w:t>
      </w:r>
    </w:p>
    <w:tbl>
      <w:tblPr>
        <w:tblW w:w="3190" w:type="dxa"/>
        <w:jc w:val="left"/>
        <w:tblInd w:w="0" w:type="dxa"/>
        <w:tblLayout w:type="fixed"/>
        <w:tblCellMar>
          <w:top w:w="0" w:type="dxa"/>
          <w:left w:w="0" w:type="dxa"/>
          <w:bottom w:w="0" w:type="dxa"/>
          <w:right w:w="0" w:type="dxa"/>
        </w:tblCellMar>
      </w:tblPr>
      <w:tblGrid>
        <w:gridCol w:w="380"/>
        <w:gridCol w:w="2810"/>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29.7</w:t>
            </w:r>
          </w:p>
        </w:tc>
        <w:tc>
          <w:tcPr>
            <w:tcW w:w="281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Other Investors of this Transaction</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The Parties hereby acknowledge and agree that, the Target Company shall have the sole discretion to determine a subscription of the newly increased registered capital in the investment amount of no more than RMB 1.7 billion for this Transaction (as defined in the “</w:t>
      </w:r>
      <w:r>
        <w:rPr>
          <w:rFonts w:ascii="Times New Roman;Times;serif" w:hAnsi="Times New Roman;Times;serif"/>
          <w:b/>
          <w:sz w:val="20"/>
        </w:rPr>
        <w:t>Series B Investment Agreement</w:t>
      </w:r>
      <w:r>
        <w:rPr>
          <w:rFonts w:ascii="Times New Roman;Times;serif" w:hAnsi="Times New Roman;Times;serif"/>
          <w:sz w:val="20"/>
        </w:rPr>
        <w:t>”) and the Investors thereof (hereinafter referred to as the “</w:t>
      </w:r>
      <w:r>
        <w:rPr>
          <w:rFonts w:ascii="Times New Roman;Times;serif" w:hAnsi="Times New Roman;Times;serif"/>
          <w:b/>
          <w:sz w:val="20"/>
        </w:rPr>
        <w:t>New Series B Investor(s)</w:t>
      </w:r>
      <w:r>
        <w:rPr>
          <w:rFonts w:ascii="Times New Roman;Times;serif" w:hAnsi="Times New Roman;Times;serif"/>
          <w:sz w:val="20"/>
        </w:rPr>
        <w:t>” with respect to any entity subscribing for such increased registered capital), subject to the following conditions: (i) the New Series B Investors shall be subject to the same price and under the terms and conditions no more favorable than those applicable to the other Series B Investors; (ii) the New Series B Investors shall complete the execution of the relevant Transaction Documents and/or joinder agreements relating to this Transaction no later than December 31, 2024, and shall complete their capital contribution in the Target Company no later than January 31, 2025; (iii) the Target Company shall have the sole discretion to determine the arrangements related to the re-registration relating to change of the shareholding structure, capital verification, provision of the register of Shareholders, and issuance of the investment certificate(s) applicable to the New Series B Investors. The Parties hereby agree to provide necessary assistance and cooperation (if required) with respect to the re-registration relating to change of the shareholding structure.</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In the event that a New Series B Investor invests in the Target Company, and if it is not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a Party to this Agreement, it may execute the joinder agreement attached hereto as Exhibit I and take any other necessary actions to become a Party to this Agreement and other Transaction Documents as a Series B Investor upon the closing of its investment in the Target Company and be bound thereby. The Parties hereby authorize and agree that, the Target Company shall have the right to update the information in Clause 2.1 (Shareholders of the Target Company) and Clause 5.1 (Registered Capital) hereof accordingly without the approval of the other Parties hereto, concurrently with or subsequent to any New Series B Investor’s investment in the Target Company. Such updated information shall form an integral part of this Agreement, and the shareholding percentage of the Shareholders in the Target Company shall be adjusted accordingly, with the shareholding structure and registered capital of the Target Company at that time being subject to such updated information. The Target Company shall provide the updated documents to each Investor as soon as possible after each update of the above information (including but not limited to this Agreement or any supplement thereto or any joinder agreement hereto (as the case may be), the register of Shareholders, and issuance of the investment certificate(s)).</w:t>
      </w:r>
    </w:p>
    <w:tbl>
      <w:tblPr>
        <w:tblW w:w="2005" w:type="dxa"/>
        <w:jc w:val="left"/>
        <w:tblInd w:w="0" w:type="dxa"/>
        <w:tblLayout w:type="fixed"/>
        <w:tblCellMar>
          <w:top w:w="0" w:type="dxa"/>
          <w:left w:w="0" w:type="dxa"/>
          <w:bottom w:w="0" w:type="dxa"/>
          <w:right w:w="0" w:type="dxa"/>
        </w:tblCellMar>
      </w:tblPr>
      <w:tblGrid>
        <w:gridCol w:w="380"/>
        <w:gridCol w:w="162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29.8</w:t>
            </w:r>
          </w:p>
        </w:tc>
        <w:tc>
          <w:tcPr>
            <w:tcW w:w="162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Costs and Expenses</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Any costs, expenses or fees of any nature incurred by either Party in connection with the preparation and execution of this Agreement and the articles of association shall be borne by the incurring Party, unless the Parties agree in writing that such costs, expenses or fees shall be borne by the Target Company.</w:t>
      </w:r>
    </w:p>
    <w:tbl>
      <w:tblPr>
        <w:tblW w:w="1315" w:type="dxa"/>
        <w:jc w:val="left"/>
        <w:tblInd w:w="0" w:type="dxa"/>
        <w:tblLayout w:type="fixed"/>
        <w:tblCellMar>
          <w:top w:w="0" w:type="dxa"/>
          <w:left w:w="0" w:type="dxa"/>
          <w:bottom w:w="0" w:type="dxa"/>
          <w:right w:w="0" w:type="dxa"/>
        </w:tblCellMar>
      </w:tblPr>
      <w:tblGrid>
        <w:gridCol w:w="380"/>
        <w:gridCol w:w="935"/>
      </w:tblGrid>
      <w:tr>
        <w:trPr/>
        <w:tc>
          <w:tcPr>
            <w:tcW w:w="380"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29.9</w:t>
            </w:r>
          </w:p>
        </w:tc>
        <w:tc>
          <w:tcPr>
            <w:tcW w:w="93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No Agency</w:t>
            </w:r>
          </w:p>
        </w:tc>
      </w:tr>
    </w:tbl>
    <w:p>
      <w:pPr>
        <w:pStyle w:val="TextBody"/>
        <w:bidi w:val="0"/>
        <w:spacing w:before="0" w:after="204"/>
        <w:ind w:left="720" w:right="0" w:hanging="0"/>
        <w:jc w:val="both"/>
        <w:rPr>
          <w:rFonts w:ascii="Times New Roman;Times;serif" w:hAnsi="Times New Roman;Times;serif"/>
          <w:sz w:val="20"/>
        </w:rPr>
      </w:pPr>
      <w:r>
        <w:rPr>
          <w:rFonts w:ascii="Times New Roman;Times;serif" w:hAnsi="Times New Roman;Times;serif"/>
          <w:sz w:val="20"/>
        </w:rPr>
        <w:t>Nothing in this Agreement shall be construed to constitute either Party the agent or partner of the other Parties. On no account may either Party create (or hold itself out to third person as being able to create) any binding obligation on behalf of the other Parties without the prior written consent of the Parties.</w:t>
      </w:r>
    </w:p>
    <w:tbl>
      <w:tblPr>
        <w:tblW w:w="3175" w:type="dxa"/>
        <w:jc w:val="left"/>
        <w:tblInd w:w="0" w:type="dxa"/>
        <w:tblLayout w:type="fixed"/>
        <w:tblCellMar>
          <w:top w:w="0" w:type="dxa"/>
          <w:left w:w="0" w:type="dxa"/>
          <w:bottom w:w="0" w:type="dxa"/>
          <w:right w:w="0" w:type="dxa"/>
        </w:tblCellMar>
      </w:tblPr>
      <w:tblGrid>
        <w:gridCol w:w="485"/>
        <w:gridCol w:w="2690"/>
      </w:tblGrid>
      <w:tr>
        <w:trPr/>
        <w:tc>
          <w:tcPr>
            <w:tcW w:w="48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29.10</w:t>
            </w:r>
          </w:p>
        </w:tc>
        <w:tc>
          <w:tcPr>
            <w:tcW w:w="269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Governmental Format Provisions</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In the event that a separate agreement is executed in accordance with the forms of any Governmental Authority is required for the purpose of requesting performance of a specific act by any Governmental Authority with respect to the Transaction contemplated by this Agreement, this Agreement shall have full priority over this Agreement and such agreement may only be used to request performance of such specific act from any Governmental Authority and shall not be used to create and prove the rights and obligations of the relevant parties with respect to the matters stipulated by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075" w:type="dxa"/>
        <w:jc w:val="left"/>
        <w:tblInd w:w="0" w:type="dxa"/>
        <w:tblLayout w:type="fixed"/>
        <w:tblCellMar>
          <w:top w:w="0" w:type="dxa"/>
          <w:left w:w="0" w:type="dxa"/>
          <w:bottom w:w="0" w:type="dxa"/>
          <w:right w:w="0" w:type="dxa"/>
        </w:tblCellMar>
      </w:tblPr>
      <w:tblGrid>
        <w:gridCol w:w="485"/>
        <w:gridCol w:w="3590"/>
      </w:tblGrid>
      <w:tr>
        <w:trPr/>
        <w:tc>
          <w:tcPr>
            <w:tcW w:w="48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29.11</w:t>
            </w:r>
          </w:p>
        </w:tc>
        <w:tc>
          <w:tcPr>
            <w:tcW w:w="3590"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Suspending and Restoring the Effectiveness</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Parties agree and acknowledge that, the effectiveness of provisions in Clause 6, Clause 7, Clause 8, Clause 9, Clause 10, Clause 11, Clause 12, Clause 13 and Clause 14 hereof shall be suspended on the date of acceptance of the application for Qualified IPO of the Target Company, and rights and obligations of all the Shareholders of the Target Company shall be subject to the provisions of the then effective articles of association of the Target Company. If the application for Qualified IPO of the Target Company is revoked, rejected, disapproved or declined, or if the application for the Qualified IPO of the Target Company is approved, registered or filed but the Qualified IPO fails to be completed within the period of relevant approval documents, the effectiveness of such provisions in Clause 6, Clause 7, Clause 8, Clause 9, Clause 10, Clause 11, Clause 12, Clause 13 and Clause 14 hereof shall restore, and the effectiveness of such provisions shall be deemed that they have never become suspended. If a breach of agreement occurs during the suspension period due to the purpose of this Clause, the non-defaulting Party shall have the right to claim against the defaulting Party for breach of contract and for damage.</w:t>
      </w:r>
    </w:p>
    <w:tbl>
      <w:tblPr>
        <w:tblW w:w="1120" w:type="dxa"/>
        <w:jc w:val="left"/>
        <w:tblInd w:w="0" w:type="dxa"/>
        <w:tblLayout w:type="fixed"/>
        <w:tblCellMar>
          <w:top w:w="0" w:type="dxa"/>
          <w:left w:w="0" w:type="dxa"/>
          <w:bottom w:w="0" w:type="dxa"/>
          <w:right w:w="0" w:type="dxa"/>
        </w:tblCellMar>
      </w:tblPr>
      <w:tblGrid>
        <w:gridCol w:w="485"/>
        <w:gridCol w:w="635"/>
      </w:tblGrid>
      <w:tr>
        <w:trPr/>
        <w:tc>
          <w:tcPr>
            <w:tcW w:w="48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29.12</w:t>
            </w:r>
          </w:p>
        </w:tc>
        <w:tc>
          <w:tcPr>
            <w:tcW w:w="63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Priority</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In case of conflict between any provisions of this Agreement and the articles of association (including the articles of association as amended from time to time and the articles of association after the change of the Target Company to a joint stock limited company as amended from time to time) or other Transaction Documents, this Agreement shall prevail.</w:t>
      </w:r>
    </w:p>
    <w:tbl>
      <w:tblPr>
        <w:tblW w:w="2830" w:type="dxa"/>
        <w:jc w:val="left"/>
        <w:tblInd w:w="0" w:type="dxa"/>
        <w:tblLayout w:type="fixed"/>
        <w:tblCellMar>
          <w:top w:w="0" w:type="dxa"/>
          <w:left w:w="0" w:type="dxa"/>
          <w:bottom w:w="0" w:type="dxa"/>
          <w:right w:w="0" w:type="dxa"/>
        </w:tblCellMar>
      </w:tblPr>
      <w:tblGrid>
        <w:gridCol w:w="485"/>
        <w:gridCol w:w="2345"/>
      </w:tblGrid>
      <w:tr>
        <w:trPr/>
        <w:tc>
          <w:tcPr>
            <w:tcW w:w="485" w:type="dxa"/>
            <w:tcBorders/>
            <w:vAlign w:val="center"/>
          </w:tcPr>
          <w:p>
            <w:pPr>
              <w:pStyle w:val="TableContents"/>
              <w:bidi w:val="0"/>
              <w:spacing w:before="0" w:after="204"/>
              <w:jc w:val="both"/>
              <w:rPr>
                <w:rFonts w:ascii="Times New Roman;Times;serif" w:hAnsi="Times New Roman;Times;serif"/>
                <w:sz w:val="20"/>
              </w:rPr>
            </w:pPr>
            <w:r>
              <w:rPr>
                <w:rFonts w:ascii="Times New Roman;Times;serif" w:hAnsi="Times New Roman;Times;serif"/>
                <w:sz w:val="20"/>
              </w:rPr>
              <w:t>29.13</w:t>
            </w:r>
          </w:p>
        </w:tc>
        <w:tc>
          <w:tcPr>
            <w:tcW w:w="2345" w:type="dxa"/>
            <w:tcBorders/>
            <w:vAlign w:val="center"/>
          </w:tcPr>
          <w:p>
            <w:pPr>
              <w:pStyle w:val="TableContents"/>
              <w:bidi w:val="0"/>
              <w:spacing w:before="0" w:after="204"/>
              <w:jc w:val="both"/>
              <w:rPr>
                <w:rFonts w:ascii="Times New Roman;Times;serif" w:hAnsi="Times New Roman;Times;serif"/>
                <w:sz w:val="20"/>
                <w:u w:val="single"/>
              </w:rPr>
            </w:pPr>
            <w:r>
              <w:rPr>
                <w:rFonts w:ascii="Times New Roman;Times;serif" w:hAnsi="Times New Roman;Times;serif"/>
                <w:sz w:val="20"/>
                <w:u w:val="single"/>
              </w:rPr>
              <w:t>Counterparts and Languages</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This Agreement shall be written in Chinese and be executed in multiple originals, each of which shall have the same legal effect. Each Party shall hold one (1) original.</w:t>
      </w:r>
    </w:p>
    <w:p>
      <w:pPr>
        <w:pStyle w:val="TextBody"/>
        <w:bidi w:val="0"/>
        <w:spacing w:before="0" w:after="204"/>
        <w:ind w:left="0" w:right="0" w:hanging="0"/>
        <w:jc w:val="center"/>
        <w:rPr>
          <w:rFonts w:ascii="Times New Roman;Times;serif" w:hAnsi="Times New Roman;Times;serif"/>
          <w:sz w:val="20"/>
        </w:rPr>
      </w:pPr>
      <w:r>
        <w:rPr>
          <w:rFonts w:ascii="Times New Roman;Times;serif" w:hAnsi="Times New Roman;Times;serif"/>
          <w:sz w:val="20"/>
        </w:rPr>
        <w:t>[SIGNATURE PAGES FOLLOW]</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Shareholders Agreement in Respect of NIO China, this Agreement shall be executed in eleven (11) originals)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Agreement to be duly executed by their duly authorized representatives as of the date first written above.</w:t>
      </w:r>
    </w:p>
    <w:p>
      <w:pPr>
        <w:pStyle w:val="TextBody"/>
        <w:bidi w:val="0"/>
        <w:spacing w:before="0" w:after="0"/>
        <w:ind w:left="0" w:right="0" w:hanging="0"/>
        <w:jc w:val="left"/>
        <w:rPr/>
      </w:pPr>
      <w:r>
        <w:rPr/>
        <w:t>​</w:t>
      </w:r>
    </w:p>
    <w:tbl>
      <w:tblPr>
        <w:tblW w:w="4489" w:type="dxa"/>
        <w:jc w:val="left"/>
        <w:tblInd w:w="0" w:type="dxa"/>
        <w:tblLayout w:type="fixed"/>
        <w:tblCellMar>
          <w:top w:w="0" w:type="dxa"/>
          <w:left w:w="0" w:type="dxa"/>
          <w:bottom w:w="0" w:type="dxa"/>
          <w:right w:w="0" w:type="dxa"/>
        </w:tblCellMar>
      </w:tblPr>
      <w:tblGrid>
        <w:gridCol w:w="124"/>
        <w:gridCol w:w="183"/>
        <w:gridCol w:w="4182"/>
      </w:tblGrid>
      <w:tr>
        <w:trPr/>
        <w:tc>
          <w:tcPr>
            <w:tcW w:w="124" w:type="dxa"/>
            <w:tcBorders/>
            <w:vAlign w:val="center"/>
          </w:tcPr>
          <w:p>
            <w:pPr>
              <w:pStyle w:val="TableContents"/>
              <w:bidi w:val="0"/>
              <w:spacing w:before="0" w:after="0"/>
              <w:ind w:left="0" w:right="0" w:hanging="0"/>
              <w:jc w:val="left"/>
              <w:rPr/>
            </w:pPr>
            <w:r>
              <w:rPr/>
              <w:t>​</w:t>
            </w:r>
          </w:p>
        </w:tc>
        <w:tc>
          <w:tcPr>
            <w:tcW w:w="43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Hefei Jianheng New Energy Automobile Investment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3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 Partnership (Limited Partnership)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3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83" w:type="dxa"/>
            <w:tcBorders/>
            <w:vAlign w:val="center"/>
          </w:tcPr>
          <w:p>
            <w:pPr>
              <w:pStyle w:val="TableContents"/>
              <w:bidi w:val="0"/>
              <w:spacing w:before="0" w:after="283"/>
              <w:ind w:left="0" w:right="0" w:hanging="0"/>
              <w:jc w:val="left"/>
              <w:rPr>
                <w:sz w:val="4"/>
                <w:szCs w:val="4"/>
              </w:rPr>
            </w:pPr>
            <w:r>
              <w:rPr>
                <w:sz w:val="4"/>
                <w:szCs w:val="4"/>
              </w:rPr>
            </w:r>
          </w:p>
        </w:tc>
        <w:tc>
          <w:tcPr>
            <w:tcW w:w="41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83" w:type="dxa"/>
            <w:tcBorders/>
            <w:vAlign w:val="center"/>
          </w:tcPr>
          <w:p>
            <w:pPr>
              <w:pStyle w:val="TableContents"/>
              <w:bidi w:val="0"/>
              <w:spacing w:before="0" w:after="283"/>
              <w:ind w:left="0" w:right="0" w:hanging="0"/>
              <w:jc w:val="left"/>
              <w:rPr>
                <w:sz w:val="4"/>
                <w:szCs w:val="4"/>
              </w:rPr>
            </w:pPr>
            <w:r>
              <w:rPr>
                <w:sz w:val="4"/>
                <w:szCs w:val="4"/>
              </w:rPr>
            </w:r>
          </w:p>
        </w:tc>
        <w:tc>
          <w:tcPr>
            <w:tcW w:w="41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83" w:type="dxa"/>
            <w:tcBorders/>
            <w:vAlign w:val="center"/>
          </w:tcPr>
          <w:p>
            <w:pPr>
              <w:pStyle w:val="TableContents"/>
              <w:bidi w:val="0"/>
              <w:spacing w:before="0" w:after="283"/>
              <w:ind w:left="0" w:right="0" w:hanging="0"/>
              <w:jc w:val="left"/>
              <w:rPr>
                <w:sz w:val="4"/>
                <w:szCs w:val="4"/>
              </w:rPr>
            </w:pPr>
            <w:r>
              <w:rPr>
                <w:sz w:val="4"/>
                <w:szCs w:val="4"/>
              </w:rPr>
            </w:r>
          </w:p>
        </w:tc>
        <w:tc>
          <w:tcPr>
            <w:tcW w:w="41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Shareholders Agreement in respect of NIO China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Shareholders Agreement in Respect of NIO China, this Agreement shall be executed in eleven (11) originals)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Agreement to be duly executed by their duly authorized representatives as of the date first written above.</w:t>
      </w:r>
    </w:p>
    <w:p>
      <w:pPr>
        <w:pStyle w:val="TextBody"/>
        <w:pBdr/>
        <w:bidi w:val="0"/>
        <w:spacing w:before="0" w:after="0"/>
        <w:ind w:left="0" w:right="0" w:hanging="600"/>
        <w:jc w:val="both"/>
        <w:rPr/>
      </w:pPr>
      <w:r>
        <w:rPr/>
        <w:t>​</w:t>
      </w:r>
    </w:p>
    <w:tbl>
      <w:tblPr>
        <w:tblW w:w="3724" w:type="dxa"/>
        <w:jc w:val="left"/>
        <w:tblInd w:w="0" w:type="dxa"/>
        <w:tblLayout w:type="fixed"/>
        <w:tblCellMar>
          <w:top w:w="0" w:type="dxa"/>
          <w:left w:w="0" w:type="dxa"/>
          <w:bottom w:w="0" w:type="dxa"/>
          <w:right w:w="0" w:type="dxa"/>
        </w:tblCellMar>
      </w:tblPr>
      <w:tblGrid>
        <w:gridCol w:w="124"/>
        <w:gridCol w:w="150"/>
        <w:gridCol w:w="3450"/>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6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CMG-SDIC Capital Management Co., Ltd.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6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0" w:type="dxa"/>
            <w:tcBorders/>
            <w:vAlign w:val="center"/>
          </w:tcPr>
          <w:p>
            <w:pPr>
              <w:pStyle w:val="TableContents"/>
              <w:bidi w:val="0"/>
              <w:spacing w:before="0" w:after="283"/>
              <w:ind w:left="0" w:right="0" w:hanging="0"/>
              <w:jc w:val="left"/>
              <w:rPr>
                <w:sz w:val="4"/>
                <w:szCs w:val="4"/>
              </w:rPr>
            </w:pPr>
            <w:r>
              <w:rPr>
                <w:sz w:val="4"/>
                <w:szCs w:val="4"/>
              </w:rPr>
            </w:r>
          </w:p>
        </w:tc>
        <w:tc>
          <w:tcPr>
            <w:tcW w:w="3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0" w:type="dxa"/>
            <w:tcBorders/>
            <w:vAlign w:val="center"/>
          </w:tcPr>
          <w:p>
            <w:pPr>
              <w:pStyle w:val="TableContents"/>
              <w:bidi w:val="0"/>
              <w:spacing w:before="0" w:after="283"/>
              <w:ind w:left="0" w:right="0" w:hanging="0"/>
              <w:jc w:val="left"/>
              <w:rPr>
                <w:sz w:val="4"/>
                <w:szCs w:val="4"/>
              </w:rPr>
            </w:pPr>
            <w:r>
              <w:rPr>
                <w:sz w:val="4"/>
                <w:szCs w:val="4"/>
              </w:rPr>
            </w:r>
          </w:p>
        </w:tc>
        <w:tc>
          <w:tcPr>
            <w:tcW w:w="3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0" w:type="dxa"/>
            <w:tcBorders/>
            <w:vAlign w:val="center"/>
          </w:tcPr>
          <w:p>
            <w:pPr>
              <w:pStyle w:val="TableContents"/>
              <w:bidi w:val="0"/>
              <w:spacing w:before="0" w:after="283"/>
              <w:ind w:left="0" w:right="0" w:hanging="0"/>
              <w:jc w:val="left"/>
              <w:rPr>
                <w:sz w:val="4"/>
                <w:szCs w:val="4"/>
              </w:rPr>
            </w:pPr>
            <w:r>
              <w:rPr>
                <w:sz w:val="4"/>
                <w:szCs w:val="4"/>
              </w:rPr>
            </w:r>
          </w:p>
        </w:tc>
        <w:tc>
          <w:tcPr>
            <w:tcW w:w="3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Shareholders Agreement in respect of NIO China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Shareholders Agreement in Respect of NIO China, this Agreement shall be executed in eleven (11) originals)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Agreement to be duly executed by their duly authorized representatives as of the date first written above.</w:t>
      </w:r>
    </w:p>
    <w:p>
      <w:pPr>
        <w:pStyle w:val="TextBody"/>
        <w:bidi w:val="0"/>
        <w:spacing w:before="0" w:after="0"/>
        <w:ind w:left="0" w:right="0" w:hanging="0"/>
        <w:jc w:val="left"/>
        <w:rPr/>
      </w:pPr>
      <w:r>
        <w:rPr/>
        <w:t>​</w:t>
      </w:r>
    </w:p>
    <w:tbl>
      <w:tblPr>
        <w:tblW w:w="4654" w:type="dxa"/>
        <w:jc w:val="left"/>
        <w:tblInd w:w="0" w:type="dxa"/>
        <w:tblLayout w:type="fixed"/>
        <w:tblCellMar>
          <w:top w:w="0" w:type="dxa"/>
          <w:left w:w="0" w:type="dxa"/>
          <w:bottom w:w="0" w:type="dxa"/>
          <w:right w:w="0" w:type="dxa"/>
        </w:tblCellMar>
      </w:tblPr>
      <w:tblGrid>
        <w:gridCol w:w="124"/>
        <w:gridCol w:w="189"/>
        <w:gridCol w:w="434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5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Advanced Manufacturing Industry Investment Fund II</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5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(Limited Partnership)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5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89" w:type="dxa"/>
            <w:tcBorders/>
            <w:vAlign w:val="center"/>
          </w:tcPr>
          <w:p>
            <w:pPr>
              <w:pStyle w:val="TableContents"/>
              <w:bidi w:val="0"/>
              <w:spacing w:before="0" w:after="283"/>
              <w:ind w:left="0" w:right="0" w:hanging="0"/>
              <w:jc w:val="left"/>
              <w:rPr>
                <w:sz w:val="4"/>
                <w:szCs w:val="4"/>
              </w:rPr>
            </w:pPr>
            <w:r>
              <w:rPr>
                <w:sz w:val="4"/>
                <w:szCs w:val="4"/>
              </w:rPr>
            </w:r>
          </w:p>
        </w:tc>
        <w:tc>
          <w:tcPr>
            <w:tcW w:w="4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89" w:type="dxa"/>
            <w:tcBorders/>
            <w:vAlign w:val="center"/>
          </w:tcPr>
          <w:p>
            <w:pPr>
              <w:pStyle w:val="TableContents"/>
              <w:bidi w:val="0"/>
              <w:spacing w:before="0" w:after="283"/>
              <w:ind w:left="0" w:right="0" w:hanging="0"/>
              <w:jc w:val="left"/>
              <w:rPr>
                <w:sz w:val="4"/>
                <w:szCs w:val="4"/>
              </w:rPr>
            </w:pPr>
            <w:r>
              <w:rPr>
                <w:sz w:val="4"/>
                <w:szCs w:val="4"/>
              </w:rPr>
            </w:r>
          </w:p>
        </w:tc>
        <w:tc>
          <w:tcPr>
            <w:tcW w:w="4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89" w:type="dxa"/>
            <w:tcBorders/>
            <w:vAlign w:val="center"/>
          </w:tcPr>
          <w:p>
            <w:pPr>
              <w:pStyle w:val="TableContents"/>
              <w:bidi w:val="0"/>
              <w:spacing w:before="0" w:after="283"/>
              <w:ind w:left="0" w:right="0" w:hanging="0"/>
              <w:jc w:val="left"/>
              <w:rPr>
                <w:sz w:val="4"/>
                <w:szCs w:val="4"/>
              </w:rPr>
            </w:pPr>
            <w:r>
              <w:rPr>
                <w:sz w:val="4"/>
                <w:szCs w:val="4"/>
              </w:rPr>
            </w:r>
          </w:p>
        </w:tc>
        <w:tc>
          <w:tcPr>
            <w:tcW w:w="4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Shareholders Agreement in respect of NIO China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Shareholders Agreement in Respect of NIO China, this Agreement shall be executed in eleven (11) originals)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Agreement to be duly executed by their duly authorized representatives as of the date first written above.</w:t>
      </w:r>
    </w:p>
    <w:p>
      <w:pPr>
        <w:pStyle w:val="TextBody"/>
        <w:pBdr/>
        <w:bidi w:val="0"/>
        <w:spacing w:before="0" w:after="0"/>
        <w:ind w:left="0" w:right="0" w:hanging="600"/>
        <w:jc w:val="both"/>
        <w:rPr/>
      </w:pPr>
      <w:r>
        <w:rPr/>
        <w:t>​</w:t>
      </w:r>
    </w:p>
    <w:tbl>
      <w:tblPr>
        <w:tblW w:w="4129" w:type="dxa"/>
        <w:jc w:val="left"/>
        <w:tblInd w:w="0" w:type="dxa"/>
        <w:tblLayout w:type="fixed"/>
        <w:tblCellMar>
          <w:top w:w="0" w:type="dxa"/>
          <w:left w:w="0" w:type="dxa"/>
          <w:bottom w:w="0" w:type="dxa"/>
          <w:right w:w="0" w:type="dxa"/>
        </w:tblCellMar>
      </w:tblPr>
      <w:tblGrid>
        <w:gridCol w:w="124"/>
        <w:gridCol w:w="167"/>
        <w:gridCol w:w="3838"/>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7" w:type="dxa"/>
            <w:tcBorders/>
            <w:vAlign w:val="center"/>
          </w:tcPr>
          <w:p>
            <w:pPr>
              <w:pStyle w:val="TableContents"/>
              <w:bidi w:val="0"/>
              <w:spacing w:before="0" w:after="283"/>
              <w:ind w:left="0" w:right="0" w:hanging="0"/>
              <w:jc w:val="left"/>
              <w:rPr>
                <w:sz w:val="4"/>
                <w:szCs w:val="4"/>
              </w:rPr>
            </w:pPr>
            <w:r>
              <w:rPr>
                <w:sz w:val="4"/>
                <w:szCs w:val="4"/>
              </w:rPr>
            </w:r>
          </w:p>
        </w:tc>
        <w:tc>
          <w:tcPr>
            <w:tcW w:w="3838"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0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Anhui Provincial Sanzhong Yichuang Industry </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0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Development Fund Co., Ltd.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0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7" w:type="dxa"/>
            <w:tcBorders/>
            <w:vAlign w:val="center"/>
          </w:tcPr>
          <w:p>
            <w:pPr>
              <w:pStyle w:val="TableContents"/>
              <w:bidi w:val="0"/>
              <w:spacing w:before="0" w:after="283"/>
              <w:ind w:left="0" w:right="0" w:hanging="0"/>
              <w:jc w:val="left"/>
              <w:rPr>
                <w:sz w:val="4"/>
                <w:szCs w:val="4"/>
              </w:rPr>
            </w:pPr>
            <w:r>
              <w:rPr>
                <w:sz w:val="4"/>
                <w:szCs w:val="4"/>
              </w:rPr>
            </w:r>
          </w:p>
        </w:tc>
        <w:tc>
          <w:tcPr>
            <w:tcW w:w="38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7" w:type="dxa"/>
            <w:tcBorders/>
            <w:vAlign w:val="center"/>
          </w:tcPr>
          <w:p>
            <w:pPr>
              <w:pStyle w:val="TableContents"/>
              <w:bidi w:val="0"/>
              <w:spacing w:before="0" w:after="283"/>
              <w:ind w:left="0" w:right="0" w:hanging="0"/>
              <w:jc w:val="left"/>
              <w:rPr>
                <w:sz w:val="4"/>
                <w:szCs w:val="4"/>
              </w:rPr>
            </w:pPr>
            <w:r>
              <w:rPr>
                <w:sz w:val="4"/>
                <w:szCs w:val="4"/>
              </w:rPr>
            </w:r>
          </w:p>
        </w:tc>
        <w:tc>
          <w:tcPr>
            <w:tcW w:w="38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7" w:type="dxa"/>
            <w:tcBorders/>
            <w:vAlign w:val="center"/>
          </w:tcPr>
          <w:p>
            <w:pPr>
              <w:pStyle w:val="TableContents"/>
              <w:bidi w:val="0"/>
              <w:spacing w:before="0" w:after="283"/>
              <w:ind w:left="0" w:right="0" w:hanging="0"/>
              <w:jc w:val="left"/>
              <w:rPr>
                <w:sz w:val="4"/>
                <w:szCs w:val="4"/>
              </w:rPr>
            </w:pPr>
            <w:r>
              <w:rPr>
                <w:sz w:val="4"/>
                <w:szCs w:val="4"/>
              </w:rPr>
            </w:r>
          </w:p>
        </w:tc>
        <w:tc>
          <w:tcPr>
            <w:tcW w:w="38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Shareholders Agreement in respect of NIO China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Shareholders Agreement in Respect of NIO China, this Agreement shall be executed in eleven (11) originals)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Agreement to be duly executed by their duly authorized representatives as of the date first written above.</w:t>
      </w:r>
    </w:p>
    <w:p>
      <w:pPr>
        <w:pStyle w:val="TextBody"/>
        <w:bidi w:val="0"/>
        <w:spacing w:before="0" w:after="0"/>
        <w:ind w:left="0" w:right="0" w:hanging="0"/>
        <w:jc w:val="left"/>
        <w:rPr/>
      </w:pPr>
      <w:r>
        <w:rPr/>
        <w:t>​</w:t>
      </w:r>
    </w:p>
    <w:tbl>
      <w:tblPr>
        <w:tblW w:w="4174" w:type="dxa"/>
        <w:jc w:val="left"/>
        <w:tblInd w:w="0" w:type="dxa"/>
        <w:tblLayout w:type="fixed"/>
        <w:tblCellMar>
          <w:top w:w="0" w:type="dxa"/>
          <w:left w:w="0" w:type="dxa"/>
          <w:bottom w:w="0" w:type="dxa"/>
          <w:right w:w="0" w:type="dxa"/>
        </w:tblCellMar>
      </w:tblPr>
      <w:tblGrid>
        <w:gridCol w:w="124"/>
        <w:gridCol w:w="169"/>
        <w:gridCol w:w="388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0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Anhui Jintong New Energy Automobile II Fund </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0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(Limited Partnership)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0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9" w:type="dxa"/>
            <w:tcBorders/>
            <w:vAlign w:val="center"/>
          </w:tcPr>
          <w:p>
            <w:pPr>
              <w:pStyle w:val="TableContents"/>
              <w:bidi w:val="0"/>
              <w:spacing w:before="0" w:after="283"/>
              <w:ind w:left="0" w:right="0" w:hanging="0"/>
              <w:jc w:val="left"/>
              <w:rPr>
                <w:sz w:val="4"/>
                <w:szCs w:val="4"/>
              </w:rPr>
            </w:pPr>
            <w:r>
              <w:rPr>
                <w:sz w:val="4"/>
                <w:szCs w:val="4"/>
              </w:rPr>
            </w:r>
          </w:p>
        </w:tc>
        <w:tc>
          <w:tcPr>
            <w:tcW w:w="3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9" w:type="dxa"/>
            <w:tcBorders/>
            <w:vAlign w:val="center"/>
          </w:tcPr>
          <w:p>
            <w:pPr>
              <w:pStyle w:val="TableContents"/>
              <w:bidi w:val="0"/>
              <w:spacing w:before="0" w:after="283"/>
              <w:ind w:left="0" w:right="0" w:hanging="0"/>
              <w:jc w:val="left"/>
              <w:rPr>
                <w:sz w:val="4"/>
                <w:szCs w:val="4"/>
              </w:rPr>
            </w:pPr>
            <w:r>
              <w:rPr>
                <w:sz w:val="4"/>
                <w:szCs w:val="4"/>
              </w:rPr>
            </w:r>
          </w:p>
        </w:tc>
        <w:tc>
          <w:tcPr>
            <w:tcW w:w="3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9" w:type="dxa"/>
            <w:tcBorders/>
            <w:vAlign w:val="center"/>
          </w:tcPr>
          <w:p>
            <w:pPr>
              <w:pStyle w:val="TableContents"/>
              <w:bidi w:val="0"/>
              <w:spacing w:before="0" w:after="283"/>
              <w:ind w:left="0" w:right="0" w:hanging="0"/>
              <w:jc w:val="left"/>
              <w:rPr>
                <w:sz w:val="4"/>
                <w:szCs w:val="4"/>
              </w:rPr>
            </w:pPr>
            <w:r>
              <w:rPr>
                <w:sz w:val="4"/>
                <w:szCs w:val="4"/>
              </w:rPr>
            </w:r>
          </w:p>
        </w:tc>
        <w:tc>
          <w:tcPr>
            <w:tcW w:w="3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Shareholders Agreement in respect of NIO China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Shareholders Agreement in Respect of NIO China, this Agreement shall be executed in eleven (11) originals)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Agreement to be duly executed by their duly authorized representatives as of the date first written above.</w:t>
      </w:r>
    </w:p>
    <w:p>
      <w:pPr>
        <w:pStyle w:val="TextBody"/>
        <w:pBdr/>
        <w:bidi w:val="0"/>
        <w:spacing w:before="0" w:after="0"/>
        <w:ind w:left="0" w:right="0" w:hanging="600"/>
        <w:jc w:val="both"/>
        <w:rPr/>
      </w:pPr>
      <w:r>
        <w:rPr/>
        <w:t>​</w:t>
      </w:r>
    </w:p>
    <w:tbl>
      <w:tblPr>
        <w:tblW w:w="4924" w:type="dxa"/>
        <w:jc w:val="left"/>
        <w:tblInd w:w="0" w:type="dxa"/>
        <w:tblLayout w:type="fixed"/>
        <w:tblCellMar>
          <w:top w:w="0" w:type="dxa"/>
          <w:left w:w="0" w:type="dxa"/>
          <w:bottom w:w="0" w:type="dxa"/>
          <w:right w:w="0" w:type="dxa"/>
        </w:tblCellMar>
      </w:tblPr>
      <w:tblGrid>
        <w:gridCol w:w="124"/>
        <w:gridCol w:w="201"/>
        <w:gridCol w:w="4599"/>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01" w:type="dxa"/>
            <w:tcBorders/>
            <w:vAlign w:val="center"/>
          </w:tcPr>
          <w:p>
            <w:pPr>
              <w:pStyle w:val="TableContents"/>
              <w:bidi w:val="0"/>
              <w:spacing w:before="0" w:after="283"/>
              <w:ind w:left="0" w:right="0" w:hanging="0"/>
              <w:jc w:val="left"/>
              <w:rPr>
                <w:sz w:val="4"/>
                <w:szCs w:val="4"/>
              </w:rPr>
            </w:pPr>
            <w:r>
              <w:rPr>
                <w:sz w:val="4"/>
                <w:szCs w:val="4"/>
              </w:rPr>
            </w:r>
          </w:p>
        </w:tc>
        <w:tc>
          <w:tcPr>
            <w:tcW w:w="4599"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8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Anhui Provincial Emerging Industry Investment Co., Ltd.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8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01" w:type="dxa"/>
            <w:tcBorders/>
            <w:vAlign w:val="center"/>
          </w:tcPr>
          <w:p>
            <w:pPr>
              <w:pStyle w:val="TableContents"/>
              <w:bidi w:val="0"/>
              <w:spacing w:before="0" w:after="283"/>
              <w:ind w:left="0" w:right="0" w:hanging="0"/>
              <w:jc w:val="left"/>
              <w:rPr>
                <w:sz w:val="4"/>
                <w:szCs w:val="4"/>
              </w:rPr>
            </w:pPr>
            <w:r>
              <w:rPr>
                <w:sz w:val="4"/>
                <w:szCs w:val="4"/>
              </w:rPr>
            </w:r>
          </w:p>
        </w:tc>
        <w:tc>
          <w:tcPr>
            <w:tcW w:w="45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01" w:type="dxa"/>
            <w:tcBorders/>
            <w:vAlign w:val="center"/>
          </w:tcPr>
          <w:p>
            <w:pPr>
              <w:pStyle w:val="TableContents"/>
              <w:bidi w:val="0"/>
              <w:spacing w:before="0" w:after="283"/>
              <w:ind w:left="0" w:right="0" w:hanging="0"/>
              <w:jc w:val="left"/>
              <w:rPr>
                <w:sz w:val="4"/>
                <w:szCs w:val="4"/>
              </w:rPr>
            </w:pPr>
            <w:r>
              <w:rPr>
                <w:sz w:val="4"/>
                <w:szCs w:val="4"/>
              </w:rPr>
            </w:r>
          </w:p>
        </w:tc>
        <w:tc>
          <w:tcPr>
            <w:tcW w:w="45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01" w:type="dxa"/>
            <w:tcBorders/>
            <w:vAlign w:val="center"/>
          </w:tcPr>
          <w:p>
            <w:pPr>
              <w:pStyle w:val="TableContents"/>
              <w:bidi w:val="0"/>
              <w:spacing w:before="0" w:after="283"/>
              <w:ind w:left="0" w:right="0" w:hanging="0"/>
              <w:jc w:val="left"/>
              <w:rPr>
                <w:sz w:val="4"/>
                <w:szCs w:val="4"/>
              </w:rPr>
            </w:pPr>
            <w:r>
              <w:rPr>
                <w:sz w:val="4"/>
                <w:szCs w:val="4"/>
              </w:rPr>
            </w:r>
          </w:p>
        </w:tc>
        <w:tc>
          <w:tcPr>
            <w:tcW w:w="45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Shareholders Agreement in respect of NIO China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Shareholders Agreement in Respect of NIO China, this Agreement shall be executed in eleven (11) originals)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Agreement to be duly executed by their duly authorized representatives as of the date first written above.</w:t>
      </w:r>
    </w:p>
    <w:p>
      <w:pPr>
        <w:pStyle w:val="TextBody"/>
        <w:bidi w:val="0"/>
        <w:spacing w:before="0" w:after="0"/>
        <w:ind w:left="0" w:right="0" w:hanging="0"/>
        <w:jc w:val="left"/>
        <w:rPr/>
      </w:pPr>
      <w:r>
        <w:rPr/>
        <w:t>​</w:t>
      </w:r>
    </w:p>
    <w:tbl>
      <w:tblPr>
        <w:tblW w:w="2724" w:type="dxa"/>
        <w:jc w:val="left"/>
        <w:tblInd w:w="0" w:type="dxa"/>
        <w:tblLayout w:type="fixed"/>
        <w:tblCellMar>
          <w:top w:w="0" w:type="dxa"/>
          <w:left w:w="0" w:type="dxa"/>
          <w:bottom w:w="0" w:type="dxa"/>
          <w:right w:w="0" w:type="dxa"/>
        </w:tblCellMar>
      </w:tblPr>
      <w:tblGrid>
        <w:gridCol w:w="124"/>
        <w:gridCol w:w="109"/>
        <w:gridCol w:w="249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6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Nio Nextev Limited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6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Shareholders Agreement in respect of NIO China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Shareholders Agreement in Respect of NIO China, this Agreement shall be executed in eleven (11) originals)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Agreement to be duly executed by their duly authorized representatives as of the date first written above.</w:t>
      </w:r>
    </w:p>
    <w:p>
      <w:pPr>
        <w:pStyle w:val="TextBody"/>
        <w:bidi w:val="0"/>
        <w:spacing w:before="0" w:after="0"/>
        <w:ind w:left="0" w:right="0" w:hanging="0"/>
        <w:jc w:val="left"/>
        <w:rPr/>
      </w:pPr>
      <w:r>
        <w:rPr/>
        <w:t>​</w:t>
      </w:r>
    </w:p>
    <w:tbl>
      <w:tblPr>
        <w:tblW w:w="2724" w:type="dxa"/>
        <w:jc w:val="left"/>
        <w:tblInd w:w="0" w:type="dxa"/>
        <w:tblLayout w:type="fixed"/>
        <w:tblCellMar>
          <w:top w:w="0" w:type="dxa"/>
          <w:left w:w="0" w:type="dxa"/>
          <w:bottom w:w="0" w:type="dxa"/>
          <w:right w:w="0" w:type="dxa"/>
        </w:tblCellMar>
      </w:tblPr>
      <w:tblGrid>
        <w:gridCol w:w="124"/>
        <w:gridCol w:w="109"/>
        <w:gridCol w:w="249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6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NIO User Enterprise Limited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6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Shareholders Agreement in respect of NIO China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Shareholders Agreement in Respect of NIO China, this Agreement shall be executed in eleven (11) originals)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Agreement to be duly executed by their duly authorized representatives as of the date first written above.</w:t>
      </w:r>
    </w:p>
    <w:p>
      <w:pPr>
        <w:pStyle w:val="TextBody"/>
        <w:pBdr/>
        <w:bidi w:val="0"/>
        <w:spacing w:before="0" w:after="0"/>
        <w:ind w:left="0" w:right="0" w:hanging="600"/>
        <w:jc w:val="both"/>
        <w:rPr/>
      </w:pPr>
      <w:r>
        <w:rPr/>
        <w:t>​</w:t>
      </w:r>
    </w:p>
    <w:tbl>
      <w:tblPr>
        <w:tblW w:w="2724" w:type="dxa"/>
        <w:jc w:val="left"/>
        <w:tblInd w:w="0" w:type="dxa"/>
        <w:tblLayout w:type="fixed"/>
        <w:tblCellMar>
          <w:top w:w="0" w:type="dxa"/>
          <w:left w:w="0" w:type="dxa"/>
          <w:bottom w:w="0" w:type="dxa"/>
          <w:right w:w="0" w:type="dxa"/>
        </w:tblCellMar>
      </w:tblPr>
      <w:tblGrid>
        <w:gridCol w:w="124"/>
        <w:gridCol w:w="109"/>
        <w:gridCol w:w="249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9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6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NIO Power Express Limited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6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Shareholders Agreement in respect of NIO China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Shareholders Agreement in Respect of NIO China, this Agreement shall be executed in eleven (11) originals)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Agreement to be duly executed by their duly authorized representatives as of the date first written above.</w:t>
      </w:r>
    </w:p>
    <w:p>
      <w:pPr>
        <w:pStyle w:val="TextBody"/>
        <w:pBdr/>
        <w:bidi w:val="0"/>
        <w:spacing w:before="0" w:after="0"/>
        <w:ind w:left="0" w:right="0" w:hanging="600"/>
        <w:jc w:val="both"/>
        <w:rPr/>
      </w:pPr>
      <w:r>
        <w:rPr/>
        <w:t>​</w:t>
      </w:r>
    </w:p>
    <w:tbl>
      <w:tblPr>
        <w:tblW w:w="2724" w:type="dxa"/>
        <w:jc w:val="left"/>
        <w:tblInd w:w="0" w:type="dxa"/>
        <w:tblLayout w:type="fixed"/>
        <w:tblCellMar>
          <w:top w:w="0" w:type="dxa"/>
          <w:left w:w="0" w:type="dxa"/>
          <w:bottom w:w="0" w:type="dxa"/>
          <w:right w:w="0" w:type="dxa"/>
        </w:tblCellMar>
      </w:tblPr>
      <w:tblGrid>
        <w:gridCol w:w="124"/>
        <w:gridCol w:w="109"/>
        <w:gridCol w:w="249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9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6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NIO Inc.</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6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Shareholders Agreement in respect of NIO China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Shareholders Agreement in Respect of NIO China, this Agreement shall be executed in eleven (11) originals)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Agreement to be duly executed by their duly authorized representatives as of the date first written above.</w:t>
      </w:r>
    </w:p>
    <w:p>
      <w:pPr>
        <w:pStyle w:val="TextBody"/>
        <w:pBdr/>
        <w:bidi w:val="0"/>
        <w:spacing w:before="0" w:after="0"/>
        <w:ind w:left="0" w:right="0" w:hanging="600"/>
        <w:jc w:val="both"/>
        <w:rPr/>
      </w:pPr>
      <w:r>
        <w:rPr/>
        <w:t>​</w:t>
      </w:r>
    </w:p>
    <w:tbl>
      <w:tblPr>
        <w:tblW w:w="2724" w:type="dxa"/>
        <w:jc w:val="left"/>
        <w:tblInd w:w="0" w:type="dxa"/>
        <w:tblLayout w:type="fixed"/>
        <w:tblCellMar>
          <w:top w:w="0" w:type="dxa"/>
          <w:left w:w="0" w:type="dxa"/>
          <w:bottom w:w="0" w:type="dxa"/>
          <w:right w:w="0" w:type="dxa"/>
        </w:tblCellMar>
      </w:tblPr>
      <w:tblGrid>
        <w:gridCol w:w="124"/>
        <w:gridCol w:w="109"/>
        <w:gridCol w:w="249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9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6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NIO Holding Co., Ltd.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6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Shareholders Agreement in respect of NIO China – Signature Page</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329" w:name="nio-20241231xex4d52.htm"/>
      <w:bookmarkStart w:id="2330" w:name="ksnio20241231xex4d52"/>
      <w:bookmarkEnd w:id="2329"/>
      <w:bookmarkEnd w:id="2330"/>
      <w:r>
        <w:rPr>
          <w:rFonts w:ascii="Times New Roman;Times;serif" w:hAnsi="Times New Roman;Times;serif"/>
          <w:b/>
          <w:sz w:val="20"/>
        </w:rPr>
        <w:t>Exhibit 4.52</w:t>
      </w:r>
      <w:r>
        <w:br w:type="page"/>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Amendment and Supplementary Agreement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NIO CHINA SERIES B INVESTMENT</w:t>
      </w:r>
      <w:r>
        <w:rPr>
          <w:rFonts w:ascii="Times New Roman;Times;serif" w:hAnsi="Times New Roman;Times;serif"/>
          <w:sz w:val="20"/>
        </w:rPr>
        <w:t xml:space="preserve"> </w:t>
      </w:r>
      <w:r>
        <w:rPr>
          <w:rFonts w:ascii="Times New Roman;Times;serif" w:hAnsi="Times New Roman;Times;serif"/>
          <w:b/>
          <w:sz w:val="20"/>
        </w:rPr>
        <w:t>AGREEMENT</w:t>
      </w:r>
    </w:p>
    <w:p>
      <w:pPr>
        <w:pStyle w:val="TextBody"/>
        <w:bidi w:val="0"/>
        <w:spacing w:before="0" w:after="190"/>
        <w:ind w:left="0" w:right="0" w:hanging="0"/>
        <w:jc w:val="both"/>
        <w:rPr/>
      </w:pPr>
      <w:r>
        <w:rPr/>
        <w:t>​</w:t>
      </w:r>
    </w:p>
    <w:p>
      <w:pPr>
        <w:pStyle w:val="TextBody"/>
        <w:bidi w:val="0"/>
        <w:spacing w:before="0" w:after="190"/>
        <w:ind w:left="0" w:right="0" w:hanging="0"/>
        <w:jc w:val="both"/>
        <w:rPr>
          <w:rFonts w:ascii="Times New Roman;Times;serif" w:hAnsi="Times New Roman;Times;serif"/>
          <w:sz w:val="20"/>
        </w:rPr>
      </w:pPr>
      <w:r>
        <w:rPr>
          <w:rFonts w:ascii="Times New Roman;Times;serif" w:hAnsi="Times New Roman;Times;serif"/>
          <w:sz w:val="20"/>
        </w:rPr>
        <w:t>This Amendment and Supplementary Agreement to NIO China Series B Investment Agreement (this “</w:t>
      </w:r>
      <w:r>
        <w:rPr>
          <w:rFonts w:ascii="Times New Roman;Times;serif" w:hAnsi="Times New Roman;Times;serif"/>
          <w:b/>
          <w:sz w:val="20"/>
        </w:rPr>
        <w:t>Amendment and Supplementary Agreement</w:t>
      </w:r>
      <w:r>
        <w:rPr>
          <w:rFonts w:ascii="Times New Roman;Times;serif" w:hAnsi="Times New Roman;Times;serif"/>
          <w:sz w:val="20"/>
        </w:rPr>
        <w:t>”) is made on December 28, 2024 (the “</w:t>
      </w:r>
      <w:r>
        <w:rPr>
          <w:rFonts w:ascii="Times New Roman;Times;serif" w:hAnsi="Times New Roman;Times;serif"/>
          <w:b/>
          <w:sz w:val="20"/>
        </w:rPr>
        <w:t>Execution Date</w:t>
      </w:r>
      <w:r>
        <w:rPr>
          <w:rFonts w:ascii="Times New Roman;Times;serif" w:hAnsi="Times New Roman;Times;serif"/>
          <w:sz w:val="20"/>
        </w:rPr>
        <w:t>”) by and among:</w:t>
      </w:r>
    </w:p>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w:t>
            </w:r>
          </w:p>
        </w:tc>
        <w:tc>
          <w:tcPr>
            <w:tcW w:w="100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Hefei Jianheng New Energy Automobile Investment Fund Partnership (Limited Partnership), a limited partnership duly established and existing under the Laws of the People’s Republic of China (the “</w:t>
            </w:r>
            <w:r>
              <w:rPr>
                <w:rFonts w:ascii="Times New Roman;Times;serif" w:hAnsi="Times New Roman;Times;serif"/>
                <w:b/>
                <w:sz w:val="20"/>
              </w:rPr>
              <w:t>PRC</w:t>
            </w:r>
            <w:r>
              <w:rPr>
                <w:rFonts w:ascii="Times New Roman;Times;serif" w:hAnsi="Times New Roman;Times;serif"/>
                <w:sz w:val="20"/>
              </w:rPr>
              <w:t>”, for the purpose of this Amendment and Supplementary Agreement, excluding the Hong Kong Special Administrative Region, the Macao Special Administrative Region and Taiwan), holding a business license with unified social credit code of 91340111MA2UU69EX8, and with its executive partner being Hefei Construction Investment Capital Management Co., Ltd., and registered office at Room 101, Area G, Intelligent Equipment Technology Park, No. 3963 Susong Road, Economic and Technological Development Area, Hefei City, Anhui Province (“</w:t>
            </w:r>
            <w:r>
              <w:rPr>
                <w:rFonts w:ascii="Times New Roman;Times;serif" w:hAnsi="Times New Roman;Times;serif"/>
                <w:b/>
                <w:sz w:val="20"/>
              </w:rPr>
              <w:t>Jianheng New Energy Fund</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w:t>
            </w:r>
          </w:p>
        </w:tc>
        <w:tc>
          <w:tcPr>
            <w:tcW w:w="1006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Hefei Jianxiang Investment Co., Ltd., a limited liability company duly established and existing under the Laws of the PRC, holding a business license with unified social credit code of 91340100060811593C, and with its legal representative being GUO Zhaozhi and registered office at NO. 229, Wuhan Road, Binhu New District, Hefei City (“</w:t>
            </w:r>
            <w:r>
              <w:rPr>
                <w:rFonts w:ascii="Times New Roman;Times;serif" w:hAnsi="Times New Roman;Times;serif"/>
                <w:b/>
                <w:sz w:val="20"/>
              </w:rPr>
              <w:t>Hefei Jianxiang</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w:t>
            </w:r>
          </w:p>
        </w:tc>
        <w:tc>
          <w:tcPr>
            <w:tcW w:w="10068"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CS Capital Co., Ltd., a limited liability company duly established and existing under the Laws of the PRC, holding a business license with unified social credit code of 91130600MA094UG35F, and with its legal representative being GAO Guohua and registered office at North Dong Ao Wei Road, Luosa Street, Rongcheng County, Baoding City, Hebei Province (“</w:t>
            </w:r>
            <w:r>
              <w:rPr>
                <w:rFonts w:ascii="Times New Roman;Times;serif" w:hAnsi="Times New Roman;Times;serif"/>
                <w:b/>
                <w:sz w:val="20"/>
              </w:rPr>
              <w:t>CS Capital</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4.</w:t>
            </w:r>
          </w:p>
        </w:tc>
        <w:tc>
          <w:tcPr>
            <w:tcW w:w="1007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Anhui Provincial Emerging Industry Investment Co., Ltd., a limited liability company duly established and existing under the Laws of the PRC, holding a business license with unified social credit code of 9134000032543101X1, and with its legal representative being XU Xianlu and registered address at Room 301, Innovation Building, 860 Wangjiang West Road, High-tech District, Hefei City, Anhui Province (“</w:t>
            </w:r>
            <w:r>
              <w:rPr>
                <w:rFonts w:ascii="Times New Roman;Times;serif" w:hAnsi="Times New Roman;Times;serif"/>
                <w:b/>
                <w:sz w:val="20"/>
              </w:rPr>
              <w:t>Anhui High-tech Co.</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5.</w:t>
            </w:r>
          </w:p>
        </w:tc>
        <w:tc>
          <w:tcPr>
            <w:tcW w:w="10073"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Anhui Emerging Industry Yuwen Weiyuan Technology Partnership Enterprise (Limited Partnership), a limited partnership duly established and existing under the Laws of the PRC, holding a business license with unified social credit code of 91340100MAE0UF7A30, and with its executive partner being Anhui Zhong’an Xingyuan Investment Management Co., Ltd., and registered office at Room 3921, 39th Floor, NO.A1 Building, Zhong’an Chuanggu Science and Technology Park, No. 920 Wangjiang West Road, Chengxiqiao Community Service Center, High-tech Zone, Hefei City, Anhui Province (“</w:t>
            </w:r>
            <w:r>
              <w:rPr>
                <w:rFonts w:ascii="Times New Roman;Times;serif" w:hAnsi="Times New Roman;Times;serif"/>
                <w:b/>
                <w:sz w:val="20"/>
              </w:rPr>
              <w:t>Anhui Emerging Industry Yuwen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190"/>
        <w:ind w:left="440" w:right="0" w:hanging="0"/>
        <w:jc w:val="both"/>
        <w:rPr>
          <w:rFonts w:ascii="Times New Roman;Times;serif" w:hAnsi="Times New Roman;Times;serif"/>
          <w:sz w:val="20"/>
        </w:rPr>
      </w:pPr>
      <w:r>
        <w:rPr>
          <w:rFonts w:ascii="Times New Roman;Times;serif" w:hAnsi="Times New Roman;Times;serif"/>
          <w:b/>
          <w:sz w:val="20"/>
        </w:rPr>
        <w:t>Weiyuan Technology</w:t>
      </w:r>
      <w:r>
        <w:rPr>
          <w:rFonts w:ascii="Times New Roman;Times;serif" w:hAnsi="Times New Roman;Times;serif"/>
          <w:sz w:val="20"/>
        </w:rPr>
        <w:t>”, together with the CS Capital and/or its designated investment entity and Hefei Jianxiang, the “</w:t>
      </w:r>
      <w:r>
        <w:rPr>
          <w:rFonts w:ascii="Times New Roman;Times;serif" w:hAnsi="Times New Roman;Times;serif"/>
          <w:b/>
          <w:sz w:val="20"/>
        </w:rPr>
        <w:t>Investors</w:t>
      </w:r>
      <w:r>
        <w:rPr>
          <w:rFonts w:ascii="Times New Roman;Times;serif" w:hAnsi="Times New Roman;Times;serif"/>
          <w:sz w:val="20"/>
        </w:rPr>
        <w:t>”);</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w:t>
            </w:r>
          </w:p>
        </w:tc>
        <w:tc>
          <w:tcPr>
            <w:tcW w:w="10056"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NIO Inc., a company duly organized and validly existing under the laws of the Cayman Islands and having its registered address at PO Box 309, Ugland House, Grand Cayman, KY1-1104, Cayman Islands (“</w:t>
            </w:r>
            <w:r>
              <w:rPr>
                <w:rFonts w:ascii="Times New Roman;Times;serif" w:hAnsi="Times New Roman;Times;serif"/>
                <w:b/>
                <w:sz w:val="20"/>
              </w:rPr>
              <w:t>NIO Inc.</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7.</w:t>
            </w:r>
          </w:p>
        </w:tc>
        <w:tc>
          <w:tcPr>
            <w:tcW w:w="10059"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Nio Nextev Limited, a limited company duly organized and validly existing under the laws of Hong Kong, with company number of 2199750 and its registered address at 30th Floor, Jardine House, 1 Connaught Place, Central, Hong Kong (“</w:t>
            </w:r>
            <w:r>
              <w:rPr>
                <w:rFonts w:ascii="Times New Roman;Times;serif" w:hAnsi="Times New Roman;Times;serif"/>
                <w:b/>
                <w:sz w:val="20"/>
              </w:rPr>
              <w:t>NIO HK</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8.</w:t>
            </w:r>
          </w:p>
        </w:tc>
        <w:tc>
          <w:tcPr>
            <w:tcW w:w="1006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NIO User Enterprise Limited, a limited company duly organized and validly existing under the laws of Hong Kong, with company number of 2487823 and its registered address at 30th Floor, Jardine House, 1 Connaught Place, Central, Hong Kong (“</w:t>
            </w:r>
            <w:r>
              <w:rPr>
                <w:rFonts w:ascii="Times New Roman;Times;serif" w:hAnsi="Times New Roman;Times;serif"/>
                <w:b/>
                <w:sz w:val="20"/>
              </w:rPr>
              <w:t>UE HK</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9.</w:t>
            </w:r>
          </w:p>
        </w:tc>
        <w:tc>
          <w:tcPr>
            <w:tcW w:w="1006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NIO Power Express Limited, a limited company duly organized and validly existing under the laws of Hong Kong, with company number of 2472480 and its registered address at 30th Floor, Jardine House, 1 Connaught Place, Central, Hong Kong (“</w:t>
            </w:r>
            <w:r>
              <w:rPr>
                <w:rFonts w:ascii="Times New Roman;Times;serif" w:hAnsi="Times New Roman;Times;serif"/>
                <w:b/>
                <w:sz w:val="20"/>
              </w:rPr>
              <w:t>PE HK</w:t>
            </w:r>
            <w:r>
              <w:rPr>
                <w:rFonts w:ascii="Times New Roman;Times;serif" w:hAnsi="Times New Roman;Times;serif"/>
                <w:sz w:val="20"/>
              </w:rPr>
              <w:t>”, together with NIO HK and UE HK, the “</w:t>
            </w:r>
            <w:r>
              <w:rPr>
                <w:rFonts w:ascii="Times New Roman;Times;serif" w:hAnsi="Times New Roman;Times;serif"/>
                <w:b/>
                <w:sz w:val="20"/>
              </w:rPr>
              <w:t>NIO HK Holding Platforms</w:t>
            </w:r>
            <w:r>
              <w:rPr>
                <w:rFonts w:ascii="Times New Roman;Times;serif" w:hAnsi="Times New Roman;Times;serif"/>
                <w:sz w:val="20"/>
              </w:rPr>
              <w:t>”; together with NIO Inc., the “</w:t>
            </w:r>
            <w:r>
              <w:rPr>
                <w:rFonts w:ascii="Times New Roman;Times;serif" w:hAnsi="Times New Roman;Times;serif"/>
                <w:b/>
                <w:sz w:val="20"/>
              </w:rPr>
              <w:t>NIO Parties</w:t>
            </w:r>
            <w:r>
              <w:rPr>
                <w:rFonts w:ascii="Times New Roman;Times;serif" w:hAnsi="Times New Roman;Times;serif"/>
                <w:sz w:val="20"/>
              </w:rPr>
              <w:t>”); and</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10.</w:t>
            </w:r>
          </w:p>
        </w:tc>
        <w:tc>
          <w:tcPr>
            <w:tcW w:w="996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NIO Holding Co., Ltd., a limited liability company duly organized and validly existing under the laws of the PRC with its unified social credit code of 91340111 MA2RAD3M4R, with its legal representative being LI Bin and its registered address at Building F, Hengchuang Intelligent Science and Technology Park, No. 3963, Susong Road, Economic and Technological Development Zone, Hefei City, Anhui Province (the “</w:t>
            </w:r>
            <w:r>
              <w:rPr>
                <w:rFonts w:ascii="Times New Roman;Times;serif" w:hAnsi="Times New Roman;Times;serif"/>
                <w:b/>
                <w:sz w:val="20"/>
              </w:rPr>
              <w:t>NIO China</w:t>
            </w:r>
            <w:r>
              <w:rPr>
                <w:rFonts w:ascii="Times New Roman;Times;serif" w:hAnsi="Times New Roman;Times;serif"/>
                <w:sz w:val="20"/>
              </w:rPr>
              <w:t>”, “</w:t>
            </w:r>
            <w:r>
              <w:rPr>
                <w:rFonts w:ascii="Times New Roman;Times;serif" w:hAnsi="Times New Roman;Times;serif"/>
                <w:b/>
                <w:sz w:val="20"/>
              </w:rPr>
              <w:t>Target Company</w:t>
            </w:r>
            <w:r>
              <w:rPr>
                <w:rFonts w:ascii="Times New Roman;Times;serif" w:hAnsi="Times New Roman;Times;serif"/>
                <w:sz w:val="20"/>
              </w:rPr>
              <w:t>” or the “</w:t>
            </w:r>
            <w:r>
              <w:rPr>
                <w:rFonts w:ascii="Times New Roman;Times;serif" w:hAnsi="Times New Roman;Times;serif"/>
                <w:b/>
                <w:sz w:val="20"/>
              </w:rPr>
              <w:t>Company</w:t>
            </w:r>
            <w:r>
              <w:rPr>
                <w:rFonts w:ascii="Times New Roman;Times;serif" w:hAnsi="Times New Roman;Times;serif"/>
                <w:sz w:val="20"/>
              </w:rPr>
              <w:t>”).</w:t>
            </w:r>
          </w:p>
        </w:tc>
      </w:tr>
    </w:tbl>
    <w:p>
      <w:pPr>
        <w:pStyle w:val="TextBody"/>
        <w:bidi w:val="0"/>
        <w:spacing w:before="0" w:after="190"/>
        <w:ind w:left="0" w:right="0" w:hanging="0"/>
        <w:jc w:val="both"/>
        <w:rPr>
          <w:rFonts w:ascii="Times New Roman;Times;serif" w:hAnsi="Times New Roman;Times;serif"/>
          <w:sz w:val="20"/>
        </w:rPr>
      </w:pPr>
      <w:r>
        <w:rPr>
          <w:rFonts w:ascii="Times New Roman;Times;serif" w:hAnsi="Times New Roman;Times;serif"/>
          <w:sz w:val="20"/>
        </w:rPr>
        <w:t>In this Amendment and Supplementary Agreement, the above parties are referred to individually as a “</w:t>
      </w:r>
      <w:r>
        <w:rPr>
          <w:rFonts w:ascii="Times New Roman;Times;serif" w:hAnsi="Times New Roman;Times;serif"/>
          <w:b/>
          <w:sz w:val="20"/>
        </w:rPr>
        <w:t>Party</w:t>
      </w:r>
      <w:r>
        <w:rPr>
          <w:rFonts w:ascii="Times New Roman;Times;serif" w:hAnsi="Times New Roman;Times;serif"/>
          <w:sz w:val="20"/>
        </w:rPr>
        <w:t>” and collectively as the “</w:t>
      </w:r>
      <w:r>
        <w:rPr>
          <w:rFonts w:ascii="Times New Roman;Times;serif" w:hAnsi="Times New Roman;Times;serif"/>
          <w:b/>
          <w:sz w:val="20"/>
        </w:rPr>
        <w:t>Parties</w:t>
      </w:r>
      <w:r>
        <w:rPr>
          <w:rFonts w:ascii="Times New Roman;Times;serif" w:hAnsi="Times New Roman;Times;serif"/>
          <w:sz w:val="20"/>
        </w:rPr>
        <w:t>”.</w:t>
      </w:r>
    </w:p>
    <w:p>
      <w:pPr>
        <w:pStyle w:val="TextBody"/>
        <w:bidi w:val="0"/>
        <w:spacing w:before="0" w:after="190"/>
        <w:ind w:left="0" w:right="0" w:hanging="0"/>
        <w:jc w:val="both"/>
        <w:rPr>
          <w:rFonts w:ascii="Times New Roman;Times;serif" w:hAnsi="Times New Roman;Times;serif"/>
          <w:sz w:val="20"/>
        </w:rPr>
      </w:pPr>
      <w:r>
        <w:rPr>
          <w:rFonts w:ascii="Times New Roman;Times;serif" w:hAnsi="Times New Roman;Times;serif"/>
          <w:sz w:val="20"/>
        </w:rPr>
        <w:t>Except as otherwise provided in this Amendment and Supplementary Agreement, the terms in this Amendment and Supplementary Agreement shall bear the same meaning and be subject to the same rule of interpretation as given in the Series B Investment Agreement (as defined below).</w:t>
      </w:r>
    </w:p>
    <w:p>
      <w:pPr>
        <w:pStyle w:val="TextBody"/>
        <w:bidi w:val="0"/>
        <w:spacing w:before="0" w:after="190"/>
        <w:ind w:left="0" w:right="0" w:hanging="0"/>
        <w:jc w:val="both"/>
        <w:rPr>
          <w:rFonts w:ascii="Times New Roman;Times;serif" w:hAnsi="Times New Roman;Times;serif"/>
          <w:b/>
          <w:sz w:val="20"/>
        </w:rPr>
      </w:pPr>
      <w:r>
        <w:rPr>
          <w:rFonts w:ascii="Times New Roman;Times;serif" w:hAnsi="Times New Roman;Times;serif"/>
          <w:b/>
          <w:sz w:val="20"/>
        </w:rPr>
        <w:t>WHEREAS:</w:t>
      </w:r>
    </w:p>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w:t>
            </w:r>
          </w:p>
        </w:tc>
        <w:tc>
          <w:tcPr>
            <w:tcW w:w="10053"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Investors, NIO HK Holding Platforms, NIO Inc., and the Company entered into a NIO China Series B Investment Agreement (the “</w:t>
            </w:r>
            <w:r>
              <w:rPr>
                <w:rFonts w:ascii="Times New Roman;Times;serif" w:hAnsi="Times New Roman;Times;serif"/>
                <w:b/>
                <w:sz w:val="20"/>
              </w:rPr>
              <w:t>Series B Investment Agreement</w:t>
            </w:r>
            <w:r>
              <w:rPr>
                <w:rFonts w:ascii="Times New Roman;Times;serif" w:hAnsi="Times New Roman;Times;serif"/>
                <w:sz w:val="20"/>
              </w:rPr>
              <w:t>”) on September 30, 2024;</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w:t>
            </w:r>
          </w:p>
        </w:tc>
        <w:tc>
          <w:tcPr>
            <w:tcW w:w="1006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Jianheng New Energy Fund hereby designates Hefei Jianxiang to succeed to all of its rights and obligations under the Series B Investment Agreement in accordance with this Amendment and Supplementary Agreement, and Hefei Jianxiang agrees to succeed to such rights and obligations in accordance with this Amendment and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190"/>
        <w:ind w:left="440" w:right="0" w:hanging="0"/>
        <w:jc w:val="both"/>
        <w:rPr>
          <w:rFonts w:ascii="Times New Roman;Times;serif" w:hAnsi="Times New Roman;Times;serif"/>
          <w:sz w:val="20"/>
        </w:rPr>
      </w:pPr>
      <w:r>
        <w:rPr>
          <w:rFonts w:ascii="Times New Roman;Times;serif" w:hAnsi="Times New Roman;Times;serif"/>
          <w:sz w:val="20"/>
        </w:rPr>
        <w:t>Supplementary Agreement. Anhui High-tech Co. hereby designates Anhui Emerging Industry Yuwen Weiyuan Technology to succeed to all of its rights and obligations all of its rights and obligations under the Series B Investment Agreement in accordance with this Amendment and Supplementary Agreement, and Anhui Emerging Industry Yuwen Weiyuan Technology agrees to succeed to such rights and obligations in accordance with this Amendment and Supplementary Agreement; and</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5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Parties hereby unanimously agree to make certain amendments and supplements to certain provisions of the Series B Investment Agreement in accordance with this Amendment and Supplementary Agreement.</w:t>
            </w:r>
          </w:p>
        </w:tc>
      </w:tr>
    </w:tbl>
    <w:p>
      <w:pPr>
        <w:pStyle w:val="TextBody"/>
        <w:bidi w:val="0"/>
        <w:spacing w:before="0" w:after="190"/>
        <w:ind w:left="440" w:right="0" w:hanging="0"/>
        <w:jc w:val="both"/>
        <w:rPr/>
      </w:pPr>
      <w:r>
        <w:rPr/>
        <w:t>​</w:t>
      </w:r>
    </w:p>
    <w:p>
      <w:pPr>
        <w:pStyle w:val="TextBody"/>
        <w:bidi w:val="0"/>
        <w:spacing w:before="0" w:after="190"/>
        <w:ind w:left="0" w:right="0" w:hanging="0"/>
        <w:jc w:val="both"/>
        <w:rPr>
          <w:rFonts w:ascii="Times New Roman;Times;serif" w:hAnsi="Times New Roman;Times;serif"/>
          <w:sz w:val="20"/>
        </w:rPr>
      </w:pPr>
      <w:r>
        <w:rPr>
          <w:rFonts w:ascii="Times New Roman;Times;serif" w:hAnsi="Times New Roman;Times;serif"/>
          <w:sz w:val="20"/>
        </w:rPr>
        <w:t>NOW, THEREFORE, the Parties hereby unanimously agree and acknowledge that Hefei Jianxiang and Anhui Emerging Industry Yuwen Weiyuan Technology shall become parties to the Series B Investment Agreement by executing this Amendment and Supplementary Agreement. The Parties further unanimously agree to the following provisions:</w:t>
      </w:r>
    </w:p>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w:t>
            </w:r>
          </w:p>
        </w:tc>
        <w:tc>
          <w:tcPr>
            <w:tcW w:w="10076"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Jianheng New Energy Fund hereby designates Hefei Jianxiang to succeed to all of its rights and obligations under the Series B Investment Agreement in accordance with this Amendment and Supplementary Agreement, and Hefei Jianxiang agrees to succeed to such rights and obligations in accordance with this Amendment and Supplementary Agreement. Anhui High-tech Co. hereby designates Anhui Emerging Industry Yuwen Weiyuan Technology to succeed to all of its rights and obligations under the Series B Investment Agreement in accordance with this Amendment and Supplementary Agreement, and Anhui Emerging Industry Yuwen Weiyuan Technology agrees to succeed to such rights and obligations in accordance with this Amendment and Supplementary Agreement. The term “</w:t>
            </w:r>
            <w:r>
              <w:rPr>
                <w:rFonts w:ascii="Times New Roman;Times;serif" w:hAnsi="Times New Roman;Times;serif"/>
                <w:b/>
                <w:sz w:val="20"/>
              </w:rPr>
              <w:t>Parties</w:t>
            </w:r>
            <w:r>
              <w:rPr>
                <w:rFonts w:ascii="Times New Roman;Times;serif" w:hAnsi="Times New Roman;Times;serif"/>
                <w:sz w:val="20"/>
              </w:rPr>
              <w:t>” in the Series B Investment Agreement shall be amended to include Hefei Jianxiang and Anhui Emerging Industry Yuwen Weiyuan Technology, and the term “</w:t>
            </w:r>
            <w:r>
              <w:rPr>
                <w:rFonts w:ascii="Times New Roman;Times;serif" w:hAnsi="Times New Roman;Times;serif"/>
                <w:b/>
                <w:sz w:val="20"/>
              </w:rPr>
              <w:t>Party</w:t>
            </w:r>
            <w:r>
              <w:rPr>
                <w:rFonts w:ascii="Times New Roman;Times;serif" w:hAnsi="Times New Roman;Times;serif"/>
                <w:sz w:val="20"/>
              </w:rPr>
              <w:t>” shall include any of the aforementioned parties.</w:t>
            </w:r>
          </w:p>
        </w:tc>
      </w:tr>
    </w:tbl>
    <w:tbl>
      <w:tblPr>
        <w:tblW w:w="7480" w:type="dxa"/>
        <w:jc w:val="left"/>
        <w:tblInd w:w="0" w:type="dxa"/>
        <w:tblLayout w:type="fixed"/>
        <w:tblCellMar>
          <w:top w:w="0" w:type="dxa"/>
          <w:left w:w="0" w:type="dxa"/>
          <w:bottom w:w="0" w:type="dxa"/>
          <w:right w:w="0" w:type="dxa"/>
        </w:tblCellMar>
      </w:tblPr>
      <w:tblGrid>
        <w:gridCol w:w="170"/>
        <w:gridCol w:w="7310"/>
      </w:tblGrid>
      <w:tr>
        <w:trPr/>
        <w:tc>
          <w:tcPr>
            <w:tcW w:w="17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w:t>
            </w:r>
          </w:p>
        </w:tc>
        <w:tc>
          <w:tcPr>
            <w:tcW w:w="731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Certain definitions under the Series B Investment Agreement shall be amended as follows:</w:t>
            </w:r>
          </w:p>
        </w:tc>
      </w:tr>
    </w:tbl>
    <w:p>
      <w:pPr>
        <w:pStyle w:val="TextBody"/>
        <w:bidi w:val="0"/>
        <w:spacing w:before="0" w:after="0"/>
        <w:ind w:left="0" w:right="0" w:hanging="0"/>
        <w:jc w:val="both"/>
        <w:rPr/>
      </w:pPr>
      <w:r>
        <w:rPr/>
        <w:t>​</w:t>
      </w:r>
    </w:p>
    <w:tbl>
      <w:tblPr>
        <w:tblW w:w="10205" w:type="dxa"/>
        <w:jc w:val="center"/>
        <w:tblInd w:w="0" w:type="dxa"/>
        <w:tblLayout w:type="fixed"/>
        <w:tblCellMar>
          <w:top w:w="28" w:type="dxa"/>
          <w:left w:w="103" w:type="dxa"/>
          <w:bottom w:w="28" w:type="dxa"/>
          <w:right w:w="103" w:type="dxa"/>
        </w:tblCellMar>
      </w:tblPr>
      <w:tblGrid>
        <w:gridCol w:w="856"/>
        <w:gridCol w:w="616"/>
        <w:gridCol w:w="8733"/>
      </w:tblGrid>
      <w:tr>
        <w:trPr/>
        <w:tc>
          <w:tcPr>
            <w:tcW w:w="8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Investors</w:t>
            </w:r>
          </w:p>
        </w:tc>
        <w:tc>
          <w:tcPr>
            <w:tcW w:w="6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873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Hefei Jianxiang, CS Capital and/or its designated investment entity and Anhui Emerging Industry Yuwen Weiyuan Technology. </w:t>
            </w:r>
          </w:p>
        </w:tc>
      </w:tr>
    </w:tbl>
    <w:p>
      <w:pPr>
        <w:pStyle w:val="TextBody"/>
        <w:bidi w:val="0"/>
        <w:spacing w:before="0" w:after="190"/>
        <w:ind w:left="0" w:right="0" w:hanging="0"/>
        <w:jc w:val="both"/>
        <w:rPr/>
      </w:pPr>
      <w:r>
        <w:rPr/>
        <w:t>​</w:t>
      </w:r>
    </w:p>
    <w:p>
      <w:pPr>
        <w:pStyle w:val="TextBody"/>
        <w:bidi w:val="0"/>
        <w:spacing w:before="0" w:after="190"/>
        <w:ind w:left="0" w:right="0" w:hanging="0"/>
        <w:jc w:val="both"/>
        <w:rPr>
          <w:rFonts w:ascii="Times New Roman;Times;serif" w:hAnsi="Times New Roman;Times;serif"/>
          <w:sz w:val="20"/>
        </w:rPr>
      </w:pPr>
      <w:r>
        <w:rPr>
          <w:rFonts w:ascii="Times New Roman;Times;serif" w:hAnsi="Times New Roman;Times;serif"/>
          <w:sz w:val="20"/>
        </w:rPr>
        <w:t>The following definitions shall be added:</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0" w:type="dxa"/>
          <w:left w:w="0" w:type="dxa"/>
          <w:bottom w:w="0" w:type="dxa"/>
          <w:right w:w="0" w:type="dxa"/>
        </w:tblCellMar>
      </w:tblPr>
      <w:tblGrid>
        <w:gridCol w:w="6814"/>
        <w:gridCol w:w="616"/>
        <w:gridCol w:w="2775"/>
      </w:tblGrid>
      <w:tr>
        <w:trPr/>
        <w:tc>
          <w:tcPr>
            <w:tcW w:w="6814" w:type="dxa"/>
            <w:tcBorders/>
            <w:vAlign w:val="center"/>
          </w:tcPr>
          <w:p>
            <w:pPr>
              <w:pStyle w:val="TableContents"/>
              <w:bidi w:val="0"/>
              <w:spacing w:before="0" w:after="283"/>
              <w:ind w:left="0" w:right="0" w:hanging="0"/>
              <w:jc w:val="left"/>
              <w:rPr>
                <w:sz w:val="4"/>
                <w:szCs w:val="4"/>
              </w:rPr>
            </w:pPr>
            <w:r>
              <w:rPr>
                <w:sz w:val="4"/>
                <w:szCs w:val="4"/>
              </w:rPr>
            </w:r>
          </w:p>
        </w:tc>
        <w:tc>
          <w:tcPr>
            <w:tcW w:w="616" w:type="dxa"/>
            <w:tcBorders/>
            <w:vAlign w:val="center"/>
          </w:tcPr>
          <w:p>
            <w:pPr>
              <w:pStyle w:val="TableContents"/>
              <w:bidi w:val="0"/>
              <w:spacing w:before="0" w:after="283"/>
              <w:ind w:left="0" w:right="0" w:hanging="0"/>
              <w:jc w:val="left"/>
              <w:rPr>
                <w:sz w:val="4"/>
                <w:szCs w:val="4"/>
              </w:rPr>
            </w:pPr>
            <w:r>
              <w:rPr>
                <w:sz w:val="4"/>
                <w:szCs w:val="4"/>
              </w:rPr>
            </w:r>
          </w:p>
        </w:tc>
        <w:tc>
          <w:tcPr>
            <w:tcW w:w="2775" w:type="dxa"/>
            <w:tcBorders/>
            <w:vAlign w:val="center"/>
          </w:tcPr>
          <w:p>
            <w:pPr>
              <w:pStyle w:val="TableContents"/>
              <w:bidi w:val="0"/>
              <w:spacing w:before="0" w:after="283"/>
              <w:ind w:left="0" w:right="0" w:hanging="0"/>
              <w:jc w:val="left"/>
              <w:rPr>
                <w:sz w:val="4"/>
                <w:szCs w:val="4"/>
              </w:rPr>
            </w:pPr>
            <w:r>
              <w:rPr>
                <w:sz w:val="4"/>
                <w:szCs w:val="4"/>
              </w:rPr>
            </w:r>
          </w:p>
        </w:tc>
      </w:tr>
      <w:tr>
        <w:trPr/>
        <w:tc>
          <w:tcPr>
            <w:tcW w:w="681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Hefei Jianxiang Capital Increase Price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277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Article 2.1.1.1 hereof</w:t>
            </w:r>
          </w:p>
        </w:tc>
      </w:tr>
      <w:tr>
        <w:trPr/>
        <w:tc>
          <w:tcPr>
            <w:tcW w:w="681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Anhui Emerging Industry Yuwen Weiyuan Technology Capital Increase Price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277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Article 2.1.1.1 hereof</w:t>
            </w:r>
          </w:p>
        </w:tc>
      </w:tr>
      <w:tr>
        <w:trPr/>
        <w:tc>
          <w:tcPr>
            <w:tcW w:w="681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Hefei Jianxiang First Installment of Capital Increase Price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277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Article 3.1.1 hereof</w:t>
            </w:r>
          </w:p>
        </w:tc>
      </w:tr>
      <w:tr>
        <w:trPr/>
        <w:tc>
          <w:tcPr>
            <w:tcW w:w="681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Anhui Emerging Industry Yuwen Weiyuan Technology First Installment of Capital Increase Price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277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Article 3.1.1 hereof</w:t>
            </w:r>
          </w:p>
        </w:tc>
      </w:tr>
      <w:tr>
        <w:trPr/>
        <w:tc>
          <w:tcPr>
            <w:tcW w:w="681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Hefei Jianxiang Second Installment of Capital Increase Price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277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Article 3.1.2 hereof</w:t>
            </w:r>
          </w:p>
        </w:tc>
      </w:tr>
      <w:tr>
        <w:trPr/>
        <w:tc>
          <w:tcPr>
            <w:tcW w:w="681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Anhui Emerging Industry Yuwen Weiyuan Technology Second Installment of Capital Increase Price</w:t>
            </w:r>
          </w:p>
        </w:tc>
        <w:tc>
          <w:tcPr>
            <w:tcW w:w="6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277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Article 3.1.2 hereof</w:t>
            </w:r>
          </w:p>
        </w:tc>
      </w:tr>
    </w:tbl>
    <w:p>
      <w:pPr>
        <w:pStyle w:val="TextBody"/>
        <w:bidi w:val="0"/>
        <w:spacing w:before="0" w:after="0"/>
        <w:ind w:left="0" w:right="0" w:hanging="0"/>
        <w:jc w:val="left"/>
        <w:rPr/>
      </w:pPr>
      <w:r>
        <w:rPr/>
        <w:t>​</w:t>
      </w:r>
    </w:p>
    <w:p>
      <w:pPr>
        <w:pStyle w:val="TextBody"/>
        <w:bidi w:val="0"/>
        <w:spacing w:before="0" w:after="190"/>
        <w:ind w:left="0" w:right="0" w:hanging="0"/>
        <w:jc w:val="both"/>
        <w:rPr>
          <w:rFonts w:ascii="Times New Roman;Times;serif" w:hAnsi="Times New Roman;Times;serif"/>
          <w:sz w:val="20"/>
        </w:rPr>
      </w:pPr>
      <w:r>
        <w:rPr>
          <w:rFonts w:ascii="Times New Roman;Times;serif" w:hAnsi="Times New Roman;Times;serif"/>
          <w:sz w:val="20"/>
        </w:rPr>
        <w:t>The following definitions shall be deleted:</w:t>
      </w:r>
    </w:p>
    <w:tbl>
      <w:tblPr>
        <w:tblW w:w="7998" w:type="dxa"/>
        <w:jc w:val="center"/>
        <w:tblInd w:w="0" w:type="dxa"/>
        <w:tblLayout w:type="fixed"/>
        <w:tblCellMar>
          <w:top w:w="28" w:type="dxa"/>
          <w:left w:w="103" w:type="dxa"/>
          <w:bottom w:w="28" w:type="dxa"/>
          <w:right w:w="103" w:type="dxa"/>
        </w:tblCellMar>
      </w:tblPr>
      <w:tblGrid>
        <w:gridCol w:w="4156"/>
        <w:gridCol w:w="616"/>
        <w:gridCol w:w="3226"/>
      </w:tblGrid>
      <w:tr>
        <w:trPr/>
        <w:tc>
          <w:tcPr>
            <w:tcW w:w="41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Jianheng New Energy Fund Capital Increase Price</w:t>
            </w:r>
          </w:p>
        </w:tc>
        <w:tc>
          <w:tcPr>
            <w:tcW w:w="6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32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Article 2.1.1.1 hereof</w:t>
            </w:r>
          </w:p>
        </w:tc>
      </w:tr>
      <w:tr>
        <w:trPr/>
        <w:tc>
          <w:tcPr>
            <w:tcW w:w="41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Anhui High-tech Co. Capital Increase Price</w:t>
            </w:r>
          </w:p>
        </w:tc>
        <w:tc>
          <w:tcPr>
            <w:tcW w:w="6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32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Article 2.1.1.1 hereof</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tbl>
      <w:tblPr>
        <w:tblW w:w="9663" w:type="dxa"/>
        <w:jc w:val="center"/>
        <w:tblInd w:w="0" w:type="dxa"/>
        <w:tblLayout w:type="fixed"/>
        <w:tblCellMar>
          <w:top w:w="28" w:type="dxa"/>
          <w:left w:w="103" w:type="dxa"/>
          <w:bottom w:w="28" w:type="dxa"/>
          <w:right w:w="103" w:type="dxa"/>
        </w:tblCellMar>
      </w:tblPr>
      <w:tblGrid>
        <w:gridCol w:w="5971"/>
        <w:gridCol w:w="616"/>
        <w:gridCol w:w="3076"/>
      </w:tblGrid>
      <w:tr>
        <w:trPr/>
        <w:tc>
          <w:tcPr>
            <w:tcW w:w="59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Jianheng New Energy Fund First Installment of Capital Increase Price</w:t>
            </w:r>
          </w:p>
        </w:tc>
        <w:tc>
          <w:tcPr>
            <w:tcW w:w="6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30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Article 3.1.1 hereof</w:t>
            </w:r>
          </w:p>
        </w:tc>
      </w:tr>
      <w:tr>
        <w:trPr/>
        <w:tc>
          <w:tcPr>
            <w:tcW w:w="59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Anhui High-tech Co. First Installment of Capital Increase Price</w:t>
            </w:r>
          </w:p>
        </w:tc>
        <w:tc>
          <w:tcPr>
            <w:tcW w:w="6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30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Article 3.1.1 hereof</w:t>
            </w:r>
          </w:p>
        </w:tc>
      </w:tr>
      <w:tr>
        <w:trPr/>
        <w:tc>
          <w:tcPr>
            <w:tcW w:w="59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Jianheng New Energy Fund Second Installment of Capital Increase Price</w:t>
            </w:r>
          </w:p>
        </w:tc>
        <w:tc>
          <w:tcPr>
            <w:tcW w:w="6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30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Article 3.1.2 hereof</w:t>
            </w:r>
          </w:p>
        </w:tc>
      </w:tr>
      <w:tr>
        <w:trPr/>
        <w:tc>
          <w:tcPr>
            <w:tcW w:w="59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Anhui High-tech Co. Second Installment of Capital Increase Price</w:t>
            </w:r>
          </w:p>
        </w:tc>
        <w:tc>
          <w:tcPr>
            <w:tcW w:w="6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means</w:t>
            </w:r>
          </w:p>
        </w:tc>
        <w:tc>
          <w:tcPr>
            <w:tcW w:w="30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definition in Article 3.1.2 hereof</w:t>
            </w:r>
          </w:p>
        </w:tc>
      </w:tr>
    </w:tbl>
    <w:p>
      <w:pPr>
        <w:pStyle w:val="TextBody"/>
        <w:bidi w:val="0"/>
        <w:spacing w:before="0" w:after="190"/>
        <w:ind w:left="0" w:right="0" w:hanging="0"/>
        <w:jc w:val="both"/>
        <w:rPr/>
      </w:pPr>
      <w:r>
        <w:rPr/>
        <w:t>​</w:t>
      </w:r>
    </w:p>
    <w:tbl>
      <w:tblPr>
        <w:tblW w:w="6805" w:type="dxa"/>
        <w:jc w:val="left"/>
        <w:tblInd w:w="0" w:type="dxa"/>
        <w:tblLayout w:type="fixed"/>
        <w:tblCellMar>
          <w:top w:w="0" w:type="dxa"/>
          <w:left w:w="0" w:type="dxa"/>
          <w:bottom w:w="0" w:type="dxa"/>
          <w:right w:w="0" w:type="dxa"/>
        </w:tblCellMar>
      </w:tblPr>
      <w:tblGrid>
        <w:gridCol w:w="170"/>
        <w:gridCol w:w="6635"/>
      </w:tblGrid>
      <w:tr>
        <w:trPr/>
        <w:tc>
          <w:tcPr>
            <w:tcW w:w="17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3.</w:t>
            </w:r>
          </w:p>
        </w:tc>
        <w:tc>
          <w:tcPr>
            <w:tcW w:w="663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Article 2.1.1.1 of the Series B Investment Agreement shall be amended as follows:</w:t>
            </w:r>
          </w:p>
        </w:tc>
      </w:tr>
    </w:tbl>
    <w:p>
      <w:pPr>
        <w:pStyle w:val="TextBody"/>
        <w:bidi w:val="0"/>
        <w:spacing w:before="0" w:after="190"/>
        <w:ind w:left="0" w:right="0" w:hanging="0"/>
        <w:jc w:val="both"/>
        <w:rPr>
          <w:rFonts w:ascii="Times New Roman;Times;serif" w:hAnsi="Times New Roman;Times;serif"/>
          <w:sz w:val="20"/>
        </w:rPr>
      </w:pPr>
      <w:r>
        <w:rPr>
          <w:rFonts w:ascii="Times New Roman;Times;serif" w:hAnsi="Times New Roman;Times;serif"/>
          <w:sz w:val="20"/>
        </w:rPr>
        <w:t>The Parties agree that the Investors shall invest RMB 3,300,000,000.00 (“</w:t>
      </w:r>
      <w:r>
        <w:rPr>
          <w:rFonts w:ascii="Times New Roman;Times;serif" w:hAnsi="Times New Roman;Times;serif"/>
          <w:b/>
          <w:sz w:val="20"/>
        </w:rPr>
        <w:t>Investors Capital Increase Price</w:t>
      </w:r>
      <w:r>
        <w:rPr>
          <w:rFonts w:ascii="Times New Roman;Times;serif" w:hAnsi="Times New Roman;Times;serif"/>
          <w:sz w:val="20"/>
        </w:rPr>
        <w:t>”) to subscribe for RMB 471,446,484.61 newly increased registered capital of the Target Company, representing 5.66% of equity interests in the Target Company after the completion of this Transaction, among which:</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w:t>
            </w:r>
          </w:p>
        </w:tc>
        <w:tc>
          <w:tcPr>
            <w:tcW w:w="10043"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Hefei Jianxiang shall subscribe for RMB 285,725,142.19 of the Target Company’s newly increased registered capital at a price of RMB 2,000,000,000.00 (the “</w:t>
            </w:r>
            <w:r>
              <w:rPr>
                <w:rFonts w:ascii="Times New Roman;Times;serif" w:hAnsi="Times New Roman;Times;serif"/>
                <w:b/>
                <w:sz w:val="20"/>
              </w:rPr>
              <w:t>Hefei Jianxiang</w:t>
            </w:r>
            <w:r>
              <w:rPr>
                <w:rFonts w:ascii="Times New Roman;Times;serif" w:hAnsi="Times New Roman;Times;serif"/>
                <w:sz w:val="20"/>
              </w:rPr>
              <w:t xml:space="preserve"> </w:t>
            </w:r>
            <w:r>
              <w:rPr>
                <w:rFonts w:ascii="Times New Roman;Times;serif" w:hAnsi="Times New Roman;Times;serif"/>
                <w:b/>
                <w:sz w:val="20"/>
              </w:rPr>
              <w:t>Capital Increase Price</w:t>
            </w:r>
            <w:r>
              <w:rPr>
                <w:rFonts w:ascii="Times New Roman;Times;serif" w:hAnsi="Times New Roman;Times;serif"/>
                <w:sz w:val="20"/>
              </w:rPr>
              <w:t>”), representing 3.43% of equity interest in the Target Company after the completion of this Transaction;</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(ii)</w:t>
            </w:r>
          </w:p>
        </w:tc>
        <w:tc>
          <w:tcPr>
            <w:tcW w:w="998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CS Capital and/or its designated investment entity shall subscribe for RMB 71,431,285.54 of the Target Company’s newly increased registered capital at a price of RMB 500,000,000.00 (the “</w:t>
            </w:r>
            <w:r>
              <w:rPr>
                <w:rFonts w:ascii="Times New Roman;Times;serif" w:hAnsi="Times New Roman;Times;serif"/>
                <w:b/>
                <w:sz w:val="20"/>
              </w:rPr>
              <w:t>CS Capital</w:t>
            </w:r>
            <w:r>
              <w:rPr>
                <w:rFonts w:ascii="Times New Roman;Times;serif" w:hAnsi="Times New Roman;Times;serif"/>
                <w:sz w:val="20"/>
              </w:rPr>
              <w:t xml:space="preserve"> </w:t>
            </w:r>
            <w:r>
              <w:rPr>
                <w:rFonts w:ascii="Times New Roman;Times;serif" w:hAnsi="Times New Roman;Times;serif"/>
                <w:b/>
                <w:sz w:val="20"/>
              </w:rPr>
              <w:t>Capital Increase Price</w:t>
            </w:r>
            <w:r>
              <w:rPr>
                <w:rFonts w:ascii="Times New Roman;Times;serif" w:hAnsi="Times New Roman;Times;serif"/>
                <w:sz w:val="20"/>
              </w:rPr>
              <w:t>”), representing 0.86% of equity interest in the Target Company after the completion of this Transaction;</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(iii)</w:t>
            </w:r>
          </w:p>
        </w:tc>
        <w:tc>
          <w:tcPr>
            <w:tcW w:w="991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Anhui Emerging Industry Yuwen Weiyuan Technology shall subscribe for RMB 114,290,056.88 of the newly increased registered capital of the Target Company at a price of RMB 800,000,000.00 (the “</w:t>
            </w:r>
            <w:r>
              <w:rPr>
                <w:rFonts w:ascii="Times New Roman;Times;serif" w:hAnsi="Times New Roman;Times;serif"/>
                <w:b/>
                <w:sz w:val="20"/>
              </w:rPr>
              <w:t>Anhui Emerging Industry Yuwen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190"/>
        <w:ind w:left="510" w:right="0" w:hanging="0"/>
        <w:jc w:val="both"/>
        <w:rPr>
          <w:rFonts w:ascii="Times New Roman;Times;serif" w:hAnsi="Times New Roman;Times;serif"/>
          <w:sz w:val="20"/>
        </w:rPr>
      </w:pPr>
      <w:r>
        <w:rPr>
          <w:rFonts w:ascii="Times New Roman;Times;serif" w:hAnsi="Times New Roman;Times;serif"/>
          <w:b/>
          <w:sz w:val="20"/>
        </w:rPr>
        <w:t>Weiyuan Technology</w:t>
      </w:r>
      <w:r>
        <w:rPr>
          <w:rFonts w:ascii="Times New Roman;Times;serif" w:hAnsi="Times New Roman;Times;serif"/>
          <w:sz w:val="20"/>
        </w:rPr>
        <w:t xml:space="preserve"> </w:t>
      </w:r>
      <w:r>
        <w:rPr>
          <w:rFonts w:ascii="Times New Roman;Times;serif" w:hAnsi="Times New Roman;Times;serif"/>
          <w:b/>
          <w:sz w:val="20"/>
        </w:rPr>
        <w:t>Capital Increase Price</w:t>
      </w:r>
      <w:r>
        <w:rPr>
          <w:rFonts w:ascii="Times New Roman;Times;serif" w:hAnsi="Times New Roman;Times;serif"/>
          <w:sz w:val="20"/>
        </w:rPr>
        <w:t>”), which represents 1.37% of equity interest in the Target Company after the completion of this Transaction.</w:t>
      </w:r>
    </w:p>
    <w:tbl>
      <w:tblPr>
        <w:tblW w:w="7825" w:type="dxa"/>
        <w:jc w:val="left"/>
        <w:tblInd w:w="0" w:type="dxa"/>
        <w:tblLayout w:type="fixed"/>
        <w:tblCellMar>
          <w:top w:w="0" w:type="dxa"/>
          <w:left w:w="0" w:type="dxa"/>
          <w:bottom w:w="0" w:type="dxa"/>
          <w:right w:w="0" w:type="dxa"/>
        </w:tblCellMar>
      </w:tblPr>
      <w:tblGrid>
        <w:gridCol w:w="170"/>
        <w:gridCol w:w="7655"/>
      </w:tblGrid>
      <w:tr>
        <w:trPr/>
        <w:tc>
          <w:tcPr>
            <w:tcW w:w="17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4.</w:t>
            </w:r>
          </w:p>
        </w:tc>
        <w:tc>
          <w:tcPr>
            <w:tcW w:w="765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table in Article 2.1.1.2 of the Series B Investment Agreement shall be amended as follows:</w:t>
            </w:r>
          </w:p>
        </w:tc>
      </w:tr>
    </w:tbl>
    <w:p>
      <w:pPr>
        <w:pStyle w:val="TextBody"/>
        <w:bidi w:val="0"/>
        <w:spacing w:before="0" w:after="0"/>
        <w:ind w:left="0" w:right="0" w:hanging="0"/>
        <w:jc w:val="both"/>
        <w:rPr/>
      </w:pPr>
      <w:r>
        <w:rPr/>
        <w:t>​</w:t>
      </w:r>
    </w:p>
    <w:tbl>
      <w:tblPr>
        <w:tblW w:w="10205" w:type="dxa"/>
        <w:jc w:val="center"/>
        <w:tblInd w:w="0" w:type="dxa"/>
        <w:tblLayout w:type="fixed"/>
        <w:tblCellMar>
          <w:top w:w="0" w:type="dxa"/>
          <w:left w:w="0" w:type="dxa"/>
          <w:bottom w:w="0" w:type="dxa"/>
          <w:right w:w="0" w:type="dxa"/>
        </w:tblCellMar>
      </w:tblPr>
      <w:tblGrid>
        <w:gridCol w:w="3579"/>
        <w:gridCol w:w="1786"/>
        <w:gridCol w:w="1606"/>
        <w:gridCol w:w="1402"/>
        <w:gridCol w:w="1832"/>
      </w:tblGrid>
      <w:tr>
        <w:trPr/>
        <w:tc>
          <w:tcPr>
            <w:tcW w:w="3579" w:type="dxa"/>
            <w:tcBorders/>
            <w:vAlign w:val="center"/>
          </w:tcPr>
          <w:p>
            <w:pPr>
              <w:pStyle w:val="TableHeading"/>
              <w:bidi w:val="0"/>
              <w:spacing w:before="0" w:after="283"/>
              <w:ind w:left="0" w:right="0" w:hanging="0"/>
              <w:rPr>
                <w:sz w:val="4"/>
                <w:szCs w:val="4"/>
              </w:rPr>
            </w:pPr>
            <w:r>
              <w:rPr>
                <w:sz w:val="4"/>
                <w:szCs w:val="4"/>
              </w:rPr>
            </w:r>
          </w:p>
        </w:tc>
        <w:tc>
          <w:tcPr>
            <w:tcW w:w="1786" w:type="dxa"/>
            <w:tcBorders/>
            <w:vAlign w:val="center"/>
          </w:tcPr>
          <w:p>
            <w:pPr>
              <w:pStyle w:val="TableHeading"/>
              <w:bidi w:val="0"/>
              <w:spacing w:before="0" w:after="283"/>
              <w:ind w:left="0" w:right="0" w:hanging="0"/>
              <w:rPr>
                <w:sz w:val="4"/>
                <w:szCs w:val="4"/>
              </w:rPr>
            </w:pPr>
            <w:r>
              <w:rPr>
                <w:sz w:val="4"/>
                <w:szCs w:val="4"/>
              </w:rPr>
            </w:r>
          </w:p>
        </w:tc>
        <w:tc>
          <w:tcPr>
            <w:tcW w:w="1606" w:type="dxa"/>
            <w:tcBorders/>
            <w:vAlign w:val="center"/>
          </w:tcPr>
          <w:p>
            <w:pPr>
              <w:pStyle w:val="TableHeading"/>
              <w:bidi w:val="0"/>
              <w:spacing w:before="0" w:after="283"/>
              <w:ind w:left="0" w:right="0" w:hanging="0"/>
              <w:rPr>
                <w:sz w:val="4"/>
                <w:szCs w:val="4"/>
              </w:rPr>
            </w:pPr>
            <w:r>
              <w:rPr>
                <w:sz w:val="4"/>
                <w:szCs w:val="4"/>
              </w:rPr>
            </w:r>
          </w:p>
        </w:tc>
        <w:tc>
          <w:tcPr>
            <w:tcW w:w="1402" w:type="dxa"/>
            <w:tcBorders/>
            <w:vAlign w:val="center"/>
          </w:tcPr>
          <w:p>
            <w:pPr>
              <w:pStyle w:val="TableHeading"/>
              <w:bidi w:val="0"/>
              <w:spacing w:before="0" w:after="283"/>
              <w:ind w:left="0" w:right="0" w:hanging="0"/>
              <w:rPr>
                <w:sz w:val="4"/>
                <w:szCs w:val="4"/>
              </w:rPr>
            </w:pPr>
            <w:r>
              <w:rPr>
                <w:sz w:val="4"/>
                <w:szCs w:val="4"/>
              </w:rPr>
            </w:r>
          </w:p>
        </w:tc>
        <w:tc>
          <w:tcPr>
            <w:tcW w:w="1832" w:type="dxa"/>
            <w:tcBorders/>
            <w:vAlign w:val="center"/>
          </w:tcPr>
          <w:p>
            <w:pPr>
              <w:pStyle w:val="TableHeading"/>
              <w:bidi w:val="0"/>
              <w:spacing w:before="0" w:after="283"/>
              <w:ind w:left="0" w:right="0" w:hanging="0"/>
              <w:rPr>
                <w:sz w:val="4"/>
                <w:szCs w:val="4"/>
              </w:rPr>
            </w:pPr>
            <w:r>
              <w:rPr>
                <w:sz w:val="4"/>
                <w:szCs w:val="4"/>
              </w:rPr>
            </w:r>
          </w:p>
        </w:tc>
      </w:tr>
      <w:tr>
        <w:trPr/>
        <w:tc>
          <w:tcPr>
            <w:tcW w:w="3579"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xml:space="preserve">Name of </w:t>
              <w:br/>
              <w:t>Investor</w:t>
            </w:r>
          </w:p>
        </w:tc>
        <w:tc>
          <w:tcPr>
            <w:tcW w:w="1786"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xml:space="preserve">Capital </w:t>
              <w:br/>
              <w:t>Increase Price</w:t>
              <w:br/>
              <w:t>(RMB)</w:t>
            </w:r>
          </w:p>
        </w:tc>
        <w:tc>
          <w:tcPr>
            <w:tcW w:w="1606"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0"/>
              </w:rPr>
            </w:pPr>
            <w:r>
              <w:rPr>
                <w:rFonts w:ascii="Times New Roman;Times;serif" w:hAnsi="Times New Roman;Times;serif"/>
                <w:b/>
                <w:sz w:val="22"/>
              </w:rPr>
              <w:t>Corresponding</w:t>
              <w:br/>
              <w:t xml:space="preserve">Registered </w:t>
              <w:br/>
              <w:t>Capital</w:t>
            </w:r>
            <w:r>
              <w:rPr>
                <w:rFonts w:ascii="Times New Roman;Times;serif" w:hAnsi="Times New Roman;Times;serif"/>
                <w:b w:val="false"/>
                <w:sz w:val="20"/>
              </w:rPr>
              <w:t xml:space="preserve"> </w:t>
            </w:r>
            <w:r>
              <w:rPr>
                <w:rFonts w:ascii="Times New Roman;Times;serif" w:hAnsi="Times New Roman;Times;serif"/>
                <w:b/>
                <w:sz w:val="22"/>
              </w:rPr>
              <w:t>(RMB)</w:t>
            </w:r>
          </w:p>
        </w:tc>
        <w:tc>
          <w:tcPr>
            <w:tcW w:w="1402"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Percentage of</w:t>
              <w:br/>
              <w:t>Equity</w:t>
              <w:br/>
              <w:t>Interests in</w:t>
              <w:br/>
              <w:t>the Target</w:t>
              <w:br/>
              <w:t>Company</w:t>
              <w:br/>
              <w:t>after</w:t>
              <w:br/>
              <w:t>Completion of</w:t>
              <w:br/>
              <w:t>the</w:t>
              <w:br/>
              <w:t>Transaction</w:t>
            </w:r>
          </w:p>
        </w:tc>
        <w:tc>
          <w:tcPr>
            <w:tcW w:w="1832"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Premium</w:t>
              <w:br/>
              <w:t>included as</w:t>
              <w:br/>
              <w:t>Surplus in the</w:t>
              <w:br/>
              <w:t>Capital Reserve</w:t>
              <w:br/>
              <w:t>(RMB)</w:t>
            </w:r>
          </w:p>
        </w:tc>
      </w:tr>
      <w:tr>
        <w:trPr/>
        <w:tc>
          <w:tcPr>
            <w:tcW w:w="35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Hefei Jianxiang</w:t>
            </w:r>
          </w:p>
        </w:tc>
        <w:tc>
          <w:tcPr>
            <w:tcW w:w="17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2,000,000,000.00</w:t>
            </w:r>
          </w:p>
        </w:tc>
        <w:tc>
          <w:tcPr>
            <w:tcW w:w="16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285,725,142.19</w:t>
            </w:r>
          </w:p>
        </w:tc>
        <w:tc>
          <w:tcPr>
            <w:tcW w:w="140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3.43%</w:t>
            </w:r>
          </w:p>
        </w:tc>
        <w:tc>
          <w:tcPr>
            <w:tcW w:w="18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1,714,274,857.81</w:t>
            </w:r>
          </w:p>
        </w:tc>
      </w:tr>
      <w:tr>
        <w:trPr/>
        <w:tc>
          <w:tcPr>
            <w:tcW w:w="35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2"/>
              </w:rPr>
              <w:t>CS Capital</w:t>
            </w:r>
            <w:r>
              <w:rPr>
                <w:rFonts w:ascii="Times New Roman;Times;serif" w:hAnsi="Times New Roman;Times;serif"/>
                <w:sz w:val="20"/>
              </w:rPr>
              <w:t xml:space="preserve"> </w:t>
            </w:r>
            <w:r>
              <w:rPr>
                <w:rFonts w:ascii="Times New Roman;Times;serif" w:hAnsi="Times New Roman;Times;serif"/>
                <w:sz w:val="22"/>
              </w:rPr>
              <w:t>and/or its designated investment entity</w:t>
            </w:r>
          </w:p>
        </w:tc>
        <w:tc>
          <w:tcPr>
            <w:tcW w:w="17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500,000,000.00</w:t>
            </w:r>
          </w:p>
        </w:tc>
        <w:tc>
          <w:tcPr>
            <w:tcW w:w="16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71,431,285.54</w:t>
            </w:r>
          </w:p>
        </w:tc>
        <w:tc>
          <w:tcPr>
            <w:tcW w:w="140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0.86%</w:t>
            </w:r>
          </w:p>
        </w:tc>
        <w:tc>
          <w:tcPr>
            <w:tcW w:w="18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428,568,714.46</w:t>
            </w:r>
          </w:p>
        </w:tc>
      </w:tr>
      <w:tr>
        <w:trPr/>
        <w:tc>
          <w:tcPr>
            <w:tcW w:w="35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Anhui Emerging Industry Yuwen Weiyuan Technology</w:t>
            </w:r>
          </w:p>
        </w:tc>
        <w:tc>
          <w:tcPr>
            <w:tcW w:w="17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800,000,000.00</w:t>
            </w:r>
          </w:p>
        </w:tc>
        <w:tc>
          <w:tcPr>
            <w:tcW w:w="16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114,290,056.88</w:t>
            </w:r>
          </w:p>
        </w:tc>
        <w:tc>
          <w:tcPr>
            <w:tcW w:w="140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1.37%</w:t>
            </w:r>
          </w:p>
        </w:tc>
        <w:tc>
          <w:tcPr>
            <w:tcW w:w="18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685,709,943.12</w:t>
            </w:r>
          </w:p>
        </w:tc>
      </w:tr>
      <w:tr>
        <w:trPr/>
        <w:tc>
          <w:tcPr>
            <w:tcW w:w="35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TOTAL</w:t>
            </w:r>
          </w:p>
        </w:tc>
        <w:tc>
          <w:tcPr>
            <w:tcW w:w="17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3,300,000,000.00</w:t>
            </w:r>
          </w:p>
        </w:tc>
        <w:tc>
          <w:tcPr>
            <w:tcW w:w="16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471,446,484.61</w:t>
            </w:r>
          </w:p>
        </w:tc>
        <w:tc>
          <w:tcPr>
            <w:tcW w:w="140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5.66%</w:t>
            </w:r>
          </w:p>
        </w:tc>
        <w:tc>
          <w:tcPr>
            <w:tcW w:w="18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2,828,553,515.39</w:t>
            </w:r>
          </w:p>
        </w:tc>
      </w:tr>
    </w:tbl>
    <w:p>
      <w:pPr>
        <w:pStyle w:val="TextBody"/>
        <w:bidi w:val="0"/>
        <w:spacing w:before="0" w:after="0"/>
        <w:ind w:left="0" w:right="0" w:hanging="0"/>
        <w:jc w:val="left"/>
        <w:rPr/>
      </w:pPr>
      <w:r>
        <w:rPr/>
        <w:t>​</w:t>
      </w:r>
    </w:p>
    <w:tbl>
      <w:tblPr>
        <w:tblW w:w="7525" w:type="dxa"/>
        <w:jc w:val="left"/>
        <w:tblInd w:w="0" w:type="dxa"/>
        <w:tblLayout w:type="fixed"/>
        <w:tblCellMar>
          <w:top w:w="0" w:type="dxa"/>
          <w:left w:w="0" w:type="dxa"/>
          <w:bottom w:w="0" w:type="dxa"/>
          <w:right w:w="0" w:type="dxa"/>
        </w:tblCellMar>
      </w:tblPr>
      <w:tblGrid>
        <w:gridCol w:w="170"/>
        <w:gridCol w:w="7355"/>
      </w:tblGrid>
      <w:tr>
        <w:trPr/>
        <w:tc>
          <w:tcPr>
            <w:tcW w:w="17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5.</w:t>
            </w:r>
          </w:p>
        </w:tc>
        <w:tc>
          <w:tcPr>
            <w:tcW w:w="735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table in Article 2.2 of the Series B Investment Agreement shall be amended as follows:</w:t>
            </w:r>
          </w:p>
        </w:tc>
      </w:tr>
    </w:tbl>
    <w:p>
      <w:pPr>
        <w:pStyle w:val="TextBody"/>
        <w:bidi w:val="0"/>
        <w:spacing w:before="0" w:after="0"/>
        <w:ind w:left="0" w:right="0" w:hanging="0"/>
        <w:jc w:val="both"/>
        <w:rPr/>
      </w:pPr>
      <w:r>
        <w:rPr/>
        <w:t>​</w:t>
      </w:r>
    </w:p>
    <w:tbl>
      <w:tblPr>
        <w:tblW w:w="9723" w:type="dxa"/>
        <w:jc w:val="center"/>
        <w:tblInd w:w="0" w:type="dxa"/>
        <w:tblLayout w:type="fixed"/>
        <w:tblCellMar>
          <w:top w:w="0" w:type="dxa"/>
          <w:left w:w="0" w:type="dxa"/>
          <w:bottom w:w="0" w:type="dxa"/>
          <w:right w:w="0" w:type="dxa"/>
        </w:tblCellMar>
      </w:tblPr>
      <w:tblGrid>
        <w:gridCol w:w="4996"/>
        <w:gridCol w:w="2101"/>
        <w:gridCol w:w="2626"/>
      </w:tblGrid>
      <w:tr>
        <w:trPr/>
        <w:tc>
          <w:tcPr>
            <w:tcW w:w="4996" w:type="dxa"/>
            <w:tcBorders/>
            <w:vAlign w:val="center"/>
          </w:tcPr>
          <w:p>
            <w:pPr>
              <w:pStyle w:val="TableHeading"/>
              <w:bidi w:val="0"/>
              <w:spacing w:before="0" w:after="283"/>
              <w:ind w:left="0" w:right="0" w:hanging="0"/>
              <w:rPr>
                <w:sz w:val="4"/>
                <w:szCs w:val="4"/>
              </w:rPr>
            </w:pPr>
            <w:r>
              <w:rPr>
                <w:sz w:val="4"/>
                <w:szCs w:val="4"/>
              </w:rPr>
            </w:r>
          </w:p>
        </w:tc>
        <w:tc>
          <w:tcPr>
            <w:tcW w:w="2101" w:type="dxa"/>
            <w:tcBorders/>
            <w:vAlign w:val="center"/>
          </w:tcPr>
          <w:p>
            <w:pPr>
              <w:pStyle w:val="TableHeading"/>
              <w:bidi w:val="0"/>
              <w:spacing w:before="0" w:after="283"/>
              <w:ind w:left="0" w:right="0" w:hanging="0"/>
              <w:rPr>
                <w:sz w:val="4"/>
                <w:szCs w:val="4"/>
              </w:rPr>
            </w:pPr>
            <w:r>
              <w:rPr>
                <w:sz w:val="4"/>
                <w:szCs w:val="4"/>
              </w:rPr>
            </w:r>
          </w:p>
        </w:tc>
        <w:tc>
          <w:tcPr>
            <w:tcW w:w="2626" w:type="dxa"/>
            <w:tcBorders/>
            <w:vAlign w:val="center"/>
          </w:tcPr>
          <w:p>
            <w:pPr>
              <w:pStyle w:val="TableHeading"/>
              <w:bidi w:val="0"/>
              <w:spacing w:before="0" w:after="283"/>
              <w:ind w:left="0" w:right="0" w:hanging="0"/>
              <w:rPr>
                <w:sz w:val="4"/>
                <w:szCs w:val="4"/>
              </w:rPr>
            </w:pPr>
            <w:r>
              <w:rPr>
                <w:sz w:val="4"/>
                <w:szCs w:val="4"/>
              </w:rPr>
            </w:r>
          </w:p>
        </w:tc>
      </w:tr>
      <w:tr>
        <w:trPr/>
        <w:tc>
          <w:tcPr>
            <w:tcW w:w="4996"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Name of Shareholder</w:t>
            </w:r>
          </w:p>
        </w:tc>
        <w:tc>
          <w:tcPr>
            <w:tcW w:w="2101"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Subscribed Capital</w:t>
              <w:br/>
              <w:t>Contribution (RMB)</w:t>
            </w:r>
          </w:p>
        </w:tc>
        <w:tc>
          <w:tcPr>
            <w:tcW w:w="2626"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Percentage of Subscribed</w:t>
              <w:br/>
              <w:t>Capital Contribution</w:t>
            </w:r>
          </w:p>
        </w:tc>
      </w:tr>
      <w:tr>
        <w:trPr/>
        <w:tc>
          <w:tcPr>
            <w:tcW w:w="49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NIO HK</w:t>
            </w:r>
          </w:p>
        </w:tc>
        <w:tc>
          <w:tcPr>
            <w:tcW w:w="21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5,721,972,155.78</w:t>
            </w:r>
          </w:p>
        </w:tc>
        <w:tc>
          <w:tcPr>
            <w:tcW w:w="26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68.70%</w:t>
            </w:r>
          </w:p>
        </w:tc>
      </w:tr>
      <w:tr>
        <w:trPr/>
        <w:tc>
          <w:tcPr>
            <w:tcW w:w="49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UE HK</w:t>
            </w:r>
          </w:p>
        </w:tc>
        <w:tc>
          <w:tcPr>
            <w:tcW w:w="21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1,554,211,385.12</w:t>
            </w:r>
          </w:p>
        </w:tc>
        <w:tc>
          <w:tcPr>
            <w:tcW w:w="26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18.66%</w:t>
            </w:r>
          </w:p>
        </w:tc>
      </w:tr>
      <w:tr>
        <w:trPr/>
        <w:tc>
          <w:tcPr>
            <w:tcW w:w="49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PE HK</w:t>
            </w:r>
          </w:p>
        </w:tc>
        <w:tc>
          <w:tcPr>
            <w:tcW w:w="21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74,264,862.35</w:t>
            </w:r>
          </w:p>
        </w:tc>
        <w:tc>
          <w:tcPr>
            <w:tcW w:w="26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0.89%</w:t>
            </w:r>
          </w:p>
        </w:tc>
      </w:tr>
      <w:tr>
        <w:trPr/>
        <w:tc>
          <w:tcPr>
            <w:tcW w:w="49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Jianheng New Energy Fund</w:t>
            </w:r>
          </w:p>
        </w:tc>
        <w:tc>
          <w:tcPr>
            <w:tcW w:w="21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262,237,762.24</w:t>
            </w:r>
          </w:p>
        </w:tc>
        <w:tc>
          <w:tcPr>
            <w:tcW w:w="26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3.15%</w:t>
            </w:r>
          </w:p>
        </w:tc>
      </w:tr>
      <w:tr>
        <w:trPr/>
        <w:tc>
          <w:tcPr>
            <w:tcW w:w="49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Hefei Jianxiang</w:t>
            </w:r>
          </w:p>
        </w:tc>
        <w:tc>
          <w:tcPr>
            <w:tcW w:w="21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285,725,142.19</w:t>
            </w:r>
          </w:p>
        </w:tc>
        <w:tc>
          <w:tcPr>
            <w:tcW w:w="26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3.43%</w:t>
            </w:r>
          </w:p>
        </w:tc>
      </w:tr>
      <w:tr>
        <w:trPr/>
        <w:tc>
          <w:tcPr>
            <w:tcW w:w="49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Advanced Manufacturing Industry Investment Fund</w:t>
            </w:r>
          </w:p>
        </w:tc>
        <w:tc>
          <w:tcPr>
            <w:tcW w:w="21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157,342,657.35</w:t>
            </w:r>
          </w:p>
        </w:tc>
        <w:tc>
          <w:tcPr>
            <w:tcW w:w="26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1.89%</w:t>
            </w:r>
          </w:p>
        </w:tc>
      </w:tr>
      <w:tr>
        <w:trPr/>
        <w:tc>
          <w:tcPr>
            <w:tcW w:w="49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2"/>
              </w:rPr>
              <w:t>CS Capital</w:t>
            </w:r>
            <w:r>
              <w:rPr>
                <w:rFonts w:ascii="Times New Roman;Times;serif" w:hAnsi="Times New Roman;Times;serif"/>
                <w:sz w:val="20"/>
              </w:rPr>
              <w:t xml:space="preserve"> </w:t>
            </w:r>
            <w:r>
              <w:rPr>
                <w:rFonts w:ascii="Times New Roman;Times;serif" w:hAnsi="Times New Roman;Times;serif"/>
                <w:sz w:val="22"/>
              </w:rPr>
              <w:t>and/or its designated investment entity</w:t>
            </w:r>
          </w:p>
        </w:tc>
        <w:tc>
          <w:tcPr>
            <w:tcW w:w="21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71,431,285.54</w:t>
            </w:r>
          </w:p>
        </w:tc>
        <w:tc>
          <w:tcPr>
            <w:tcW w:w="26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0.86%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tbl>
      <w:tblPr>
        <w:tblW w:w="10068" w:type="dxa"/>
        <w:jc w:val="center"/>
        <w:tblInd w:w="0" w:type="dxa"/>
        <w:tblLayout w:type="fixed"/>
        <w:tblCellMar>
          <w:top w:w="0" w:type="dxa"/>
          <w:left w:w="0" w:type="dxa"/>
          <w:bottom w:w="0" w:type="dxa"/>
          <w:right w:w="0" w:type="dxa"/>
        </w:tblCellMar>
      </w:tblPr>
      <w:tblGrid>
        <w:gridCol w:w="5341"/>
        <w:gridCol w:w="2101"/>
        <w:gridCol w:w="2626"/>
      </w:tblGrid>
      <w:tr>
        <w:trPr/>
        <w:tc>
          <w:tcPr>
            <w:tcW w:w="5341"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pPr>
            <w:r>
              <w:rPr/>
              <w:t>​</w:t>
            </w:r>
          </w:p>
        </w:tc>
      </w:tr>
      <w:tr>
        <w:trPr/>
        <w:tc>
          <w:tcPr>
            <w:tcW w:w="5341"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Name of Shareholder</w:t>
            </w:r>
          </w:p>
        </w:tc>
        <w:tc>
          <w:tcPr>
            <w:tcW w:w="2101"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Subscribed Capital</w:t>
              <w:br/>
              <w:t>Contribution (RMB)</w:t>
            </w:r>
          </w:p>
        </w:tc>
        <w:tc>
          <w:tcPr>
            <w:tcW w:w="2626"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Percentage of Subscribed</w:t>
              <w:br/>
              <w:t>Capital Contribution</w:t>
            </w:r>
          </w:p>
        </w:tc>
      </w:tr>
      <w:tr>
        <w:trPr/>
        <w:tc>
          <w:tcPr>
            <w:tcW w:w="53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Anhui Sanzhong Yichuang</w:t>
            </w:r>
          </w:p>
        </w:tc>
        <w:tc>
          <w:tcPr>
            <w:tcW w:w="21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52,447,552.45</w:t>
            </w:r>
          </w:p>
        </w:tc>
        <w:tc>
          <w:tcPr>
            <w:tcW w:w="26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0.63%</w:t>
            </w:r>
          </w:p>
        </w:tc>
      </w:tr>
      <w:tr>
        <w:trPr/>
        <w:tc>
          <w:tcPr>
            <w:tcW w:w="53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New Energy Automobile Fund</w:t>
            </w:r>
          </w:p>
        </w:tc>
        <w:tc>
          <w:tcPr>
            <w:tcW w:w="21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34,965,034.97</w:t>
            </w:r>
          </w:p>
        </w:tc>
        <w:tc>
          <w:tcPr>
            <w:tcW w:w="26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0.42%</w:t>
            </w:r>
          </w:p>
        </w:tc>
      </w:tr>
      <w:tr>
        <w:trPr/>
        <w:tc>
          <w:tcPr>
            <w:tcW w:w="53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Anhui Emerging Industry Yuwen Weiyuan Technology</w:t>
            </w:r>
          </w:p>
        </w:tc>
        <w:tc>
          <w:tcPr>
            <w:tcW w:w="21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114,290,056.88</w:t>
            </w:r>
          </w:p>
        </w:tc>
        <w:tc>
          <w:tcPr>
            <w:tcW w:w="26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1.37%</w:t>
            </w:r>
          </w:p>
        </w:tc>
      </w:tr>
      <w:tr>
        <w:trPr/>
        <w:tc>
          <w:tcPr>
            <w:tcW w:w="53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TOTAL</w:t>
            </w:r>
          </w:p>
        </w:tc>
        <w:tc>
          <w:tcPr>
            <w:tcW w:w="21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8,328,887,894.87</w:t>
            </w:r>
          </w:p>
        </w:tc>
        <w:tc>
          <w:tcPr>
            <w:tcW w:w="26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100.00%</w:t>
            </w:r>
          </w:p>
        </w:tc>
      </w:tr>
    </w:tbl>
    <w:p>
      <w:pPr>
        <w:pStyle w:val="TextBody"/>
        <w:bidi w:val="0"/>
        <w:spacing w:before="0" w:after="0"/>
        <w:ind w:left="0" w:right="0" w:hanging="0"/>
        <w:jc w:val="left"/>
        <w:rPr/>
      </w:pPr>
      <w:r>
        <w:rPr/>
        <w:t>​</w:t>
      </w:r>
    </w:p>
    <w:tbl>
      <w:tblPr>
        <w:tblW w:w="8500" w:type="dxa"/>
        <w:jc w:val="left"/>
        <w:tblInd w:w="0" w:type="dxa"/>
        <w:tblLayout w:type="fixed"/>
        <w:tblCellMar>
          <w:top w:w="0" w:type="dxa"/>
          <w:left w:w="0" w:type="dxa"/>
          <w:bottom w:w="0" w:type="dxa"/>
          <w:right w:w="0" w:type="dxa"/>
        </w:tblCellMar>
      </w:tblPr>
      <w:tblGrid>
        <w:gridCol w:w="170"/>
        <w:gridCol w:w="8330"/>
      </w:tblGrid>
      <w:tr>
        <w:trPr/>
        <w:tc>
          <w:tcPr>
            <w:tcW w:w="17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6.</w:t>
            </w:r>
          </w:p>
        </w:tc>
        <w:tc>
          <w:tcPr>
            <w:tcW w:w="83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Article 3.1.1(2) and Article 3.1.1(4) of the Series B Investment Agreement shall be amended as follows:</w:t>
            </w:r>
          </w:p>
        </w:tc>
      </w:tr>
    </w:tbl>
    <w:p>
      <w:pPr>
        <w:pStyle w:val="TextBody"/>
        <w:bidi w:val="0"/>
        <w:spacing w:before="0" w:after="190"/>
        <w:ind w:left="0" w:right="0" w:hanging="0"/>
        <w:jc w:val="both"/>
        <w:rPr>
          <w:rFonts w:ascii="Times New Roman;Times;serif" w:hAnsi="Times New Roman;Times;serif"/>
          <w:sz w:val="20"/>
        </w:rPr>
      </w:pPr>
      <w:r>
        <w:rPr>
          <w:rFonts w:ascii="Times New Roman;Times;serif" w:hAnsi="Times New Roman;Times;serif"/>
          <w:sz w:val="20"/>
        </w:rPr>
        <w:t>3.1.1(2) Within five (5) business days after NIO Parties have fulfilled its obligation to pay the NIO Parties First Installment of Capital Increase Price under Article 3.1.1(1) hereof, Hefei Jianxiang shall pay 70% of Hefei Jianxiang Capital Increase Price (i.e. RMB 1,400,000,000.00, “</w:t>
      </w:r>
      <w:r>
        <w:rPr>
          <w:rFonts w:ascii="Times New Roman;Times;serif" w:hAnsi="Times New Roman;Times;serif"/>
          <w:b/>
          <w:sz w:val="20"/>
        </w:rPr>
        <w:t>Hefei Jianxiang</w:t>
      </w:r>
      <w:r>
        <w:rPr>
          <w:rFonts w:ascii="Times New Roman;Times;serif" w:hAnsi="Times New Roman;Times;serif"/>
          <w:sz w:val="20"/>
        </w:rPr>
        <w:t xml:space="preserve"> </w:t>
      </w:r>
      <w:r>
        <w:rPr>
          <w:rFonts w:ascii="Times New Roman;Times;serif" w:hAnsi="Times New Roman;Times;serif"/>
          <w:b/>
          <w:sz w:val="20"/>
        </w:rPr>
        <w:t>First Installment of Capital Increase Price</w:t>
      </w:r>
      <w:r>
        <w:rPr>
          <w:rFonts w:ascii="Times New Roman;Times;serif" w:hAnsi="Times New Roman;Times;serif"/>
          <w:sz w:val="20"/>
        </w:rPr>
        <w:t>”) to the bank account opened by the Target Company, of which RMB 200,007,599.53 shall be included in the registered capital of the Target Company and RMB 1,199,992,400.47 shall be included in the capital reserves of the Target Company;</w:t>
      </w:r>
    </w:p>
    <w:p>
      <w:pPr>
        <w:pStyle w:val="TextBody"/>
        <w:bidi w:val="0"/>
        <w:spacing w:before="0" w:after="190"/>
        <w:ind w:left="0" w:right="0" w:hanging="0"/>
        <w:jc w:val="both"/>
        <w:rPr>
          <w:rFonts w:ascii="Times New Roman;Times;serif" w:hAnsi="Times New Roman;Times;serif"/>
          <w:sz w:val="20"/>
        </w:rPr>
      </w:pPr>
      <w:r>
        <w:rPr>
          <w:rFonts w:ascii="Times New Roman;Times;serif" w:hAnsi="Times New Roman;Times;serif"/>
          <w:sz w:val="20"/>
        </w:rPr>
        <w:t>3.1.1(4) Within five (5) business days after NIO Parties have fulfilled its obligation to pay the NIO Parties First Installment of Capital Increase Price under Article 3.1.1(1) hereof, Anhui Emerging Industry Yuwen Weiyuan Technology shall pay 70% of Anhui Emerging Industry Yuwen Weiyuan Technology Capital Increase Price (i.e. RMB 560,000,000.00, “</w:t>
      </w:r>
      <w:r>
        <w:rPr>
          <w:rFonts w:ascii="Times New Roman;Times;serif" w:hAnsi="Times New Roman;Times;serif"/>
          <w:b/>
          <w:sz w:val="20"/>
        </w:rPr>
        <w:t>Anhui Emerging Industry Yuwen Weiyuan Technology</w:t>
      </w:r>
      <w:r>
        <w:rPr>
          <w:rFonts w:ascii="Times New Roman;Times;serif" w:hAnsi="Times New Roman;Times;serif"/>
          <w:sz w:val="20"/>
        </w:rPr>
        <w:t xml:space="preserve"> </w:t>
      </w:r>
      <w:r>
        <w:rPr>
          <w:rFonts w:ascii="Times New Roman;Times;serif" w:hAnsi="Times New Roman;Times;serif"/>
          <w:b/>
          <w:sz w:val="20"/>
        </w:rPr>
        <w:t>First Installment of Capital Increase Price</w:t>
      </w:r>
      <w:r>
        <w:rPr>
          <w:rFonts w:ascii="Times New Roman;Times;serif" w:hAnsi="Times New Roman;Times;serif"/>
          <w:sz w:val="20"/>
        </w:rPr>
        <w:t>”, together with NIO Parties First Installment of Capital Increase Price, Hefei Jianxiang First Installment of Capital Increase Price and the First Installment of Capital Increase Price of CS Capital and/or its designated investment entity, the “</w:t>
      </w:r>
      <w:r>
        <w:rPr>
          <w:rFonts w:ascii="Times New Roman;Times;serif" w:hAnsi="Times New Roman;Times;serif"/>
          <w:b/>
          <w:sz w:val="20"/>
        </w:rPr>
        <w:t>First Installment of Capital Increase Price</w:t>
      </w:r>
      <w:r>
        <w:rPr>
          <w:rFonts w:ascii="Times New Roman;Times;serif" w:hAnsi="Times New Roman;Times;serif"/>
          <w:sz w:val="20"/>
        </w:rPr>
        <w:t>”) to the bank account opened by the Target Company, of which RMB 80,003,039.82 shall be included in the registered capital of the Target Company and RMB 479,996,960.18 shall be included in the capital reserves of the Target Company.</w:t>
      </w:r>
    </w:p>
    <w:tbl>
      <w:tblPr>
        <w:tblW w:w="8500" w:type="dxa"/>
        <w:jc w:val="left"/>
        <w:tblInd w:w="0" w:type="dxa"/>
        <w:tblLayout w:type="fixed"/>
        <w:tblCellMar>
          <w:top w:w="0" w:type="dxa"/>
          <w:left w:w="0" w:type="dxa"/>
          <w:bottom w:w="0" w:type="dxa"/>
          <w:right w:w="0" w:type="dxa"/>
        </w:tblCellMar>
      </w:tblPr>
      <w:tblGrid>
        <w:gridCol w:w="170"/>
        <w:gridCol w:w="8330"/>
      </w:tblGrid>
      <w:tr>
        <w:trPr/>
        <w:tc>
          <w:tcPr>
            <w:tcW w:w="17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7.</w:t>
            </w:r>
          </w:p>
        </w:tc>
        <w:tc>
          <w:tcPr>
            <w:tcW w:w="833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Article 3.1.2(2) and Article 3.1.2(4) of the Series B Investment Agreement shall be amended as follows:</w:t>
            </w:r>
          </w:p>
        </w:tc>
      </w:tr>
    </w:tbl>
    <w:p>
      <w:pPr>
        <w:pStyle w:val="TextBody"/>
        <w:bidi w:val="0"/>
        <w:spacing w:before="0" w:after="190"/>
        <w:ind w:left="0" w:right="0" w:hanging="0"/>
        <w:jc w:val="both"/>
        <w:rPr>
          <w:rFonts w:ascii="Times New Roman;Times;serif" w:hAnsi="Times New Roman;Times;serif"/>
          <w:sz w:val="20"/>
        </w:rPr>
      </w:pPr>
      <w:r>
        <w:rPr>
          <w:rFonts w:ascii="Times New Roman;Times;serif" w:hAnsi="Times New Roman;Times;serif"/>
          <w:sz w:val="20"/>
        </w:rPr>
        <w:t>3.1.2(2) Within five (5) business days after NIO Parties have fulfilled its obligation to pay the NIO Parties Second Installment of Capital Increase Price under Article 3.1.2(1) hereof, Hefei Jianxiang shall pay 30% of Hefei Jianxiang Capital Increase Price (i.e. RMB 600,000,000.00, “</w:t>
      </w:r>
      <w:r>
        <w:rPr>
          <w:rFonts w:ascii="Times New Roman;Times;serif" w:hAnsi="Times New Roman;Times;serif"/>
          <w:b/>
          <w:sz w:val="20"/>
        </w:rPr>
        <w:t>Hefei Jianxiang Second</w:t>
      </w:r>
      <w:r>
        <w:rPr>
          <w:rFonts w:ascii="Times New Roman;Times;serif" w:hAnsi="Times New Roman;Times;serif"/>
          <w:sz w:val="20"/>
        </w:rPr>
        <w:t xml:space="preserve"> </w:t>
      </w:r>
      <w:r>
        <w:rPr>
          <w:rFonts w:ascii="Times New Roman;Times;serif" w:hAnsi="Times New Roman;Times;serif"/>
          <w:b/>
          <w:sz w:val="20"/>
        </w:rPr>
        <w:t>Installment of Capital Increase Price</w:t>
      </w:r>
      <w:r>
        <w:rPr>
          <w:rFonts w:ascii="Times New Roman;Times;serif" w:hAnsi="Times New Roman;Times;serif"/>
          <w:sz w:val="20"/>
        </w:rPr>
        <w:t>”) to the bank account opened by the Target Company, of which RMB 85,717,542.66 shall be included in the registered capital of the Target Company and RMB 514,282,457.34 shall be included in the capital reserves of the Target Company;</w:t>
      </w:r>
    </w:p>
    <w:p>
      <w:pPr>
        <w:pStyle w:val="TextBody"/>
        <w:bidi w:val="0"/>
        <w:spacing w:before="0" w:after="190"/>
        <w:ind w:left="0" w:right="0" w:hanging="0"/>
        <w:jc w:val="both"/>
        <w:rPr>
          <w:rFonts w:ascii="Times New Roman;Times;serif" w:hAnsi="Times New Roman;Times;serif"/>
          <w:sz w:val="20"/>
        </w:rPr>
      </w:pPr>
      <w:r>
        <w:rPr>
          <w:rFonts w:ascii="Times New Roman;Times;serif" w:hAnsi="Times New Roman;Times;serif"/>
          <w:sz w:val="20"/>
        </w:rPr>
        <w:t>3.1.2(4) Within five (5) business days after NIO Parties have fulfilled its obligation to pay the NIO Parties Second Installment of Capital Increase Price under Article 3.1.2(1)</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190"/>
        <w:ind w:left="0" w:right="0" w:hanging="0"/>
        <w:jc w:val="both"/>
        <w:rPr>
          <w:rFonts w:ascii="Times New Roman;Times;serif" w:hAnsi="Times New Roman;Times;serif"/>
          <w:sz w:val="20"/>
        </w:rPr>
      </w:pPr>
      <w:r>
        <w:rPr>
          <w:rFonts w:ascii="Times New Roman;Times;serif" w:hAnsi="Times New Roman;Times;serif"/>
          <w:sz w:val="20"/>
        </w:rPr>
        <w:t>hereof, Anhui Emerging Industry Yuwen Weiyuan Technology shall pay 30% of Anhui Emerging Industry Yuwen Weiyuan Technology Capital Increase Price (i.e. RMB 240,000,000.00, “</w:t>
      </w:r>
      <w:r>
        <w:rPr>
          <w:rFonts w:ascii="Times New Roman;Times;serif" w:hAnsi="Times New Roman;Times;serif"/>
          <w:b/>
          <w:sz w:val="20"/>
        </w:rPr>
        <w:t>Anhui Emerging Industry Yuwen Weiyuan Technology Second</w:t>
      </w:r>
      <w:r>
        <w:rPr>
          <w:rFonts w:ascii="Times New Roman;Times;serif" w:hAnsi="Times New Roman;Times;serif"/>
          <w:sz w:val="20"/>
        </w:rPr>
        <w:t xml:space="preserve"> </w:t>
      </w:r>
      <w:r>
        <w:rPr>
          <w:rFonts w:ascii="Times New Roman;Times;serif" w:hAnsi="Times New Roman;Times;serif"/>
          <w:b/>
          <w:sz w:val="20"/>
        </w:rPr>
        <w:t>Installment of Capital Increase Price</w:t>
      </w:r>
      <w:r>
        <w:rPr>
          <w:rFonts w:ascii="Times New Roman;Times;serif" w:hAnsi="Times New Roman;Times;serif"/>
          <w:sz w:val="20"/>
        </w:rPr>
        <w:t>”, together with NIO Parties Second Installment of Capital Increase Price, Hefei Jianxiang Second Installment of Capital Increase Price and the Second Installment of Capital Increase Price of CS Capital and/or its designated investment entity, the “</w:t>
      </w:r>
      <w:r>
        <w:rPr>
          <w:rFonts w:ascii="Times New Roman;Times;serif" w:hAnsi="Times New Roman;Times;serif"/>
          <w:b/>
          <w:sz w:val="20"/>
        </w:rPr>
        <w:t>Second</w:t>
      </w:r>
      <w:r>
        <w:rPr>
          <w:rFonts w:ascii="Times New Roman;Times;serif" w:hAnsi="Times New Roman;Times;serif"/>
          <w:sz w:val="20"/>
        </w:rPr>
        <w:t xml:space="preserve"> </w:t>
      </w:r>
      <w:r>
        <w:rPr>
          <w:rFonts w:ascii="Times New Roman;Times;serif" w:hAnsi="Times New Roman;Times;serif"/>
          <w:b/>
          <w:sz w:val="20"/>
        </w:rPr>
        <w:t>Installment of Capital Increase Price</w:t>
      </w:r>
      <w:r>
        <w:rPr>
          <w:rFonts w:ascii="Times New Roman;Times;serif" w:hAnsi="Times New Roman;Times;serif"/>
          <w:sz w:val="20"/>
        </w:rPr>
        <w:t>”) to the bank account opened by the Target Company, of which RMB 34,287,017.06 shall be included in the registered capital of the Target Company and RMB 205,712,982.94 shall be included in the capital reserves of the Target Company.</w:t>
      </w:r>
    </w:p>
    <w:tbl>
      <w:tblPr>
        <w:tblW w:w="10205" w:type="dxa"/>
        <w:jc w:val="left"/>
        <w:tblInd w:w="0" w:type="dxa"/>
        <w:tblLayout w:type="fixed"/>
        <w:tblCellMar>
          <w:top w:w="0" w:type="dxa"/>
          <w:left w:w="0" w:type="dxa"/>
          <w:bottom w:w="0" w:type="dxa"/>
          <w:right w:w="0" w:type="dxa"/>
        </w:tblCellMar>
      </w:tblPr>
      <w:tblGrid>
        <w:gridCol w:w="139"/>
        <w:gridCol w:w="10066"/>
      </w:tblGrid>
      <w:tr>
        <w:trPr/>
        <w:tc>
          <w:tcPr>
            <w:tcW w:w="139"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8.</w:t>
            </w:r>
          </w:p>
        </w:tc>
        <w:tc>
          <w:tcPr>
            <w:tcW w:w="10066"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Article 4.8 of the Series B Investment Agreement shall be amended as follows: CS Capital and/or its designated investment entity, Anhui Emerging Industry Yuwen Weiyuan Technology and Hefei Jianxiang have obtained the applicable internal and external approvals in connection with the Transaction and such approvals remain effective until the Closing Date.</w:t>
            </w:r>
          </w:p>
        </w:tc>
      </w:tr>
    </w:tbl>
    <w:tbl>
      <w:tblPr>
        <w:tblW w:w="10205" w:type="dxa"/>
        <w:jc w:val="left"/>
        <w:tblInd w:w="0" w:type="dxa"/>
        <w:tblLayout w:type="fixed"/>
        <w:tblCellMar>
          <w:top w:w="0" w:type="dxa"/>
          <w:left w:w="0" w:type="dxa"/>
          <w:bottom w:w="0" w:type="dxa"/>
          <w:right w:w="0" w:type="dxa"/>
        </w:tblCellMar>
      </w:tblPr>
      <w:tblGrid>
        <w:gridCol w:w="133"/>
        <w:gridCol w:w="10072"/>
      </w:tblGrid>
      <w:tr>
        <w:trPr/>
        <w:tc>
          <w:tcPr>
            <w:tcW w:w="133"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9.</w:t>
            </w:r>
          </w:p>
        </w:tc>
        <w:tc>
          <w:tcPr>
            <w:tcW w:w="1007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Article 8.5 of the Series B Investment Agreement shall be amended as follows: The Target Company shall complete the overall change from a limited liability company to a company limited by shares (the “</w:t>
            </w:r>
            <w:r>
              <w:rPr>
                <w:rFonts w:ascii="Times New Roman;Times;serif" w:hAnsi="Times New Roman;Times;serif"/>
                <w:b/>
                <w:sz w:val="20"/>
              </w:rPr>
              <w:t>Share Reform</w:t>
            </w:r>
            <w:r>
              <w:rPr>
                <w:rFonts w:ascii="Times New Roman;Times;serif" w:hAnsi="Times New Roman;Times;serif"/>
                <w:sz w:val="20"/>
              </w:rPr>
              <w:t>”) by December 31, 2026 (or such other date as agreed by Series A Investors (as defined in the Shareholders Agreement) and Anhui Emerging Industry Yuwen Weiyuan Technology), and the completion date of the Share Reform shall be determined by the date on which the Target Company obtains the business license of the Company as a company limited by shares issued by the competent AMR.</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10.</w:t>
            </w:r>
          </w:p>
        </w:tc>
        <w:tc>
          <w:tcPr>
            <w:tcW w:w="9946"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table in Exhibit 2 to the Series B Investment Agreement (Shareholding Structure of the Target Company after the Completion of this Transaction) shall be amended as follows:</w:t>
            </w:r>
          </w:p>
        </w:tc>
      </w:tr>
    </w:tbl>
    <w:p>
      <w:pPr>
        <w:pStyle w:val="TextBody"/>
        <w:bidi w:val="0"/>
        <w:spacing w:before="0" w:after="0"/>
        <w:ind w:left="0" w:right="0" w:hanging="0"/>
        <w:jc w:val="both"/>
        <w:rPr/>
      </w:pPr>
      <w:r>
        <w:rPr/>
        <w:t>​</w:t>
      </w:r>
    </w:p>
    <w:tbl>
      <w:tblPr>
        <w:tblW w:w="10205" w:type="dxa"/>
        <w:jc w:val="center"/>
        <w:tblInd w:w="0" w:type="dxa"/>
        <w:tblLayout w:type="fixed"/>
        <w:tblCellMar>
          <w:top w:w="0" w:type="dxa"/>
          <w:left w:w="0" w:type="dxa"/>
          <w:bottom w:w="0" w:type="dxa"/>
          <w:right w:w="0" w:type="dxa"/>
        </w:tblCellMar>
      </w:tblPr>
      <w:tblGrid>
        <w:gridCol w:w="526"/>
        <w:gridCol w:w="5134"/>
        <w:gridCol w:w="2578"/>
        <w:gridCol w:w="1967"/>
      </w:tblGrid>
      <w:tr>
        <w:trPr/>
        <w:tc>
          <w:tcPr>
            <w:tcW w:w="526" w:type="dxa"/>
            <w:tcBorders/>
            <w:shd w:fill="D9D9D9" w:val="clear"/>
            <w:vAlign w:val="center"/>
          </w:tcPr>
          <w:p>
            <w:pPr>
              <w:pStyle w:val="TableHeading"/>
              <w:bidi w:val="0"/>
              <w:spacing w:before="0" w:after="0"/>
              <w:ind w:left="0" w:right="0" w:hanging="0"/>
              <w:jc w:val="left"/>
              <w:rPr/>
            </w:pPr>
            <w:r>
              <w:rPr/>
              <w:t>​</w:t>
            </w:r>
          </w:p>
        </w:tc>
        <w:tc>
          <w:tcPr>
            <w:tcW w:w="5134" w:type="dxa"/>
            <w:tcBorders/>
            <w:vAlign w:val="center"/>
          </w:tcPr>
          <w:p>
            <w:pPr>
              <w:pStyle w:val="TableHeading"/>
              <w:bidi w:val="0"/>
              <w:spacing w:before="0" w:after="0"/>
              <w:ind w:left="0" w:right="0" w:hanging="0"/>
              <w:jc w:val="left"/>
              <w:rPr/>
            </w:pPr>
            <w:r>
              <w:rPr/>
              <w:t>​</w:t>
            </w:r>
          </w:p>
        </w:tc>
        <w:tc>
          <w:tcPr>
            <w:tcW w:w="2578" w:type="dxa"/>
            <w:tcBorders/>
            <w:vAlign w:val="center"/>
          </w:tcPr>
          <w:p>
            <w:pPr>
              <w:pStyle w:val="TableHeading"/>
              <w:bidi w:val="0"/>
              <w:spacing w:before="0" w:after="0"/>
              <w:ind w:left="0" w:right="0" w:hanging="0"/>
              <w:jc w:val="left"/>
              <w:rPr/>
            </w:pPr>
            <w:r>
              <w:rPr/>
              <w:t>​</w:t>
            </w:r>
          </w:p>
        </w:tc>
        <w:tc>
          <w:tcPr>
            <w:tcW w:w="1967" w:type="dxa"/>
            <w:tcBorders/>
            <w:vAlign w:val="center"/>
          </w:tcPr>
          <w:p>
            <w:pPr>
              <w:pStyle w:val="TableHeading"/>
              <w:bidi w:val="0"/>
              <w:spacing w:before="0" w:after="0"/>
              <w:ind w:left="0" w:right="0" w:hanging="0"/>
              <w:jc w:val="left"/>
              <w:rPr/>
            </w:pPr>
            <w:r>
              <w:rPr/>
              <w:t>​</w:t>
            </w:r>
          </w:p>
        </w:tc>
      </w:tr>
      <w:tr>
        <w:trPr/>
        <w:tc>
          <w:tcPr>
            <w:tcW w:w="526"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NO.</w:t>
            </w:r>
          </w:p>
        </w:tc>
        <w:tc>
          <w:tcPr>
            <w:tcW w:w="5134"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Name of Shareholder</w:t>
            </w:r>
          </w:p>
        </w:tc>
        <w:tc>
          <w:tcPr>
            <w:tcW w:w="2578"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Subscribed Capital</w:t>
              <w:br/>
              <w:t>Contribution (in RMB ten</w:t>
              <w:br/>
              <w:t>thousand)</w:t>
            </w:r>
          </w:p>
        </w:tc>
        <w:tc>
          <w:tcPr>
            <w:tcW w:w="1967"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Percentage of</w:t>
              <w:br/>
              <w:t>Subscribed Capital</w:t>
              <w:br/>
              <w:t>Contribution</w:t>
            </w:r>
          </w:p>
        </w:tc>
      </w:tr>
      <w:tr>
        <w:trPr/>
        <w:tc>
          <w:tcPr>
            <w:tcW w:w="5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pBdr/>
              <w:bidi w:val="0"/>
              <w:spacing w:before="0" w:after="0"/>
              <w:ind w:left="0" w:right="0" w:hanging="0"/>
              <w:jc w:val="both"/>
              <w:rPr>
                <w:rFonts w:ascii="Times New Roman;Times;serif" w:hAnsi="Times New Roman;Times;serif"/>
                <w:b w:val="false"/>
                <w:sz w:val="22"/>
              </w:rPr>
            </w:pPr>
            <w:r>
              <w:rPr>
                <w:rFonts w:ascii="Times New Roman;Times;serif" w:hAnsi="Times New Roman;Times;serif"/>
                <w:b w:val="false"/>
                <w:sz w:val="22"/>
              </w:rPr>
              <w:t>1</w:t>
            </w:r>
          </w:p>
        </w:tc>
        <w:tc>
          <w:tcPr>
            <w:tcW w:w="513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NIO HK</w:t>
            </w:r>
          </w:p>
        </w:tc>
        <w:tc>
          <w:tcPr>
            <w:tcW w:w="257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572,197.215578</w:t>
            </w:r>
          </w:p>
        </w:tc>
        <w:tc>
          <w:tcPr>
            <w:tcW w:w="196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68.7003%</w:t>
            </w:r>
          </w:p>
        </w:tc>
      </w:tr>
      <w:tr>
        <w:trPr/>
        <w:tc>
          <w:tcPr>
            <w:tcW w:w="5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pBdr/>
              <w:bidi w:val="0"/>
              <w:spacing w:before="0" w:after="0"/>
              <w:ind w:left="0" w:right="0" w:hanging="0"/>
              <w:jc w:val="both"/>
              <w:rPr>
                <w:rFonts w:ascii="Times New Roman;Times;serif" w:hAnsi="Times New Roman;Times;serif"/>
                <w:b w:val="false"/>
                <w:sz w:val="22"/>
              </w:rPr>
            </w:pPr>
            <w:r>
              <w:rPr>
                <w:rFonts w:ascii="Times New Roman;Times;serif" w:hAnsi="Times New Roman;Times;serif"/>
                <w:b w:val="false"/>
                <w:sz w:val="22"/>
              </w:rPr>
              <w:t>2</w:t>
            </w:r>
          </w:p>
        </w:tc>
        <w:tc>
          <w:tcPr>
            <w:tcW w:w="513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UE HK</w:t>
            </w:r>
          </w:p>
        </w:tc>
        <w:tc>
          <w:tcPr>
            <w:tcW w:w="257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155,421.138512</w:t>
            </w:r>
          </w:p>
        </w:tc>
        <w:tc>
          <w:tcPr>
            <w:tcW w:w="196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18.6605%</w:t>
            </w:r>
          </w:p>
        </w:tc>
      </w:tr>
      <w:tr>
        <w:trPr/>
        <w:tc>
          <w:tcPr>
            <w:tcW w:w="5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pBdr/>
              <w:bidi w:val="0"/>
              <w:spacing w:before="0" w:after="0"/>
              <w:ind w:left="0" w:right="0" w:hanging="0"/>
              <w:jc w:val="both"/>
              <w:rPr>
                <w:rFonts w:ascii="Times New Roman;Times;serif" w:hAnsi="Times New Roman;Times;serif"/>
                <w:b w:val="false"/>
                <w:sz w:val="22"/>
              </w:rPr>
            </w:pPr>
            <w:r>
              <w:rPr>
                <w:rFonts w:ascii="Times New Roman;Times;serif" w:hAnsi="Times New Roman;Times;serif"/>
                <w:b w:val="false"/>
                <w:sz w:val="22"/>
              </w:rPr>
              <w:t>3</w:t>
            </w:r>
          </w:p>
        </w:tc>
        <w:tc>
          <w:tcPr>
            <w:tcW w:w="513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Jianheng New Energy Fund</w:t>
            </w:r>
          </w:p>
        </w:tc>
        <w:tc>
          <w:tcPr>
            <w:tcW w:w="257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26,223.776224</w:t>
            </w:r>
          </w:p>
        </w:tc>
        <w:tc>
          <w:tcPr>
            <w:tcW w:w="196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3.1485%</w:t>
            </w:r>
          </w:p>
        </w:tc>
      </w:tr>
      <w:tr>
        <w:trPr/>
        <w:tc>
          <w:tcPr>
            <w:tcW w:w="5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pBdr/>
              <w:bidi w:val="0"/>
              <w:spacing w:before="0" w:after="0"/>
              <w:ind w:left="0" w:right="0" w:hanging="0"/>
              <w:jc w:val="both"/>
              <w:rPr>
                <w:rFonts w:ascii="Times New Roman;Times;serif" w:hAnsi="Times New Roman;Times;serif"/>
                <w:b w:val="false"/>
                <w:sz w:val="22"/>
              </w:rPr>
            </w:pPr>
            <w:r>
              <w:rPr>
                <w:rFonts w:ascii="Times New Roman;Times;serif" w:hAnsi="Times New Roman;Times;serif"/>
                <w:b w:val="false"/>
                <w:sz w:val="22"/>
              </w:rPr>
              <w:t>4</w:t>
            </w:r>
          </w:p>
        </w:tc>
        <w:tc>
          <w:tcPr>
            <w:tcW w:w="513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Hefei Jianxiang</w:t>
            </w:r>
          </w:p>
        </w:tc>
        <w:tc>
          <w:tcPr>
            <w:tcW w:w="257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28,572.514219</w:t>
            </w:r>
          </w:p>
        </w:tc>
        <w:tc>
          <w:tcPr>
            <w:tcW w:w="196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3.4305%</w:t>
            </w:r>
          </w:p>
        </w:tc>
      </w:tr>
      <w:tr>
        <w:trPr/>
        <w:tc>
          <w:tcPr>
            <w:tcW w:w="5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pBdr/>
              <w:bidi w:val="0"/>
              <w:spacing w:before="0" w:after="0"/>
              <w:ind w:left="0" w:right="0" w:hanging="0"/>
              <w:jc w:val="both"/>
              <w:rPr>
                <w:rFonts w:ascii="Times New Roman;Times;serif" w:hAnsi="Times New Roman;Times;serif"/>
                <w:b w:val="false"/>
                <w:sz w:val="22"/>
              </w:rPr>
            </w:pPr>
            <w:r>
              <w:rPr>
                <w:rFonts w:ascii="Times New Roman;Times;serif" w:hAnsi="Times New Roman;Times;serif"/>
                <w:b w:val="false"/>
                <w:sz w:val="22"/>
              </w:rPr>
              <w:t>5</w:t>
            </w:r>
          </w:p>
        </w:tc>
        <w:tc>
          <w:tcPr>
            <w:tcW w:w="513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Advanced Manufacturing Industry Investment Fund</w:t>
            </w:r>
          </w:p>
        </w:tc>
        <w:tc>
          <w:tcPr>
            <w:tcW w:w="257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15,734.265735</w:t>
            </w:r>
          </w:p>
        </w:tc>
        <w:tc>
          <w:tcPr>
            <w:tcW w:w="196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1.8891%</w:t>
            </w:r>
          </w:p>
        </w:tc>
      </w:tr>
      <w:tr>
        <w:trPr/>
        <w:tc>
          <w:tcPr>
            <w:tcW w:w="5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pBdr/>
              <w:bidi w:val="0"/>
              <w:spacing w:before="0" w:after="0"/>
              <w:ind w:left="0" w:right="0" w:hanging="0"/>
              <w:jc w:val="both"/>
              <w:rPr>
                <w:rFonts w:ascii="Times New Roman;Times;serif" w:hAnsi="Times New Roman;Times;serif"/>
                <w:b w:val="false"/>
                <w:sz w:val="22"/>
              </w:rPr>
            </w:pPr>
            <w:r>
              <w:rPr>
                <w:rFonts w:ascii="Times New Roman;Times;serif" w:hAnsi="Times New Roman;Times;serif"/>
                <w:b w:val="false"/>
                <w:sz w:val="22"/>
              </w:rPr>
              <w:t>6</w:t>
            </w:r>
          </w:p>
        </w:tc>
        <w:tc>
          <w:tcPr>
            <w:tcW w:w="513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Anhui Emerging Industry Yuwen Weiyuan Technology</w:t>
            </w:r>
          </w:p>
        </w:tc>
        <w:tc>
          <w:tcPr>
            <w:tcW w:w="257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11,429.005688</w:t>
            </w:r>
          </w:p>
        </w:tc>
        <w:tc>
          <w:tcPr>
            <w:tcW w:w="196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1.3722%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889" w:type="dxa"/>
        <w:jc w:val="center"/>
        <w:tblInd w:w="0" w:type="dxa"/>
        <w:tblLayout w:type="fixed"/>
        <w:tblCellMar>
          <w:top w:w="0" w:type="dxa"/>
          <w:left w:w="0" w:type="dxa"/>
          <w:bottom w:w="0" w:type="dxa"/>
          <w:right w:w="0" w:type="dxa"/>
        </w:tblCellMar>
      </w:tblPr>
      <w:tblGrid>
        <w:gridCol w:w="526"/>
        <w:gridCol w:w="4741"/>
        <w:gridCol w:w="2626"/>
        <w:gridCol w:w="1996"/>
      </w:tblGrid>
      <w:tr>
        <w:trPr/>
        <w:tc>
          <w:tcPr>
            <w:tcW w:w="526" w:type="dxa"/>
            <w:tcBorders/>
            <w:vAlign w:val="center"/>
          </w:tcPr>
          <w:p>
            <w:pPr>
              <w:pStyle w:val="TableHeading"/>
              <w:bidi w:val="0"/>
              <w:spacing w:before="0" w:after="0"/>
              <w:ind w:left="0" w:right="0" w:hanging="0"/>
              <w:jc w:val="left"/>
              <w:rPr/>
            </w:pPr>
            <w:r>
              <w:rPr/>
              <w:t>​</w:t>
            </w:r>
          </w:p>
        </w:tc>
        <w:tc>
          <w:tcPr>
            <w:tcW w:w="4741" w:type="dxa"/>
            <w:tcBorders/>
            <w:vAlign w:val="center"/>
          </w:tcPr>
          <w:p>
            <w:pPr>
              <w:pStyle w:val="TableHeading"/>
              <w:bidi w:val="0"/>
              <w:spacing w:before="0" w:after="0"/>
              <w:ind w:left="0" w:right="0" w:hanging="0"/>
              <w:jc w:val="left"/>
              <w:rPr/>
            </w:pPr>
            <w:r>
              <w:rPr/>
              <w:t>​</w:t>
            </w:r>
          </w:p>
        </w:tc>
        <w:tc>
          <w:tcPr>
            <w:tcW w:w="2626" w:type="dxa"/>
            <w:tcBorders/>
            <w:vAlign w:val="center"/>
          </w:tcPr>
          <w:p>
            <w:pPr>
              <w:pStyle w:val="TableHeading"/>
              <w:bidi w:val="0"/>
              <w:spacing w:before="0" w:after="0"/>
              <w:ind w:left="0" w:right="0" w:hanging="0"/>
              <w:jc w:val="left"/>
              <w:rPr/>
            </w:pPr>
            <w:r>
              <w:rPr/>
              <w:t>​</w:t>
            </w:r>
          </w:p>
        </w:tc>
        <w:tc>
          <w:tcPr>
            <w:tcW w:w="1996" w:type="dxa"/>
            <w:tcBorders/>
            <w:vAlign w:val="center"/>
          </w:tcPr>
          <w:p>
            <w:pPr>
              <w:pStyle w:val="TableHeading"/>
              <w:bidi w:val="0"/>
              <w:spacing w:before="0" w:after="0"/>
              <w:ind w:left="0" w:right="0" w:hanging="0"/>
              <w:jc w:val="left"/>
              <w:rPr/>
            </w:pPr>
            <w:r>
              <w:rPr/>
              <w:t>​</w:t>
            </w:r>
          </w:p>
        </w:tc>
      </w:tr>
      <w:tr>
        <w:trPr/>
        <w:tc>
          <w:tcPr>
            <w:tcW w:w="526"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pBdr/>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NO.</w:t>
            </w:r>
          </w:p>
        </w:tc>
        <w:tc>
          <w:tcPr>
            <w:tcW w:w="4741"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Name of Shareholder</w:t>
            </w:r>
          </w:p>
        </w:tc>
        <w:tc>
          <w:tcPr>
            <w:tcW w:w="2626"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Subscribed Capital</w:t>
              <w:br/>
              <w:t>Contribution (in RMB ten</w:t>
              <w:br/>
              <w:t>thousand)</w:t>
            </w:r>
          </w:p>
        </w:tc>
        <w:tc>
          <w:tcPr>
            <w:tcW w:w="1996"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Percentage of</w:t>
              <w:br/>
              <w:t>Subscribed Capital</w:t>
              <w:br/>
              <w:t>Contribution</w:t>
            </w:r>
          </w:p>
        </w:tc>
      </w:tr>
      <w:tr>
        <w:trPr/>
        <w:tc>
          <w:tcPr>
            <w:tcW w:w="5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pBdr/>
              <w:bidi w:val="0"/>
              <w:spacing w:before="0" w:after="0"/>
              <w:ind w:left="0" w:right="0" w:hanging="0"/>
              <w:jc w:val="both"/>
              <w:rPr>
                <w:rFonts w:ascii="Times New Roman;Times;serif" w:hAnsi="Times New Roman;Times;serif"/>
                <w:b w:val="false"/>
                <w:sz w:val="22"/>
              </w:rPr>
            </w:pPr>
            <w:r>
              <w:rPr>
                <w:rFonts w:ascii="Times New Roman;Times;serif" w:hAnsi="Times New Roman;Times;serif"/>
                <w:b w:val="false"/>
                <w:sz w:val="22"/>
              </w:rPr>
              <w:t>7</w:t>
            </w:r>
          </w:p>
        </w:tc>
        <w:tc>
          <w:tcPr>
            <w:tcW w:w="47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2"/>
              </w:rPr>
              <w:t>CS Capital</w:t>
            </w:r>
            <w:r>
              <w:rPr>
                <w:rFonts w:ascii="Times New Roman;Times;serif" w:hAnsi="Times New Roman;Times;serif"/>
                <w:b w:val="false"/>
                <w:sz w:val="20"/>
              </w:rPr>
              <w:t xml:space="preserve"> </w:t>
            </w:r>
            <w:r>
              <w:rPr>
                <w:rFonts w:ascii="Times New Roman;Times;serif" w:hAnsi="Times New Roman;Times;serif"/>
                <w:b w:val="false"/>
                <w:sz w:val="22"/>
              </w:rPr>
              <w:t>and/or its designated investment entity</w:t>
            </w:r>
          </w:p>
        </w:tc>
        <w:tc>
          <w:tcPr>
            <w:tcW w:w="26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7,143.128554</w:t>
            </w:r>
          </w:p>
        </w:tc>
        <w:tc>
          <w:tcPr>
            <w:tcW w:w="19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0.8576%</w:t>
            </w:r>
          </w:p>
        </w:tc>
      </w:tr>
      <w:tr>
        <w:trPr/>
        <w:tc>
          <w:tcPr>
            <w:tcW w:w="5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pBdr/>
              <w:bidi w:val="0"/>
              <w:spacing w:before="0" w:after="0"/>
              <w:ind w:left="0" w:right="0" w:hanging="0"/>
              <w:jc w:val="both"/>
              <w:rPr>
                <w:rFonts w:ascii="Times New Roman;Times;serif" w:hAnsi="Times New Roman;Times;serif"/>
                <w:b w:val="false"/>
                <w:sz w:val="22"/>
              </w:rPr>
            </w:pPr>
            <w:r>
              <w:rPr>
                <w:rFonts w:ascii="Times New Roman;Times;serif" w:hAnsi="Times New Roman;Times;serif"/>
                <w:b w:val="false"/>
                <w:sz w:val="22"/>
              </w:rPr>
              <w:t>8</w:t>
            </w:r>
          </w:p>
        </w:tc>
        <w:tc>
          <w:tcPr>
            <w:tcW w:w="47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PE HK</w:t>
            </w:r>
          </w:p>
        </w:tc>
        <w:tc>
          <w:tcPr>
            <w:tcW w:w="26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7,426.486235</w:t>
            </w:r>
          </w:p>
        </w:tc>
        <w:tc>
          <w:tcPr>
            <w:tcW w:w="19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0.8917%</w:t>
            </w:r>
          </w:p>
        </w:tc>
      </w:tr>
      <w:tr>
        <w:trPr/>
        <w:tc>
          <w:tcPr>
            <w:tcW w:w="5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pBdr/>
              <w:bidi w:val="0"/>
              <w:spacing w:before="0" w:after="0"/>
              <w:ind w:left="0" w:right="0" w:hanging="0"/>
              <w:jc w:val="both"/>
              <w:rPr>
                <w:rFonts w:ascii="Times New Roman;Times;serif" w:hAnsi="Times New Roman;Times;serif"/>
                <w:b w:val="false"/>
                <w:sz w:val="22"/>
              </w:rPr>
            </w:pPr>
            <w:r>
              <w:rPr>
                <w:rFonts w:ascii="Times New Roman;Times;serif" w:hAnsi="Times New Roman;Times;serif"/>
                <w:b w:val="false"/>
                <w:sz w:val="22"/>
              </w:rPr>
              <w:t>9</w:t>
            </w:r>
          </w:p>
        </w:tc>
        <w:tc>
          <w:tcPr>
            <w:tcW w:w="47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Anhui Sanzhong Yichuang</w:t>
            </w:r>
          </w:p>
        </w:tc>
        <w:tc>
          <w:tcPr>
            <w:tcW w:w="26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5,244.755245</w:t>
            </w:r>
          </w:p>
        </w:tc>
        <w:tc>
          <w:tcPr>
            <w:tcW w:w="19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0.6297%</w:t>
            </w:r>
          </w:p>
        </w:tc>
      </w:tr>
      <w:tr>
        <w:trPr/>
        <w:tc>
          <w:tcPr>
            <w:tcW w:w="5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pBdr/>
              <w:bidi w:val="0"/>
              <w:spacing w:before="0" w:after="0"/>
              <w:ind w:left="0" w:right="0" w:hanging="0"/>
              <w:jc w:val="both"/>
              <w:rPr>
                <w:rFonts w:ascii="Times New Roman;Times;serif" w:hAnsi="Times New Roman;Times;serif"/>
                <w:b w:val="false"/>
                <w:sz w:val="22"/>
              </w:rPr>
            </w:pPr>
            <w:r>
              <w:rPr>
                <w:rFonts w:ascii="Times New Roman;Times;serif" w:hAnsi="Times New Roman;Times;serif"/>
                <w:b w:val="false"/>
                <w:sz w:val="22"/>
              </w:rPr>
              <w:t>10</w:t>
            </w:r>
          </w:p>
        </w:tc>
        <w:tc>
          <w:tcPr>
            <w:tcW w:w="47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New Energy Automobile Fund</w:t>
            </w:r>
          </w:p>
        </w:tc>
        <w:tc>
          <w:tcPr>
            <w:tcW w:w="26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3,496.503497</w:t>
            </w:r>
          </w:p>
        </w:tc>
        <w:tc>
          <w:tcPr>
            <w:tcW w:w="19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0.4198%</w:t>
            </w:r>
          </w:p>
        </w:tc>
      </w:tr>
      <w:tr>
        <w:trPr/>
        <w:tc>
          <w:tcPr>
            <w:tcW w:w="5267"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Total</w:t>
            </w:r>
          </w:p>
        </w:tc>
        <w:tc>
          <w:tcPr>
            <w:tcW w:w="26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832,888.789487</w:t>
            </w:r>
          </w:p>
        </w:tc>
        <w:tc>
          <w:tcPr>
            <w:tcW w:w="19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val="false"/>
                <w:sz w:val="22"/>
              </w:rPr>
            </w:pPr>
            <w:r>
              <w:rPr>
                <w:rFonts w:ascii="Times New Roman;Times;serif" w:hAnsi="Times New Roman;Times;serif"/>
                <w:b w:val="false"/>
                <w:sz w:val="22"/>
              </w:rPr>
              <w:t>100.0000%</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11.</w:t>
            </w:r>
          </w:p>
        </w:tc>
        <w:tc>
          <w:tcPr>
            <w:tcW w:w="9971"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Article 13.2 of the Series B Investment Agreement shall be amended as follows: Provisions relating to the relevant rights and obligations of Hefei Jianxiang shall become legally binding on Hefei Jianxiang upon the approval of the Transaction by the competent decision-making authority of Hefei Jianxiang. Provisions relating to the relevant rights and obligations of Anhui Emerging Industry Yuwen Weiyuan Technology shall become legally binding on Anhui Emerging Industry Yuwen Weiyuan Technology upon the approval of the Transaction by the competent decision-making authority of Anhui Emerging Industry Yuwen Weiyuan Technology. Provisions relating to the relevant rights and obligations of CS Capital and/or its designated investment entity shall become legally binding on CS Capital and/or its designated investment entity upon the approval of the Transaction by the competent decision-making authority of CS Capital and/or its designated investment entity.</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12.</w:t>
            </w:r>
          </w:p>
        </w:tc>
        <w:tc>
          <w:tcPr>
            <w:tcW w:w="996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Article 13.3 of the Series B Investment Agreement shall be amended as follows: If Hefei Jianxiang, Anhui Emerging Industry Yuwen Weiyuan Technology and CS Capital and/or its designated investment entity request to make change to this Agreement in connection with the procedures to obtain approval by their competent decision-making authorities, the Parties agree to enter into a supplement hereto. If there is any inconsistency, such supplement shall prevail.</w:t>
            </w:r>
          </w:p>
        </w:tc>
      </w:tr>
    </w:tbl>
    <w:tbl>
      <w:tblPr>
        <w:tblW w:w="6715" w:type="dxa"/>
        <w:jc w:val="left"/>
        <w:tblInd w:w="0" w:type="dxa"/>
        <w:tblLayout w:type="fixed"/>
        <w:tblCellMar>
          <w:top w:w="0" w:type="dxa"/>
          <w:left w:w="0" w:type="dxa"/>
          <w:bottom w:w="0" w:type="dxa"/>
          <w:right w:w="0" w:type="dxa"/>
        </w:tblCellMar>
      </w:tblPr>
      <w:tblGrid>
        <w:gridCol w:w="275"/>
        <w:gridCol w:w="6440"/>
      </w:tblGrid>
      <w:tr>
        <w:trPr/>
        <w:tc>
          <w:tcPr>
            <w:tcW w:w="275"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13.</w:t>
            </w:r>
          </w:p>
        </w:tc>
        <w:tc>
          <w:tcPr>
            <w:tcW w:w="6440"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Article 14.2 of the Series B Investment Agreement shall be amended as follows:</w:t>
            </w:r>
          </w:p>
        </w:tc>
      </w:tr>
    </w:tbl>
    <w:p>
      <w:pPr>
        <w:pStyle w:val="TextBody"/>
        <w:bidi w:val="0"/>
        <w:spacing w:before="0" w:after="190"/>
        <w:ind w:left="0" w:right="0" w:hanging="0"/>
        <w:jc w:val="both"/>
        <w:rPr>
          <w:rFonts w:ascii="Times New Roman;Times;serif" w:hAnsi="Times New Roman;Times;serif"/>
          <w:sz w:val="20"/>
        </w:rPr>
      </w:pPr>
      <w:r>
        <w:rPr>
          <w:rFonts w:ascii="Times New Roman;Times;serif" w:hAnsi="Times New Roman;Times;serif"/>
          <w:sz w:val="20"/>
        </w:rPr>
        <w:t>The Parties agree that any notice relating to this Agreement shall only be effective if it is delivered in writing. Delivery in written forms include but are not limited to delivery by courier, mail and email. Any such notice shall be deemed to have been delivered: (a) by courier or personal delivery, on the date it is received by the recipient; (b) by registered or certified mail, seven (7) business days after it is sent; and (c) by e-mail, immediately after the e-mail is successfully sent. Notices shall be deemed effectively given to the following places or to the following e-mail boxes: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100"/>
        <w:ind w:left="0" w:right="0" w:hanging="0"/>
        <w:jc w:val="left"/>
        <w:rPr>
          <w:rFonts w:ascii="Times New Roman;Times;serif" w:hAnsi="Times New Roman;Times;serif"/>
          <w:b/>
          <w:sz w:val="20"/>
        </w:rPr>
      </w:pPr>
      <w:r>
        <w:rPr>
          <w:rFonts w:ascii="Times New Roman;Times;serif" w:hAnsi="Times New Roman;Times;serif"/>
          <w:b/>
          <w:sz w:val="20"/>
        </w:rPr>
        <w:t>Hefei Jianxiang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Contact: ZHOU Yu</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Mailing Address: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Contact No.: [***]</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Email: [***]</w:t>
      </w:r>
    </w:p>
    <w:p>
      <w:pPr>
        <w:pStyle w:val="TextBody"/>
        <w:bidi w:val="0"/>
        <w:spacing w:before="0" w:after="120"/>
        <w:ind w:left="0" w:right="0" w:hanging="0"/>
        <w:jc w:val="both"/>
        <w:rPr/>
      </w:pPr>
      <w:r>
        <w:rPr/>
        <w:t>​</w:t>
      </w:r>
    </w:p>
    <w:p>
      <w:pPr>
        <w:pStyle w:val="TextBody"/>
        <w:bidi w:val="0"/>
        <w:spacing w:before="0" w:after="100"/>
        <w:ind w:left="0" w:right="0" w:hanging="0"/>
        <w:jc w:val="left"/>
        <w:rPr>
          <w:rFonts w:ascii="Times New Roman;Times;serif" w:hAnsi="Times New Roman;Times;serif"/>
          <w:b/>
          <w:sz w:val="20"/>
        </w:rPr>
      </w:pPr>
      <w:r>
        <w:rPr>
          <w:rFonts w:ascii="Times New Roman;Times;serif" w:hAnsi="Times New Roman;Times;serif"/>
          <w:b/>
          <w:sz w:val="20"/>
        </w:rPr>
        <w:t>CS Capital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Contact: DU Shuo</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Mailing Address: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Contact No.: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Email: [***]</w:t>
      </w:r>
    </w:p>
    <w:p>
      <w:pPr>
        <w:pStyle w:val="TextBody"/>
        <w:bidi w:val="0"/>
        <w:spacing w:before="0" w:after="100"/>
        <w:ind w:left="0" w:right="0" w:hanging="0"/>
        <w:jc w:val="left"/>
        <w:rPr>
          <w:rFonts w:ascii="Times New Roman;Times;serif" w:hAnsi="Times New Roman;Times;serif"/>
          <w:b/>
          <w:sz w:val="20"/>
        </w:rPr>
      </w:pPr>
      <w:r>
        <w:rPr>
          <w:rFonts w:ascii="Times New Roman;Times;serif" w:hAnsi="Times New Roman;Times;serif"/>
          <w:b/>
          <w:sz w:val="20"/>
        </w:rPr>
        <w:t>Anhui Emerging Industry Yuwen Weiyuan Technology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Contact: ZHANG Youpeng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Mailing Address: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Contact No.: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Email: [***]</w:t>
      </w:r>
    </w:p>
    <w:p>
      <w:pPr>
        <w:pStyle w:val="TextBody"/>
        <w:bidi w:val="0"/>
        <w:spacing w:before="0" w:after="100"/>
        <w:ind w:left="0" w:right="0" w:hanging="0"/>
        <w:jc w:val="left"/>
        <w:rPr>
          <w:rFonts w:ascii="Times New Roman;Times;serif" w:hAnsi="Times New Roman;Times;serif"/>
          <w:b/>
          <w:sz w:val="20"/>
        </w:rPr>
      </w:pPr>
      <w:r>
        <w:rPr>
          <w:rFonts w:ascii="Times New Roman;Times;serif" w:hAnsi="Times New Roman;Times;serif"/>
          <w:b/>
          <w:sz w:val="20"/>
        </w:rPr>
        <w:t>NIO Parties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Contact: QU Yu</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Mailing Address: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Contact No.: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Email: [***]</w:t>
      </w:r>
    </w:p>
    <w:p>
      <w:pPr>
        <w:pStyle w:val="TextBody"/>
        <w:bidi w:val="0"/>
        <w:spacing w:before="0" w:after="100"/>
        <w:ind w:left="0" w:right="0" w:hanging="0"/>
        <w:jc w:val="left"/>
        <w:rPr>
          <w:rFonts w:ascii="Times New Roman;Times;serif" w:hAnsi="Times New Roman;Times;serif"/>
          <w:b/>
          <w:sz w:val="20"/>
        </w:rPr>
      </w:pPr>
      <w:r>
        <w:rPr>
          <w:rFonts w:ascii="Times New Roman;Times;serif" w:hAnsi="Times New Roman;Times;serif"/>
          <w:b/>
          <w:sz w:val="20"/>
        </w:rPr>
        <w:t>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Contact: QU Yu</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Mailing Address: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Contact No.: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Email: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14.</w:t>
            </w:r>
          </w:p>
        </w:tc>
        <w:tc>
          <w:tcPr>
            <w:tcW w:w="9968"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Each Party hereby acknowledges and agrees that Jianheng New Energy Fund designates Hefei Jianxiang to succeed to all of its rights and obligations under the Series B Investment Agreement in accordance with this Amendment and Supplementary Agreement, and Anhui High-tech Co. designates Anhui Emerging Industry Yuwen Weiyuan Technology to succeed to all of its rights and obligations under the Series B Investment Agreement in accordance with this Amendment and Supplementary Agreement. Each Party hereby waives the right of first refusal it may have in accordance with applicable PRC laws, this Amendment and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190"/>
        <w:ind w:left="440" w:right="0" w:hanging="0"/>
        <w:jc w:val="both"/>
        <w:rPr>
          <w:rFonts w:ascii="Times New Roman;Times;serif" w:hAnsi="Times New Roman;Times;serif"/>
          <w:sz w:val="20"/>
        </w:rPr>
      </w:pPr>
      <w:r>
        <w:rPr>
          <w:rFonts w:ascii="Times New Roman;Times;serif" w:hAnsi="Times New Roman;Times;serif"/>
          <w:sz w:val="20"/>
        </w:rPr>
        <w:t>Supplementary Agreement, Target Company’s Articles of Association, or for any other cause with respect to the above designation.</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15.</w:t>
            </w:r>
          </w:p>
        </w:tc>
        <w:tc>
          <w:tcPr>
            <w:tcW w:w="9968"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From the Execution Date of this Amendment and Supplementary Agreement, Hefei Jianxiang and Anhui Emerging Industry Yuwen Weiyuan Technology shall be deemed as the successors to their respective subscribed registered capital and shall become parties to the Series B Investment Agreement, as if they had originally executed the Series B Investment Agreement. For the avoidance of doubt, with respect to the subscribed registered capital that has been succeeded, Jianheng New Energy Fund and Anhui High-tech Co. shall no longer bear any obligations under the Series B Investment Agreement corresponding to such subscribed registered capital.</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16.</w:t>
            </w:r>
          </w:p>
        </w:tc>
        <w:tc>
          <w:tcPr>
            <w:tcW w:w="9953"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The formation of this Amendment and Supplementary Agreement, its validity, interpretation, implementation and resolution of any disputes arising hereunder shall be governed by and construed in accordance with the laws of the PRC.</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17.</w:t>
            </w:r>
          </w:p>
        </w:tc>
        <w:tc>
          <w:tcPr>
            <w:tcW w:w="9971"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Any dispute arising from the implementation of this Amendment and Supplementary Agreement or in connection with this Amendment and Supplementary Agreement shall be resolved through friendly consultation. If any dispute cannot be resolved through consultation within thirty (30) days after the occurrence of such dispute, any Party shall have the right to submit the dispute to the China International Economic and Trade Arbitration Commission located in Beijing for arbitration in accordance with the arbitration rules then in effect. The arbitral tribunal shall consist of three (3) arbitrators appointed in accordance with the arbitration rules. The applicant shall appoint one (1) arbitrator, the respondent shall appoint one (1) arbitrator, and the third (3rd) arbitrator shall be appointed by the first two arbitrators through consultation or appointed by the China International Economic and Trade Arbitration Commission. If any party among the joint applicants or joint respondents fails to jointly appoint an arbitrator, it does not prevent the other party from appointing an arbitrator. The arbitration proceedings shall be conducted in Chinese. The arbitration award shall be final and binding on all Parties.</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18.</w:t>
            </w:r>
          </w:p>
        </w:tc>
        <w:tc>
          <w:tcPr>
            <w:tcW w:w="9953"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During the period when a Dispute is being resolved, the Parties shall continue to have their respective rights and perform their obligations under this Amendment and Supplementary Agreement other than those involved in the Dispute.</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19.</w:t>
            </w:r>
          </w:p>
        </w:tc>
        <w:tc>
          <w:tcPr>
            <w:tcW w:w="9967"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Unless otherwise provided under the Series B Investment Agreement or this Amendment and Supplementary Agreement, this Amendment and Supplementary Agreement shall become effective upon the execution by the authorized representatives of the foreign entities, and the execution by the legal representatives or authorized representatives or signatories of the PRC entities, and affixation of company seal of the relevant PRC entities. In the event of any inconsistency between the provisions of the Series B Investment Agreement and this Amendment and Supplementary Agreement, the provisions of this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190"/>
        <w:ind w:left="440" w:right="0" w:hanging="0"/>
        <w:jc w:val="both"/>
        <w:rPr>
          <w:rFonts w:ascii="Times New Roman;Times;serif" w:hAnsi="Times New Roman;Times;serif"/>
          <w:sz w:val="20"/>
        </w:rPr>
      </w:pPr>
      <w:r>
        <w:rPr>
          <w:rFonts w:ascii="Times New Roman;Times;serif" w:hAnsi="Times New Roman;Times;serif"/>
          <w:sz w:val="20"/>
        </w:rPr>
        <w:t>Amendment and Supplementary Agreement shall prevail. For any matters not provided in this Amendment and Supplementary Agreement, the provisions of the Series B Investment Agreement shall apply.</w:t>
      </w:r>
    </w:p>
    <w:p>
      <w:pPr>
        <w:pStyle w:val="TextBody"/>
        <w:bidi w:val="0"/>
        <w:spacing w:before="0" w:after="190"/>
        <w:ind w:left="440" w:right="0" w:hanging="0"/>
        <w:jc w:val="both"/>
        <w:rPr>
          <w:rFonts w:ascii="Times New Roman;Times;serif" w:hAnsi="Times New Roman;Times;serif"/>
          <w:sz w:val="20"/>
        </w:rPr>
      </w:pPr>
      <w:r>
        <w:rPr>
          <w:rFonts w:ascii="Times New Roman;Times;serif" w:hAnsi="Times New Roman;Times;serif"/>
          <w:sz w:val="20"/>
        </w:rPr>
        <w:t>Unless explicitly amended by this Amendment and Supplementary Agreement, the effectiveness of other provisions in the Series B Investment Agreement shall not be affected by this Amendment and Supplementary Agreement.</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20.</w:t>
            </w:r>
          </w:p>
        </w:tc>
        <w:tc>
          <w:tcPr>
            <w:tcW w:w="9943" w:type="dxa"/>
            <w:tcBorders/>
            <w:vAlign w:val="center"/>
          </w:tcPr>
          <w:p>
            <w:pPr>
              <w:pStyle w:val="TableContents"/>
              <w:bidi w:val="0"/>
              <w:spacing w:before="0" w:after="190"/>
              <w:jc w:val="both"/>
              <w:rPr>
                <w:rFonts w:ascii="Times New Roman;Times;serif" w:hAnsi="Times New Roman;Times;serif"/>
                <w:sz w:val="20"/>
              </w:rPr>
            </w:pPr>
            <w:r>
              <w:rPr>
                <w:rFonts w:ascii="Times New Roman;Times;serif" w:hAnsi="Times New Roman;Times;serif"/>
                <w:sz w:val="20"/>
              </w:rPr>
              <w:t>This Amendment and Supplementary Agreement shall be written in Chinese in multiple originals with the same legal effect. Each Party shall hold one (1) original.</w:t>
            </w:r>
          </w:p>
        </w:tc>
      </w:tr>
    </w:tbl>
    <w:p>
      <w:pPr>
        <w:pStyle w:val="TextBody"/>
        <w:pBdr/>
        <w:bidi w:val="0"/>
        <w:spacing w:before="0" w:after="190"/>
        <w:ind w:left="0" w:right="0" w:hanging="44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PAGES FOLLOW]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Amendment and Supplementary Agreement to NIO China Series B Investment Agreement)</w:t>
      </w:r>
    </w:p>
    <w:p>
      <w:pPr>
        <w:pStyle w:val="TextBody"/>
        <w:pBdr/>
        <w:bidi w:val="0"/>
        <w:spacing w:before="0" w:after="0"/>
        <w:ind w:left="0" w:right="0" w:hanging="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Amendment and Supplementary Agreement to be duly executed as of the date first written above.</w:t>
      </w:r>
    </w:p>
    <w:p>
      <w:pPr>
        <w:pStyle w:val="TextBody"/>
        <w:bidi w:val="0"/>
        <w:spacing w:before="0" w:after="0"/>
        <w:ind w:left="0" w:right="0" w:hanging="0"/>
        <w:jc w:val="both"/>
        <w:rPr/>
      </w:pPr>
      <w:r>
        <w:rPr/>
        <w:t>​</w:t>
      </w:r>
    </w:p>
    <w:tbl>
      <w:tblPr>
        <w:tblW w:w="3709" w:type="dxa"/>
        <w:jc w:val="center"/>
        <w:tblInd w:w="0" w:type="dxa"/>
        <w:tblLayout w:type="fixed"/>
        <w:tblCellMar>
          <w:top w:w="0" w:type="dxa"/>
          <w:left w:w="0" w:type="dxa"/>
          <w:bottom w:w="0" w:type="dxa"/>
          <w:right w:w="0" w:type="dxa"/>
        </w:tblCellMar>
      </w:tblPr>
      <w:tblGrid>
        <w:gridCol w:w="124"/>
        <w:gridCol w:w="151"/>
        <w:gridCol w:w="343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58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Hefei Jianheng New Energy Automobile </w:t>
              <w:br/>
              <w:t xml:space="preserve">Investment Fund Partnership (Limited </w:t>
              <w:br/>
              <w:t>Partnership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5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1" w:type="dxa"/>
            <w:tcBorders/>
            <w:vAlign w:val="center"/>
          </w:tcPr>
          <w:p>
            <w:pPr>
              <w:pStyle w:val="TableContents"/>
              <w:bidi w:val="0"/>
              <w:spacing w:before="0" w:after="283"/>
              <w:ind w:left="0" w:right="0" w:hanging="0"/>
              <w:jc w:val="left"/>
              <w:rPr>
                <w:sz w:val="4"/>
                <w:szCs w:val="4"/>
              </w:rPr>
            </w:pPr>
            <w:r>
              <w:rPr>
                <w:sz w:val="4"/>
                <w:szCs w:val="4"/>
              </w:rPr>
            </w:r>
          </w:p>
        </w:tc>
        <w:tc>
          <w:tcPr>
            <w:tcW w:w="343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1" w:type="dxa"/>
            <w:tcBorders/>
            <w:vAlign w:val="center"/>
          </w:tcPr>
          <w:p>
            <w:pPr>
              <w:pStyle w:val="TableContents"/>
              <w:bidi w:val="0"/>
              <w:spacing w:before="0" w:after="283"/>
              <w:ind w:left="0" w:right="0" w:hanging="0"/>
              <w:jc w:val="left"/>
              <w:rPr>
                <w:sz w:val="4"/>
                <w:szCs w:val="4"/>
              </w:rPr>
            </w:pPr>
            <w:r>
              <w:rPr>
                <w:sz w:val="4"/>
                <w:szCs w:val="4"/>
              </w:rPr>
            </w:r>
          </w:p>
        </w:tc>
        <w:tc>
          <w:tcPr>
            <w:tcW w:w="343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1" w:type="dxa"/>
            <w:tcBorders/>
            <w:vAlign w:val="center"/>
          </w:tcPr>
          <w:p>
            <w:pPr>
              <w:pStyle w:val="TableContents"/>
              <w:bidi w:val="0"/>
              <w:spacing w:before="0" w:after="283"/>
              <w:ind w:left="0" w:right="0" w:hanging="0"/>
              <w:jc w:val="left"/>
              <w:rPr>
                <w:sz w:val="4"/>
                <w:szCs w:val="4"/>
              </w:rPr>
            </w:pPr>
            <w:r>
              <w:rPr>
                <w:sz w:val="4"/>
                <w:szCs w:val="4"/>
              </w:rPr>
            </w:r>
          </w:p>
        </w:tc>
        <w:tc>
          <w:tcPr>
            <w:tcW w:w="34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1" w:type="dxa"/>
            <w:tcBorders/>
            <w:vAlign w:val="center"/>
          </w:tcPr>
          <w:p>
            <w:pPr>
              <w:pStyle w:val="TableContents"/>
              <w:bidi w:val="0"/>
              <w:spacing w:before="0" w:after="283"/>
              <w:ind w:left="0" w:right="0" w:hanging="0"/>
              <w:jc w:val="left"/>
              <w:rPr>
                <w:sz w:val="4"/>
                <w:szCs w:val="4"/>
              </w:rPr>
            </w:pPr>
            <w:r>
              <w:rPr>
                <w:sz w:val="4"/>
                <w:szCs w:val="4"/>
              </w:rPr>
            </w:r>
          </w:p>
        </w:tc>
        <w:tc>
          <w:tcPr>
            <w:tcW w:w="34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1" w:type="dxa"/>
            <w:tcBorders/>
            <w:vAlign w:val="center"/>
          </w:tcPr>
          <w:p>
            <w:pPr>
              <w:pStyle w:val="TableContents"/>
              <w:bidi w:val="0"/>
              <w:spacing w:before="0" w:after="283"/>
              <w:ind w:left="0" w:right="0" w:hanging="0"/>
              <w:jc w:val="left"/>
              <w:rPr>
                <w:sz w:val="4"/>
                <w:szCs w:val="4"/>
              </w:rPr>
            </w:pPr>
            <w:r>
              <w:rPr>
                <w:sz w:val="4"/>
                <w:szCs w:val="4"/>
              </w:rPr>
            </w:r>
          </w:p>
        </w:tc>
        <w:tc>
          <w:tcPr>
            <w:tcW w:w="34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both"/>
        <w:rPr/>
      </w:pPr>
      <w:r>
        <w:rPr/>
        <w:t>​</w:t>
      </w:r>
    </w:p>
    <w:p>
      <w:pPr>
        <w:pStyle w:val="TextBody"/>
        <w:pBdr/>
        <w:bidi w:val="0"/>
        <w:spacing w:before="0" w:after="0"/>
        <w:ind w:left="0" w:right="0" w:hanging="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 and Supplementary Agreement to NIO China Series B Investment Agreement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Signature Page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Amendment and Supplementary Agreement to NIO China Series B Investment Agreement)</w:t>
      </w:r>
    </w:p>
    <w:p>
      <w:pPr>
        <w:pStyle w:val="TextBody"/>
        <w:pBdr/>
        <w:bidi w:val="0"/>
        <w:spacing w:before="0" w:after="0"/>
        <w:ind w:left="0" w:right="0" w:hanging="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Amendment and Supplementary Agreement to be duly executed as of the date first written above.</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tbl>
      <w:tblPr>
        <w:tblW w:w="3364" w:type="dxa"/>
        <w:jc w:val="center"/>
        <w:tblInd w:w="0" w:type="dxa"/>
        <w:tblLayout w:type="fixed"/>
        <w:tblCellMar>
          <w:top w:w="0" w:type="dxa"/>
          <w:left w:w="0" w:type="dxa"/>
          <w:bottom w:w="0" w:type="dxa"/>
          <w:right w:w="0" w:type="dxa"/>
        </w:tblCellMar>
      </w:tblPr>
      <w:tblGrid>
        <w:gridCol w:w="124"/>
        <w:gridCol w:w="136"/>
        <w:gridCol w:w="310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24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Hefei Jianxiang Investment Co., Ltd.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2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36" w:type="dxa"/>
            <w:tcBorders/>
            <w:vAlign w:val="center"/>
          </w:tcPr>
          <w:p>
            <w:pPr>
              <w:pStyle w:val="TableContents"/>
              <w:bidi w:val="0"/>
              <w:spacing w:before="0" w:after="283"/>
              <w:ind w:left="0" w:right="0" w:hanging="0"/>
              <w:jc w:val="left"/>
              <w:rPr>
                <w:sz w:val="4"/>
                <w:szCs w:val="4"/>
              </w:rPr>
            </w:pPr>
            <w:r>
              <w:rPr>
                <w:sz w:val="4"/>
                <w:szCs w:val="4"/>
              </w:rPr>
            </w:r>
          </w:p>
        </w:tc>
        <w:tc>
          <w:tcPr>
            <w:tcW w:w="31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36" w:type="dxa"/>
            <w:tcBorders/>
            <w:vAlign w:val="center"/>
          </w:tcPr>
          <w:p>
            <w:pPr>
              <w:pStyle w:val="TableContents"/>
              <w:bidi w:val="0"/>
              <w:spacing w:before="0" w:after="283"/>
              <w:ind w:left="0" w:right="0" w:hanging="0"/>
              <w:jc w:val="left"/>
              <w:rPr>
                <w:sz w:val="4"/>
                <w:szCs w:val="4"/>
              </w:rPr>
            </w:pPr>
            <w:r>
              <w:rPr>
                <w:sz w:val="4"/>
                <w:szCs w:val="4"/>
              </w:rPr>
            </w:r>
          </w:p>
        </w:tc>
        <w:tc>
          <w:tcPr>
            <w:tcW w:w="31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36" w:type="dxa"/>
            <w:tcBorders/>
            <w:vAlign w:val="center"/>
          </w:tcPr>
          <w:p>
            <w:pPr>
              <w:pStyle w:val="TableContents"/>
              <w:bidi w:val="0"/>
              <w:spacing w:before="0" w:after="283"/>
              <w:ind w:left="0" w:right="0" w:hanging="0"/>
              <w:jc w:val="left"/>
              <w:rPr>
                <w:sz w:val="4"/>
                <w:szCs w:val="4"/>
              </w:rPr>
            </w:pPr>
            <w:r>
              <w:rPr>
                <w:sz w:val="4"/>
                <w:szCs w:val="4"/>
              </w:rPr>
            </w:r>
          </w:p>
        </w:tc>
        <w:tc>
          <w:tcPr>
            <w:tcW w:w="31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 and Supplementary Agreement to NIO China Series B Investment Agreement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Signature Page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Amendment and Supplementary Agreement to NIO China Series B Investment Agreement)</w:t>
      </w:r>
    </w:p>
    <w:p>
      <w:pPr>
        <w:pStyle w:val="TextBody"/>
        <w:pBdr/>
        <w:bidi w:val="0"/>
        <w:spacing w:before="0" w:after="0"/>
        <w:ind w:left="0" w:right="0" w:hanging="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Amendment and Supplementary Agreement to be duly executed as of the date first written above.</w:t>
      </w:r>
    </w:p>
    <w:p>
      <w:pPr>
        <w:pStyle w:val="TextBody"/>
        <w:pBdr/>
        <w:bidi w:val="0"/>
        <w:spacing w:before="0" w:after="0"/>
        <w:ind w:left="0" w:right="0" w:hanging="720"/>
        <w:jc w:val="both"/>
        <w:rPr/>
      </w:pPr>
      <w:r>
        <w:rPr/>
        <w:t>​</w:t>
      </w:r>
    </w:p>
    <w:p>
      <w:pPr>
        <w:pStyle w:val="TextBody"/>
        <w:bidi w:val="0"/>
        <w:spacing w:before="0" w:after="0"/>
        <w:ind w:left="0" w:right="0" w:hanging="0"/>
        <w:jc w:val="both"/>
        <w:rPr/>
      </w:pPr>
      <w:r>
        <w:rPr/>
        <w:t>​</w:t>
      </w:r>
    </w:p>
    <w:tbl>
      <w:tblPr>
        <w:tblW w:w="2709" w:type="dxa"/>
        <w:jc w:val="left"/>
        <w:tblInd w:w="0" w:type="dxa"/>
        <w:tblLayout w:type="fixed"/>
        <w:tblCellMar>
          <w:top w:w="0" w:type="dxa"/>
          <w:left w:w="0" w:type="dxa"/>
          <w:bottom w:w="0" w:type="dxa"/>
          <w:right w:w="0" w:type="dxa"/>
        </w:tblCellMar>
      </w:tblPr>
      <w:tblGrid>
        <w:gridCol w:w="124"/>
        <w:gridCol w:w="109"/>
        <w:gridCol w:w="247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CS Capital Co., Ltd.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 and Supplementary Agreement to NIO China Series B Investment Agreement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Signature Page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Amendment and Supplementary Agreement to NIO China Series B Investment Agreement)</w:t>
      </w:r>
    </w:p>
    <w:p>
      <w:pPr>
        <w:pStyle w:val="TextBody"/>
        <w:pBdr/>
        <w:bidi w:val="0"/>
        <w:spacing w:before="0" w:after="0"/>
        <w:ind w:left="0" w:right="0" w:hanging="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Amendment and Supplementary Agreement to be duly executed as of the date first written above.</w:t>
      </w:r>
    </w:p>
    <w:p>
      <w:pPr>
        <w:pStyle w:val="TextBody"/>
        <w:pBdr/>
        <w:bidi w:val="0"/>
        <w:spacing w:before="0" w:after="0"/>
        <w:ind w:left="0" w:right="0" w:hanging="720"/>
        <w:jc w:val="both"/>
        <w:rPr/>
      </w:pPr>
      <w:r>
        <w:rPr/>
        <w:t>​</w:t>
      </w:r>
    </w:p>
    <w:p>
      <w:pPr>
        <w:pStyle w:val="TextBody"/>
        <w:bidi w:val="0"/>
        <w:spacing w:before="0" w:after="0"/>
        <w:ind w:left="0" w:right="0" w:hanging="0"/>
        <w:jc w:val="both"/>
        <w:rPr/>
      </w:pPr>
      <w:r>
        <w:rPr/>
        <w:t>​</w:t>
      </w:r>
    </w:p>
    <w:tbl>
      <w:tblPr>
        <w:tblW w:w="4414" w:type="dxa"/>
        <w:jc w:val="left"/>
        <w:tblInd w:w="0" w:type="dxa"/>
        <w:tblLayout w:type="fixed"/>
        <w:tblCellMar>
          <w:top w:w="0" w:type="dxa"/>
          <w:left w:w="0" w:type="dxa"/>
          <w:bottom w:w="0" w:type="dxa"/>
          <w:right w:w="0" w:type="dxa"/>
        </w:tblCellMar>
      </w:tblPr>
      <w:tblGrid>
        <w:gridCol w:w="124"/>
        <w:gridCol w:w="180"/>
        <w:gridCol w:w="4110"/>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80" w:type="dxa"/>
            <w:tcBorders/>
            <w:vAlign w:val="center"/>
          </w:tcPr>
          <w:p>
            <w:pPr>
              <w:pStyle w:val="TableContents"/>
              <w:bidi w:val="0"/>
              <w:spacing w:before="0" w:after="283"/>
              <w:ind w:left="0" w:right="0" w:hanging="0"/>
              <w:jc w:val="left"/>
              <w:rPr>
                <w:sz w:val="4"/>
                <w:szCs w:val="4"/>
              </w:rPr>
            </w:pPr>
            <w:r>
              <w:rPr>
                <w:sz w:val="4"/>
                <w:szCs w:val="4"/>
              </w:rPr>
            </w:r>
          </w:p>
        </w:tc>
        <w:tc>
          <w:tcPr>
            <w:tcW w:w="4110"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29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Anhui Provincial Emerging Industry Investment </w:t>
              <w:br/>
              <w:t>Co., Ltd.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2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80" w:type="dxa"/>
            <w:tcBorders/>
            <w:vAlign w:val="center"/>
          </w:tcPr>
          <w:p>
            <w:pPr>
              <w:pStyle w:val="TableContents"/>
              <w:bidi w:val="0"/>
              <w:spacing w:before="0" w:after="283"/>
              <w:ind w:left="0" w:right="0" w:hanging="0"/>
              <w:jc w:val="left"/>
              <w:rPr>
                <w:sz w:val="4"/>
                <w:szCs w:val="4"/>
              </w:rPr>
            </w:pPr>
            <w:r>
              <w:rPr>
                <w:sz w:val="4"/>
                <w:szCs w:val="4"/>
              </w:rPr>
            </w:r>
          </w:p>
        </w:tc>
        <w:tc>
          <w:tcPr>
            <w:tcW w:w="4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80" w:type="dxa"/>
            <w:tcBorders/>
            <w:vAlign w:val="center"/>
          </w:tcPr>
          <w:p>
            <w:pPr>
              <w:pStyle w:val="TableContents"/>
              <w:bidi w:val="0"/>
              <w:spacing w:before="0" w:after="283"/>
              <w:ind w:left="0" w:right="0" w:hanging="0"/>
              <w:jc w:val="left"/>
              <w:rPr>
                <w:sz w:val="4"/>
                <w:szCs w:val="4"/>
              </w:rPr>
            </w:pPr>
            <w:r>
              <w:rPr>
                <w:sz w:val="4"/>
                <w:szCs w:val="4"/>
              </w:rPr>
            </w:r>
          </w:p>
        </w:tc>
        <w:tc>
          <w:tcPr>
            <w:tcW w:w="4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80" w:type="dxa"/>
            <w:tcBorders/>
            <w:vAlign w:val="center"/>
          </w:tcPr>
          <w:p>
            <w:pPr>
              <w:pStyle w:val="TableContents"/>
              <w:bidi w:val="0"/>
              <w:spacing w:before="0" w:after="283"/>
              <w:ind w:left="0" w:right="0" w:hanging="0"/>
              <w:jc w:val="left"/>
              <w:rPr>
                <w:sz w:val="4"/>
                <w:szCs w:val="4"/>
              </w:rPr>
            </w:pPr>
            <w:r>
              <w:rPr>
                <w:sz w:val="4"/>
                <w:szCs w:val="4"/>
              </w:rPr>
            </w:r>
          </w:p>
        </w:tc>
        <w:tc>
          <w:tcPr>
            <w:tcW w:w="4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 and Supplementary Agreement to NIO China Series B Investment Agreement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Signature Page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Amendment and Supplementary Agreement to NIO China Series B Investment Agreement)</w:t>
      </w:r>
    </w:p>
    <w:p>
      <w:pPr>
        <w:pStyle w:val="TextBody"/>
        <w:pBdr/>
        <w:bidi w:val="0"/>
        <w:spacing w:before="0" w:after="0"/>
        <w:ind w:left="0" w:right="0" w:hanging="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Amendment and Supplementary Agreement to be duly executed as of the date first written above.</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tbl>
      <w:tblPr>
        <w:tblW w:w="4099" w:type="dxa"/>
        <w:jc w:val="left"/>
        <w:tblInd w:w="0" w:type="dxa"/>
        <w:tblLayout w:type="fixed"/>
        <w:tblCellMar>
          <w:top w:w="0" w:type="dxa"/>
          <w:left w:w="0" w:type="dxa"/>
          <w:bottom w:w="0" w:type="dxa"/>
          <w:right w:w="0" w:type="dxa"/>
        </w:tblCellMar>
      </w:tblPr>
      <w:tblGrid>
        <w:gridCol w:w="124"/>
        <w:gridCol w:w="167"/>
        <w:gridCol w:w="3808"/>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97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Anhui Emerging Industry Yuwen Weiyuan </w:t>
              <w:br/>
              <w:t xml:space="preserve">Technology Partnership Enterprise (Limited </w:t>
              <w:br/>
              <w:t>Partnership)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97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7" w:type="dxa"/>
            <w:tcBorders/>
            <w:vAlign w:val="center"/>
          </w:tcPr>
          <w:p>
            <w:pPr>
              <w:pStyle w:val="TableContents"/>
              <w:bidi w:val="0"/>
              <w:spacing w:before="0" w:after="283"/>
              <w:ind w:left="0" w:right="0" w:hanging="0"/>
              <w:jc w:val="left"/>
              <w:rPr>
                <w:sz w:val="4"/>
                <w:szCs w:val="4"/>
              </w:rPr>
            </w:pPr>
            <w:r>
              <w:rPr>
                <w:sz w:val="4"/>
                <w:szCs w:val="4"/>
              </w:rPr>
            </w:r>
          </w:p>
        </w:tc>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7" w:type="dxa"/>
            <w:tcBorders/>
            <w:vAlign w:val="center"/>
          </w:tcPr>
          <w:p>
            <w:pPr>
              <w:pStyle w:val="TableContents"/>
              <w:bidi w:val="0"/>
              <w:spacing w:before="0" w:after="283"/>
              <w:ind w:left="0" w:right="0" w:hanging="0"/>
              <w:jc w:val="left"/>
              <w:rPr>
                <w:sz w:val="4"/>
                <w:szCs w:val="4"/>
              </w:rPr>
            </w:pPr>
            <w:r>
              <w:rPr>
                <w:sz w:val="4"/>
                <w:szCs w:val="4"/>
              </w:rPr>
            </w:r>
          </w:p>
        </w:tc>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7" w:type="dxa"/>
            <w:tcBorders/>
            <w:vAlign w:val="center"/>
          </w:tcPr>
          <w:p>
            <w:pPr>
              <w:pStyle w:val="TableContents"/>
              <w:bidi w:val="0"/>
              <w:spacing w:before="0" w:after="283"/>
              <w:ind w:left="0" w:right="0" w:hanging="0"/>
              <w:jc w:val="left"/>
              <w:rPr>
                <w:sz w:val="4"/>
                <w:szCs w:val="4"/>
              </w:rPr>
            </w:pPr>
            <w:r>
              <w:rPr>
                <w:sz w:val="4"/>
                <w:szCs w:val="4"/>
              </w:rPr>
            </w:r>
          </w:p>
        </w:tc>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 and Supplementary Agreement to NIO China Series B Investment Agreement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Signature Page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Amendment and Supplementary Agreement to NIO China Series B Investment Agreement)</w:t>
      </w:r>
    </w:p>
    <w:p>
      <w:pPr>
        <w:pStyle w:val="TextBody"/>
        <w:pBdr/>
        <w:bidi w:val="0"/>
        <w:spacing w:before="0" w:after="0"/>
        <w:ind w:left="0" w:right="0" w:hanging="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Amendment and Supplementary Agreement to be duly executed as of the date first written above.</w:t>
      </w:r>
    </w:p>
    <w:p>
      <w:pPr>
        <w:pStyle w:val="TextBody"/>
        <w:bidi w:val="0"/>
        <w:spacing w:before="0" w:after="0"/>
        <w:ind w:left="0" w:right="0" w:hanging="0"/>
        <w:jc w:val="both"/>
        <w:rPr/>
      </w:pPr>
      <w:r>
        <w:rPr/>
        <w:t>​</w:t>
      </w:r>
    </w:p>
    <w:tbl>
      <w:tblPr>
        <w:tblW w:w="2709" w:type="dxa"/>
        <w:jc w:val="left"/>
        <w:tblInd w:w="0" w:type="dxa"/>
        <w:tblLayout w:type="fixed"/>
        <w:tblCellMar>
          <w:top w:w="0" w:type="dxa"/>
          <w:left w:w="0" w:type="dxa"/>
          <w:bottom w:w="0" w:type="dxa"/>
          <w:right w:w="0" w:type="dxa"/>
        </w:tblCellMar>
      </w:tblPr>
      <w:tblGrid>
        <w:gridCol w:w="124"/>
        <w:gridCol w:w="109"/>
        <w:gridCol w:w="247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NIO Inc.</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 and Supplementary Agreement to NIO China Series B Investment Agreement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Signature Page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Amendment and Supplementary Agreement to NIO China Series B Investment Agreement)</w:t>
      </w:r>
    </w:p>
    <w:p>
      <w:pPr>
        <w:pStyle w:val="TextBody"/>
        <w:pBdr/>
        <w:bidi w:val="0"/>
        <w:spacing w:before="0" w:after="0"/>
        <w:ind w:left="0" w:right="0" w:hanging="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Amendment and Supplementary Agreement to be duly executed as of the date first written above.</w:t>
      </w:r>
    </w:p>
    <w:p>
      <w:pPr>
        <w:pStyle w:val="TextBody"/>
        <w:pBdr/>
        <w:bidi w:val="0"/>
        <w:spacing w:before="0" w:after="0"/>
        <w:ind w:left="0" w:right="0" w:hanging="720"/>
        <w:jc w:val="both"/>
        <w:rPr/>
      </w:pPr>
      <w:r>
        <w:rPr/>
        <w:t>​</w:t>
      </w:r>
    </w:p>
    <w:p>
      <w:pPr>
        <w:pStyle w:val="TextBody"/>
        <w:bidi w:val="0"/>
        <w:spacing w:before="0" w:after="0"/>
        <w:ind w:left="0" w:right="0" w:hanging="0"/>
        <w:jc w:val="both"/>
        <w:rPr/>
      </w:pPr>
      <w:r>
        <w:rPr/>
        <w:t>​</w:t>
      </w:r>
    </w:p>
    <w:tbl>
      <w:tblPr>
        <w:tblW w:w="2709" w:type="dxa"/>
        <w:jc w:val="left"/>
        <w:tblInd w:w="0" w:type="dxa"/>
        <w:tblLayout w:type="fixed"/>
        <w:tblCellMar>
          <w:top w:w="0" w:type="dxa"/>
          <w:left w:w="0" w:type="dxa"/>
          <w:bottom w:w="0" w:type="dxa"/>
          <w:right w:w="0" w:type="dxa"/>
        </w:tblCellMar>
      </w:tblPr>
      <w:tblGrid>
        <w:gridCol w:w="124"/>
        <w:gridCol w:w="109"/>
        <w:gridCol w:w="247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Nio Nextev Limited</w:t>
            </w:r>
          </w:p>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 and Supplementary Agreement to NIO China Series B Investment Agreement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Signature Page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Amendment and Supplementary Agreement to NIO China Series B Investment Agreement)</w:t>
      </w:r>
    </w:p>
    <w:p>
      <w:pPr>
        <w:pStyle w:val="TextBody"/>
        <w:pBdr/>
        <w:bidi w:val="0"/>
        <w:spacing w:before="0" w:after="0"/>
        <w:ind w:left="0" w:right="0" w:hanging="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Amendment and Supplementary Agreement to be duly executed as of the date first written above.</w:t>
      </w:r>
    </w:p>
    <w:p>
      <w:pPr>
        <w:pStyle w:val="TextBody"/>
        <w:pBdr/>
        <w:bidi w:val="0"/>
        <w:spacing w:before="0" w:after="0"/>
        <w:ind w:left="0" w:right="0" w:hanging="720"/>
        <w:jc w:val="both"/>
        <w:rPr/>
      </w:pPr>
      <w:r>
        <w:rPr/>
        <w:t>​</w:t>
      </w:r>
    </w:p>
    <w:p>
      <w:pPr>
        <w:pStyle w:val="TextBody"/>
        <w:bidi w:val="0"/>
        <w:spacing w:before="0" w:after="0"/>
        <w:ind w:left="0" w:right="0" w:hanging="0"/>
        <w:jc w:val="both"/>
        <w:rPr/>
      </w:pPr>
      <w:r>
        <w:rPr/>
        <w:t>​</w:t>
      </w:r>
    </w:p>
    <w:tbl>
      <w:tblPr>
        <w:tblW w:w="2734" w:type="dxa"/>
        <w:jc w:val="left"/>
        <w:tblInd w:w="0" w:type="dxa"/>
        <w:tblLayout w:type="fixed"/>
        <w:tblCellMar>
          <w:top w:w="0" w:type="dxa"/>
          <w:left w:w="0" w:type="dxa"/>
          <w:bottom w:w="0" w:type="dxa"/>
          <w:right w:w="0" w:type="dxa"/>
        </w:tblCellMar>
      </w:tblPr>
      <w:tblGrid>
        <w:gridCol w:w="124"/>
        <w:gridCol w:w="110"/>
        <w:gridCol w:w="2500"/>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61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NIO User Enterprise Limited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6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10" w:type="dxa"/>
            <w:tcBorders/>
            <w:vAlign w:val="center"/>
          </w:tcPr>
          <w:p>
            <w:pPr>
              <w:pStyle w:val="TableContents"/>
              <w:bidi w:val="0"/>
              <w:spacing w:before="0" w:after="283"/>
              <w:ind w:left="0" w:right="0" w:hanging="0"/>
              <w:jc w:val="left"/>
              <w:rPr>
                <w:sz w:val="4"/>
                <w:szCs w:val="4"/>
              </w:rPr>
            </w:pPr>
            <w:r>
              <w:rPr>
                <w:sz w:val="4"/>
                <w:szCs w:val="4"/>
              </w:rPr>
            </w:r>
          </w:p>
        </w:tc>
        <w:tc>
          <w:tcPr>
            <w:tcW w:w="25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10" w:type="dxa"/>
            <w:tcBorders/>
            <w:vAlign w:val="center"/>
          </w:tcPr>
          <w:p>
            <w:pPr>
              <w:pStyle w:val="TableContents"/>
              <w:bidi w:val="0"/>
              <w:spacing w:before="0" w:after="283"/>
              <w:ind w:left="0" w:right="0" w:hanging="0"/>
              <w:jc w:val="left"/>
              <w:rPr>
                <w:sz w:val="4"/>
                <w:szCs w:val="4"/>
              </w:rPr>
            </w:pPr>
            <w:r>
              <w:rPr>
                <w:sz w:val="4"/>
                <w:szCs w:val="4"/>
              </w:rPr>
            </w:r>
          </w:p>
        </w:tc>
        <w:tc>
          <w:tcPr>
            <w:tcW w:w="25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10" w:type="dxa"/>
            <w:tcBorders/>
            <w:vAlign w:val="center"/>
          </w:tcPr>
          <w:p>
            <w:pPr>
              <w:pStyle w:val="TableContents"/>
              <w:bidi w:val="0"/>
              <w:spacing w:before="0" w:after="283"/>
              <w:ind w:left="0" w:right="0" w:hanging="0"/>
              <w:jc w:val="left"/>
              <w:rPr>
                <w:sz w:val="4"/>
                <w:szCs w:val="4"/>
              </w:rPr>
            </w:pPr>
            <w:r>
              <w:rPr>
                <w:sz w:val="4"/>
                <w:szCs w:val="4"/>
              </w:rPr>
            </w:r>
          </w:p>
        </w:tc>
        <w:tc>
          <w:tcPr>
            <w:tcW w:w="25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 and Supplementary Agreement to NIO China Series B Investment Agreement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Signature Page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Amendment and Supplementary Agreement to NIO China Series B Investment Agreement)</w:t>
      </w:r>
    </w:p>
    <w:p>
      <w:pPr>
        <w:pStyle w:val="TextBody"/>
        <w:pBdr/>
        <w:bidi w:val="0"/>
        <w:spacing w:before="0" w:after="0"/>
        <w:ind w:left="0" w:right="0" w:hanging="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Amendment and Supplementary Agreement to be duly executed as of the date first written above.</w:t>
      </w:r>
    </w:p>
    <w:p>
      <w:pPr>
        <w:pStyle w:val="TextBody"/>
        <w:pBdr/>
        <w:bidi w:val="0"/>
        <w:spacing w:before="0" w:after="0"/>
        <w:ind w:left="0" w:right="0" w:hanging="720"/>
        <w:jc w:val="both"/>
        <w:rPr/>
      </w:pPr>
      <w:r>
        <w:rPr/>
        <w:t>​</w:t>
      </w:r>
    </w:p>
    <w:p>
      <w:pPr>
        <w:pStyle w:val="TextBody"/>
        <w:bidi w:val="0"/>
        <w:spacing w:before="0" w:after="0"/>
        <w:ind w:left="0" w:right="0" w:hanging="0"/>
        <w:jc w:val="both"/>
        <w:rPr/>
      </w:pPr>
      <w:r>
        <w:rPr/>
        <w:t>​</w:t>
      </w:r>
    </w:p>
    <w:tbl>
      <w:tblPr>
        <w:tblW w:w="2709" w:type="dxa"/>
        <w:jc w:val="left"/>
        <w:tblInd w:w="0" w:type="dxa"/>
        <w:tblLayout w:type="fixed"/>
        <w:tblCellMar>
          <w:top w:w="0" w:type="dxa"/>
          <w:left w:w="0" w:type="dxa"/>
          <w:bottom w:w="0" w:type="dxa"/>
          <w:right w:w="0" w:type="dxa"/>
        </w:tblCellMar>
      </w:tblPr>
      <w:tblGrid>
        <w:gridCol w:w="124"/>
        <w:gridCol w:w="109"/>
        <w:gridCol w:w="247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NIO Power Express Limited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both"/>
        <w:rPr/>
      </w:pPr>
      <w:r>
        <w:rPr/>
        <w:t>​</w:t>
      </w:r>
    </w:p>
    <w:p>
      <w:pPr>
        <w:pStyle w:val="TextBody"/>
        <w:pBdr/>
        <w:bidi w:val="0"/>
        <w:spacing w:before="0" w:after="0"/>
        <w:ind w:left="0" w:right="0" w:hanging="720"/>
        <w:jc w:val="both"/>
        <w:rPr/>
      </w:pPr>
      <w:r>
        <w:rPr/>
        <w:t>​</w:t>
      </w:r>
    </w:p>
    <w:p>
      <w:pPr>
        <w:pStyle w:val="TextBody"/>
        <w:bidi w:val="0"/>
        <w:spacing w:before="0" w:after="0"/>
        <w:ind w:left="0" w:right="0" w:hanging="0"/>
        <w:jc w:val="both"/>
        <w:rPr/>
      </w:pPr>
      <w:r>
        <w:rPr/>
        <w:t>​</w:t>
      </w:r>
    </w:p>
    <w:tbl>
      <w:tblPr>
        <w:tblW w:w="644" w:type="dxa"/>
        <w:jc w:val="left"/>
        <w:tblInd w:w="0" w:type="dxa"/>
        <w:tblLayout w:type="fixed"/>
        <w:tblCellMar>
          <w:top w:w="0" w:type="dxa"/>
          <w:left w:w="0" w:type="dxa"/>
          <w:bottom w:w="0" w:type="dxa"/>
          <w:right w:w="0" w:type="dxa"/>
        </w:tblCellMar>
      </w:tblPr>
      <w:tblGrid>
        <w:gridCol w:w="161"/>
        <w:gridCol w:w="146"/>
        <w:gridCol w:w="146"/>
        <w:gridCol w:w="191"/>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 and Supplementary Agreement to NIO China Series B Investment Agreement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Signature Page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Amendment and Supplementary Agreement to NIO China Series B Investment Agreement)</w:t>
      </w:r>
    </w:p>
    <w:p>
      <w:pPr>
        <w:pStyle w:val="TextBody"/>
        <w:pBdr/>
        <w:bidi w:val="0"/>
        <w:spacing w:before="0" w:after="0"/>
        <w:ind w:left="0" w:right="0" w:hanging="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Amendment and Supplementary Agreement to be duly executed as of the date first written above.</w:t>
      </w:r>
    </w:p>
    <w:p>
      <w:pPr>
        <w:pStyle w:val="TextBody"/>
        <w:bidi w:val="0"/>
        <w:spacing w:before="0" w:after="0"/>
        <w:ind w:left="0" w:right="0" w:hanging="0"/>
        <w:jc w:val="both"/>
        <w:rPr/>
      </w:pPr>
      <w:r>
        <w:rPr/>
        <w:t>​</w:t>
      </w:r>
    </w:p>
    <w:tbl>
      <w:tblPr>
        <w:tblW w:w="2709" w:type="dxa"/>
        <w:jc w:val="left"/>
        <w:tblInd w:w="0" w:type="dxa"/>
        <w:tblLayout w:type="fixed"/>
        <w:tblCellMar>
          <w:top w:w="0" w:type="dxa"/>
          <w:left w:w="0" w:type="dxa"/>
          <w:bottom w:w="0" w:type="dxa"/>
          <w:right w:w="0" w:type="dxa"/>
        </w:tblCellMar>
      </w:tblPr>
      <w:tblGrid>
        <w:gridCol w:w="124"/>
        <w:gridCol w:w="109"/>
        <w:gridCol w:w="247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NIO Holding Co., Ltd.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 and Supplementary Agreement to NIO China Series B Investment Agreement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Signature Page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331" w:name="nio-20241231xex4d53.htm"/>
      <w:bookmarkStart w:id="2332" w:name="ksnio20241231xex4d53"/>
      <w:bookmarkEnd w:id="2331"/>
      <w:bookmarkEnd w:id="2332"/>
      <w:r>
        <w:rPr/>
        <w:t>​</w:t>
      </w:r>
      <w:r>
        <w:br w:type="page"/>
      </w:r>
    </w:p>
    <w:p>
      <w:pPr>
        <w:pStyle w:val="TextBody"/>
        <w:bidi w:val="0"/>
        <w:spacing w:before="0" w:after="240"/>
        <w:ind w:left="0" w:right="0" w:hanging="0"/>
        <w:jc w:val="right"/>
        <w:rPr>
          <w:rFonts w:ascii="Times New Roman;Times;serif" w:hAnsi="Times New Roman;Times;serif"/>
          <w:sz w:val="20"/>
        </w:rPr>
      </w:pPr>
      <w:r>
        <w:rPr>
          <w:rFonts w:ascii="Times New Roman;Times;serif" w:hAnsi="Times New Roman;Times;serif"/>
          <w:b/>
          <w:sz w:val="20"/>
        </w:rPr>
        <w:t>Exhibit</w:t>
      </w:r>
      <w:r>
        <w:rPr>
          <w:rFonts w:ascii="Times New Roman;Times;serif" w:hAnsi="Times New Roman;Times;serif"/>
          <w:caps/>
          <w:sz w:val="20"/>
        </w:rPr>
        <w:t xml:space="preserve"> </w:t>
      </w:r>
      <w:r>
        <w:rPr>
          <w:rFonts w:ascii="Times New Roman;Times;serif" w:hAnsi="Times New Roman;Times;serif"/>
          <w:b/>
          <w:caps/>
          <w:sz w:val="20"/>
        </w:rPr>
        <w:t>4.53</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Amendment and Supplementary Agreement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NIO CHINA SHAREHOLDERS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Amendment and Supplementary Agreement to NIO China Shareholders Agreement (this “</w:t>
      </w:r>
      <w:r>
        <w:rPr>
          <w:rFonts w:ascii="Times New Roman;Times;serif" w:hAnsi="Times New Roman;Times;serif"/>
          <w:b/>
          <w:sz w:val="20"/>
        </w:rPr>
        <w:t>Amendment and Supplementary Agreement</w:t>
      </w:r>
      <w:r>
        <w:rPr>
          <w:rFonts w:ascii="Times New Roman;Times;serif" w:hAnsi="Times New Roman;Times;serif"/>
          <w:sz w:val="20"/>
        </w:rPr>
        <w:t>”) dated as of December 28, 2024 (the “</w:t>
      </w:r>
      <w:r>
        <w:rPr>
          <w:rFonts w:ascii="Times New Roman;Times;serif" w:hAnsi="Times New Roman;Times;serif"/>
          <w:b/>
          <w:sz w:val="20"/>
        </w:rPr>
        <w:t>Execution Date</w:t>
      </w:r>
      <w:r>
        <w:rPr>
          <w:rFonts w:ascii="Times New Roman;Times;serif" w:hAnsi="Times New Roman;Times;serif"/>
          <w:sz w:val="20"/>
        </w:rPr>
        <w:t>”) is made by and among:</w:t>
      </w:r>
    </w:p>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100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Hefei Jianheng New Energy Automobile Investment Fund Partnership (Limited Partnership), a limited partnership duly established and existing under the Laws of the People’s Republic of China (the “</w:t>
            </w:r>
            <w:r>
              <w:rPr>
                <w:rFonts w:ascii="Times New Roman;Times;serif" w:hAnsi="Times New Roman;Times;serif"/>
                <w:b/>
                <w:sz w:val="20"/>
              </w:rPr>
              <w:t>PRC</w:t>
            </w:r>
            <w:r>
              <w:rPr>
                <w:rFonts w:ascii="Times New Roman;Times;serif" w:hAnsi="Times New Roman;Times;serif"/>
                <w:sz w:val="20"/>
              </w:rPr>
              <w:t>”, for the purpose of this Amendment and Supplementary Agreement, excluding the Hong Kong Special Administrative Region, the Macao Special Administrative Region and Taiwan), holding a business license with unified social credit code of 91340111MA2UU69EX8, and with its executive partner being Hefei Construction Investment Capital Management Co., Ltd., and registered office at Room 101, Area G, Intelligent Equipment Technology Park, No. 3963 Susong Road, Economic and Technological Development Area, Hefei City, Anhui Province (“</w:t>
            </w:r>
            <w:r>
              <w:rPr>
                <w:rFonts w:ascii="Times New Roman;Times;serif" w:hAnsi="Times New Roman;Times;serif"/>
                <w:b/>
                <w:sz w:val="20"/>
              </w:rPr>
              <w:t>Jianheng New Energy Fund</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6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Hefei Jianxiang Investment Co., Ltd., a limited liability company duly established and existing under the Laws of the PRC, holding a business license with unified social credit code of 91340100060811593C, and with its legal representative being GUO Zhaozhi and registered office at NO. 229, Wuhan Road, Binhu New District, Hefei City (“</w:t>
            </w:r>
            <w:r>
              <w:rPr>
                <w:rFonts w:ascii="Times New Roman;Times;serif" w:hAnsi="Times New Roman;Times;serif"/>
                <w:b/>
                <w:sz w:val="20"/>
              </w:rPr>
              <w:t>Hefei Jianxiang</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6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CS Capital Co., Ltd., a limited liability company duly established and existing under the Laws of the PRC, holding a business license with unified social credit code of 91130600MA094UG35F, and with its legal representative being GAO Guohua and registered office at North Dong Ao Wei Road, Luosa Street, Rongcheng County, Baoding city, Hebei province (“</w:t>
            </w:r>
            <w:r>
              <w:rPr>
                <w:rFonts w:ascii="Times New Roman;Times;serif" w:hAnsi="Times New Roman;Times;serif"/>
                <w:b/>
                <w:sz w:val="20"/>
              </w:rPr>
              <w:t>CS Capital</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Advanced Manufacturing Industry Investment Fund II (Limited Partnership), a limited partnership duly established and existing under the Laws of the PRC, holding a business license with unified social credit code of 91320191MA1YK7YA6J, and with its executive partner being CS Capital Co., Ltd., and registered office at Room 1380, Fuying Building, No. 99 Tuanjie Road, Research and Innovation Park, Jiangbei New Area, Nanjing City (“</w:t>
            </w:r>
            <w:r>
              <w:rPr>
                <w:rFonts w:ascii="Times New Roman;Times;serif" w:hAnsi="Times New Roman;Times;serif"/>
                <w:b/>
                <w:sz w:val="20"/>
              </w:rPr>
              <w:t>Advanced Manufacturing Industry Investment Fund</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Anhui Provincial Emerging Industry Investment Co., Ltd., a limited liability company duly established and existing under the Laws of the PRC, holding a business license with unified social credit code of 9134000032543101X1, and with its legal representative being XU Xianlu and registered address at Room 301, Innovation Building, 860 Wangjiang West Road, High-tech District, Hefei City, Anhui Province (“</w:t>
            </w:r>
            <w:r>
              <w:rPr>
                <w:rFonts w:ascii="Times New Roman;Times;serif" w:hAnsi="Times New Roman;Times;serif"/>
                <w:b/>
                <w:sz w:val="20"/>
              </w:rPr>
              <w:t>Anhui High-tech Co.</w:t>
            </w:r>
            <w:r>
              <w:rPr>
                <w:rFonts w:ascii="Times New Roman;Times;serif" w:hAnsi="Times New Roman;Times;serif"/>
                <w:sz w:val="20"/>
              </w:rPr>
              <w:t>”);</w:t>
            </w:r>
          </w:p>
        </w:tc>
      </w:tr>
    </w:tbl>
    <w:tbl>
      <w:tblPr>
        <w:tblW w:w="7270" w:type="dxa"/>
        <w:jc w:val="left"/>
        <w:tblInd w:w="0" w:type="dxa"/>
        <w:tblLayout w:type="fixed"/>
        <w:tblCellMar>
          <w:top w:w="0" w:type="dxa"/>
          <w:left w:w="0" w:type="dxa"/>
          <w:bottom w:w="0" w:type="dxa"/>
          <w:right w:w="0" w:type="dxa"/>
        </w:tblCellMar>
      </w:tblPr>
      <w:tblGrid>
        <w:gridCol w:w="170"/>
        <w:gridCol w:w="7100"/>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6.</w:t>
            </w:r>
          </w:p>
        </w:tc>
        <w:tc>
          <w:tcPr>
            <w:tcW w:w="71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Anhui Emerging Industry Yuwen Weiyuan Technology Partnership Enterprise (Limited</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Partnership), a limited partnership duly established and existing under the Laws of the PRC, holding a business license with unified social credit code of 91340100MAE0UF7A30, and with its executive partner being Anhui Zhong’an Xingyuan Investment Management Co., Ltd, and registered office at Room 3921, 39</w:t>
      </w:r>
      <w:r>
        <w:rPr>
          <w:rFonts w:ascii="Times New Roman;Times;serif" w:hAnsi="Times New Roman;Times;serif"/>
          <w:sz w:val="15"/>
        </w:rPr>
        <w:t>th</w:t>
      </w:r>
      <w:r>
        <w:rPr>
          <w:rFonts w:ascii="Times New Roman;Times;serif" w:hAnsi="Times New Roman;Times;serif"/>
          <w:sz w:val="20"/>
        </w:rPr>
        <w:t xml:space="preserve"> Floor, NO.A1 Building, Zhong’an Chuanggu Science and Technology Park, No. 920 Wangjiang West Road, Chengxiqiao Community Service Center, High-tech Zone, Hefei City, Anhui Province (“</w:t>
      </w:r>
      <w:r>
        <w:rPr>
          <w:rFonts w:ascii="Times New Roman;Times;serif" w:hAnsi="Times New Roman;Times;serif"/>
          <w:b/>
          <w:sz w:val="20"/>
        </w:rPr>
        <w:t>Anhui Emerging Industry Yuwen Weiyuan Technology</w:t>
      </w:r>
      <w:r>
        <w:rPr>
          <w:rFonts w:ascii="Times New Roman;Times;serif" w:hAnsi="Times New Roman;Times;serif"/>
          <w:sz w:val="20"/>
        </w:rPr>
        <w:t>”);</w:t>
      </w:r>
    </w:p>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7.</w:t>
            </w:r>
          </w:p>
        </w:tc>
        <w:tc>
          <w:tcPr>
            <w:tcW w:w="100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Anhui Provincial Sanzhong Yichuang Industry Development Fund Co., Ltd., a limited liability company duly established and existing under the Laws of the PRC, holding a business license with unified social credit code of 91340100MA2NUJ2A1H, and with its legal representative being XU Xianlu, and registered address at Room 424, Technology and Innovation Center, No. 860 West Wangjiang Road, High-tech District, Hefei City (“</w:t>
            </w:r>
            <w:r>
              <w:rPr>
                <w:rFonts w:ascii="Times New Roman;Times;serif" w:hAnsi="Times New Roman;Times;serif"/>
                <w:b/>
                <w:sz w:val="20"/>
              </w:rPr>
              <w:t>Anhui Sanzhong Yichuang</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8.</w:t>
            </w:r>
          </w:p>
        </w:tc>
        <w:tc>
          <w:tcPr>
            <w:tcW w:w="100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Anhui Jintong New Energy Automobile II Fund Partnership (Limited Partnership), a limited partnership duly established and existing under the Laws of the PRC, holding a business license with unified social credit code of 91340800MA2UE54B3J, and with its executive partner being Anhui JinTong New Energy II Investment Management Partnership (Limited Partnership), and registered office at Room 616-1, NO.1 Building, Zhumeng New Area, No. 188 Wenyuan Road, Yixiu District, Anqing City, Anhui Province (“</w:t>
            </w:r>
            <w:r>
              <w:rPr>
                <w:rFonts w:ascii="Times New Roman;Times;serif" w:hAnsi="Times New Roman;Times;serif"/>
                <w:b/>
                <w:sz w:val="20"/>
              </w:rPr>
              <w:t>New Energy Automobile Fund</w:t>
            </w:r>
            <w:r>
              <w:rPr>
                <w:rFonts w:ascii="Times New Roman;Times;serif" w:hAnsi="Times New Roman;Times;serif"/>
                <w:sz w:val="20"/>
              </w:rPr>
              <w:t>”, together with Jianheng New Energy Fund, Hefei Jianxiang, CS Capital and/or its designated investment entity, Advanced Manufacturing Industry Investment Fund, Anhui Emerging Industry Yuwen Weiyuan Technology and Anhui Sanzhong Yichuang, collectively referred to as the “</w:t>
            </w:r>
            <w:r>
              <w:rPr>
                <w:rFonts w:ascii="Times New Roman;Times;serif" w:hAnsi="Times New Roman;Times;serif"/>
                <w:b/>
                <w:sz w:val="20"/>
              </w:rPr>
              <w:t>Investors</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9.</w:t>
            </w:r>
          </w:p>
        </w:tc>
        <w:tc>
          <w:tcPr>
            <w:tcW w:w="1005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NIO Inc., a company duly established and existing under the Laws of the Cayman Islands, with its registered address at PO Box 309, Ugland House, Grand Cayman, KY1-1104, Cayman Islands (“</w:t>
            </w:r>
            <w:r>
              <w:rPr>
                <w:rFonts w:ascii="Times New Roman;Times;serif" w:hAnsi="Times New Roman;Times;serif"/>
                <w:b/>
                <w:sz w:val="20"/>
              </w:rPr>
              <w:t>NIO Inc.</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10.</w:t>
            </w:r>
          </w:p>
        </w:tc>
        <w:tc>
          <w:tcPr>
            <w:tcW w:w="99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Nio Nextev Limited, a private company limited by shares duly established and existing under the Laws of the Hong Kong of the PRC, with its company number of 2199750, and registered office at 30th Floor, Jardine House, Once Connaught Place, Central, Hong Kong (“</w:t>
            </w:r>
            <w:r>
              <w:rPr>
                <w:rFonts w:ascii="Times New Roman;Times;serif" w:hAnsi="Times New Roman;Times;serif"/>
                <w:b/>
                <w:sz w:val="20"/>
              </w:rPr>
              <w:t>NIO HK</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11.</w:t>
            </w:r>
          </w:p>
        </w:tc>
        <w:tc>
          <w:tcPr>
            <w:tcW w:w="99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NIO User Enterprise Limited, a private company limited by shares duly established and existing under the laws of the Hong Kong of the PRC, with its company number of 2487823 and registered office at 30th Floor, Jardine House, Once Connaught Place, Central, Hong Kong (“</w:t>
            </w:r>
            <w:r>
              <w:rPr>
                <w:rFonts w:ascii="Times New Roman;Times;serif" w:hAnsi="Times New Roman;Times;serif"/>
                <w:b/>
                <w:sz w:val="20"/>
              </w:rPr>
              <w:t>UE HK</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w:t>
            </w:r>
          </w:p>
        </w:tc>
        <w:tc>
          <w:tcPr>
            <w:tcW w:w="99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NIO Power Express Limited, a private company limited by shares duly established and existing under the Laws of the Hong Kong of the PRC, with its company number of 2472480 and registered office at 30th Floor, Jardine House, Once Connaught Place, Central, Hong Kong (“</w:t>
            </w:r>
            <w:r>
              <w:rPr>
                <w:rFonts w:ascii="Times New Roman;Times;serif" w:hAnsi="Times New Roman;Times;serif"/>
                <w:b/>
                <w:sz w:val="20"/>
              </w:rPr>
              <w:t>PE HK</w:t>
            </w:r>
            <w:r>
              <w:rPr>
                <w:rFonts w:ascii="Times New Roman;Times;serif" w:hAnsi="Times New Roman;Times;serif"/>
                <w:sz w:val="20"/>
              </w:rPr>
              <w:t>”, together with NIO HK and UE HK, the “</w:t>
            </w:r>
            <w:r>
              <w:rPr>
                <w:rFonts w:ascii="Times New Roman;Times;serif" w:hAnsi="Times New Roman;Times;serif"/>
                <w:b/>
                <w:sz w:val="20"/>
              </w:rPr>
              <w:t>NIO HK Holding Platforms</w:t>
            </w:r>
            <w:r>
              <w:rPr>
                <w:rFonts w:ascii="Times New Roman;Times;serif" w:hAnsi="Times New Roman;Times;serif"/>
                <w:sz w:val="20"/>
              </w:rPr>
              <w:t>”; together with NIO Inc., the “</w:t>
            </w:r>
            <w:r>
              <w:rPr>
                <w:rFonts w:ascii="Times New Roman;Times;serif" w:hAnsi="Times New Roman;Times;serif"/>
                <w:b/>
                <w:sz w:val="20"/>
              </w:rPr>
              <w:t>NIO Parties</w:t>
            </w:r>
            <w:r>
              <w:rPr>
                <w:rFonts w:ascii="Times New Roman;Times;serif" w:hAnsi="Times New Roman;Times;serif"/>
                <w:sz w:val="20"/>
              </w:rPr>
              <w:t>”); and</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13.</w:t>
            </w:r>
          </w:p>
        </w:tc>
        <w:tc>
          <w:tcPr>
            <w:tcW w:w="99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NIO Holding Co., Ltd., a limited liability company duly established and existing under the Laws of the PRC, holding a business license with unified social credit code of 91340111MA2RAD3M4R, and with its legal representative being LI Bin, and registered address at Building F, Hengchuang Intelligent Technology Park, No. 3963 Susong Road, Economic and Technological Development Area, Hefei City, Anhui Province (“</w:t>
            </w:r>
            <w:r>
              <w:rPr>
                <w:rFonts w:ascii="Times New Roman;Times;serif" w:hAnsi="Times New Roman;Times;serif"/>
                <w:b/>
                <w:sz w:val="20"/>
              </w:rPr>
              <w:t>NIO China</w:t>
            </w:r>
            <w:r>
              <w:rPr>
                <w:rFonts w:ascii="Times New Roman;Times;serif" w:hAnsi="Times New Roman;Times;serif"/>
                <w:sz w:val="20"/>
              </w:rPr>
              <w:t>”, or the “</w:t>
            </w:r>
            <w:r>
              <w:rPr>
                <w:rFonts w:ascii="Times New Roman;Times;serif" w:hAnsi="Times New Roman;Times;serif"/>
                <w:b/>
                <w:sz w:val="20"/>
              </w:rPr>
              <w:t>Target Company</w:t>
            </w:r>
            <w:r>
              <w:rPr>
                <w:rFonts w:ascii="Times New Roman;Times;serif" w:hAnsi="Times New Roman;Times;serif"/>
                <w:sz w:val="20"/>
              </w:rPr>
              <w:t>”, or the “</w:t>
            </w:r>
            <w:r>
              <w:rPr>
                <w:rFonts w:ascii="Times New Roman;Times;serif" w:hAnsi="Times New Roman;Times;serif"/>
                <w:b/>
                <w:sz w:val="20"/>
              </w:rPr>
              <w:t>Company”</w:t>
            </w:r>
            <w:r>
              <w:rPr>
                <w:rFonts w:ascii="Times New Roman;Times;serif" w:hAnsi="Times New Roman;Times;serif"/>
                <w:sz w:val="20"/>
              </w:rPr>
              <w: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this Amendment and Supplementary Agreement, the above Parties are referred to individually as a “</w:t>
      </w:r>
      <w:r>
        <w:rPr>
          <w:rFonts w:ascii="Times New Roman;Times;serif" w:hAnsi="Times New Roman;Times;serif"/>
          <w:b/>
          <w:sz w:val="20"/>
        </w:rPr>
        <w:t>Party</w:t>
      </w:r>
      <w:r>
        <w:rPr>
          <w:rFonts w:ascii="Times New Roman;Times;serif" w:hAnsi="Times New Roman;Times;serif"/>
          <w:sz w:val="20"/>
        </w:rPr>
        <w:t>” and collectively as the “</w:t>
      </w:r>
      <w:r>
        <w:rPr>
          <w:rFonts w:ascii="Times New Roman;Times;serif" w:hAnsi="Times New Roman;Times;serif"/>
          <w:b/>
          <w:sz w:val="20"/>
        </w:rPr>
        <w:t>Parties</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Except as otherwise provided in this Amendment and Supplementary Agreement, the terms in this Amendment and Supplementary Agreement shall bear the same meaning and be subject to the same rule of interpretation as given in the Shareholders Agreement (as defined below).</w:t>
      </w:r>
    </w:p>
    <w:p>
      <w:pPr>
        <w:pStyle w:val="TextBody"/>
        <w:pBdr/>
        <w:bidi w:val="0"/>
        <w:spacing w:before="0" w:after="240"/>
        <w:ind w:left="2" w:right="0" w:hanging="350"/>
        <w:jc w:val="both"/>
        <w:rPr>
          <w:rFonts w:ascii="Times New Roman;Times;serif" w:hAnsi="Times New Roman;Times;serif"/>
          <w:b/>
          <w:sz w:val="20"/>
        </w:rPr>
      </w:pPr>
      <w:r>
        <w:rPr>
          <w:rFonts w:ascii="Times New Roman;Times;serif" w:hAnsi="Times New Roman;Times;serif"/>
          <w:b/>
          <w:sz w:val="20"/>
        </w:rPr>
        <w:t>WHEREAS:</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1005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Company, NIO HK Holding Platforms, NIO Inc., CS Capital, Anhui High-tech Co. and Jianheng New Energy Fund entered into a NIO China Series B Investment Agreement (the “</w:t>
            </w:r>
            <w:r>
              <w:rPr>
                <w:rFonts w:ascii="Times New Roman;Times;serif" w:hAnsi="Times New Roman;Times;serif"/>
                <w:b/>
                <w:sz w:val="20"/>
              </w:rPr>
              <w:t>Series B Investment Agreement</w:t>
            </w:r>
            <w:r>
              <w:rPr>
                <w:rFonts w:ascii="Times New Roman;Times;serif" w:hAnsi="Times New Roman;Times;serif"/>
                <w:sz w:val="20"/>
              </w:rPr>
              <w:t>”) on September 30, 2024;</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Company, NIO HK Holding Platforms, NIO Inc., CS Capital, Anhui High-tech Co., Jianheng New Energy Fund, Advanced Manufacturing Industry Investment Fund, Anhui Sanzhong Yichuang, and New Energy Automobile Fund entered into a NIO China Shareholders Agreement (the “</w:t>
            </w:r>
            <w:r>
              <w:rPr>
                <w:rFonts w:ascii="Times New Roman;Times;serif" w:hAnsi="Times New Roman;Times;serif"/>
                <w:b/>
                <w:sz w:val="20"/>
              </w:rPr>
              <w:t>Shareholders Agreement</w:t>
            </w:r>
            <w:r>
              <w:rPr>
                <w:rFonts w:ascii="Times New Roman;Times;serif" w:hAnsi="Times New Roman;Times;serif"/>
                <w:sz w:val="20"/>
              </w:rPr>
              <w:t>”) on September 30, 2024;</w:t>
            </w:r>
          </w:p>
        </w:tc>
      </w:tr>
    </w:tbl>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Jianheng New Energy Fund hereby designates Hefei Jianxiang to succeed to all of its rights and obligations as a Series B Investor under the Shareholders Agreement, as well as the nomination right of an Investor Director, in accordance with this Amendment and Supplementary Agreement, and Hefei Jianxiang agrees to succeed to such rights and obligations in accordance with this Amendment and Supplementary Agreement. Anhui High-tech Co. hereby designates Anhui Emerging Industry Yuwen Weiyuan Technology to succeed to all of its rights and obligations as a Series B Investor under the Shareholders Agreement in accordance with this Amendment and Supplementary Agreement, and Anhui Emerging Industry Yuwen Weiyuan Technology agrees to succeed to such rights and obligations in accordance with this Amendment and Supplementary Agreement; 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Parties hereby unanimously agree to make certain amendments and supplements to certain provisions of the Shareholders Agreement in accordance with this Amendment and Supplementary Agreement.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NOW, THEREFORE, the Parties hereby unanimously agree and acknowledge that Hefei Jianxiang and Anhui Emerging Industry Yuwen Weiyuan Technology shall become parties to the Shareholders Agreement by executing this Amendment and Supplementary Agreement. The Parties further unanimously agree to the following provisions:</w:t>
      </w:r>
    </w:p>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1005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Jianheng New Energy Fund hereby designates Hefei Jianxiang to succeed to all of its rights and obligations under the Shareholders Agreement, as well as the nomination right of an</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420" w:right="0" w:hanging="0"/>
        <w:jc w:val="both"/>
        <w:rPr>
          <w:rFonts w:ascii="Times New Roman;Times;serif" w:hAnsi="Times New Roman;Times;serif"/>
          <w:sz w:val="20"/>
        </w:rPr>
      </w:pPr>
      <w:r>
        <w:rPr>
          <w:rFonts w:ascii="Times New Roman;Times;serif" w:hAnsi="Times New Roman;Times;serif"/>
          <w:sz w:val="20"/>
        </w:rPr>
        <w:t>Investor Director, corresponding to its subscription of RMB 2,000,000,000 of capital increase price to the Target Company (representing RMB 285,725,412.19 of the Target Company’s newly increased registered capital) under the Series B Investment Agreement, in accordance with this Amendment and Supplementary Agreement, and Hefei Jianxiang agrees to succeed to such rights and obligations in accordance with this Amendment and Supplementary Agreement. Anhui High-tech Co. hereby designates Anhui Emerging Industry Yuwen Weiyuan Technology to succeed to all of its rights and obligations under the Shareholders Agreement, corresponding to its subscription of RMB 800,000,000.00 capital increase price to the Target Company (representing RMB 114,290,056.88 of the Target Company’s newly increased registered capital) under the Series B Investment Agreement, in accordance with this Amendment and Supplementary Agreement, and Anhui Emerging Industry Yuwen Weiyuan Technology agrees to succeed to such rights and obligations in accordance with this Amendment and Supplementary Agreement.</w:t>
      </w:r>
    </w:p>
    <w:tbl>
      <w:tblPr>
        <w:tblW w:w="8005" w:type="dxa"/>
        <w:jc w:val="left"/>
        <w:tblInd w:w="0" w:type="dxa"/>
        <w:tblLayout w:type="fixed"/>
        <w:tblCellMar>
          <w:top w:w="0" w:type="dxa"/>
          <w:left w:w="0" w:type="dxa"/>
          <w:bottom w:w="0" w:type="dxa"/>
          <w:right w:w="0" w:type="dxa"/>
        </w:tblCellMar>
      </w:tblPr>
      <w:tblGrid>
        <w:gridCol w:w="170"/>
        <w:gridCol w:w="783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78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Certain definitions under the Shareholders Agreement shall be amended as follows, respectively:</w:t>
            </w:r>
          </w:p>
        </w:tc>
      </w:tr>
    </w:tbl>
    <w:tbl>
      <w:tblPr>
        <w:tblW w:w="10205" w:type="dxa"/>
        <w:jc w:val="left"/>
        <w:tblInd w:w="0" w:type="dxa"/>
        <w:tblLayout w:type="fixed"/>
        <w:tblCellMar>
          <w:top w:w="28" w:type="dxa"/>
          <w:left w:w="28" w:type="dxa"/>
          <w:bottom w:w="28" w:type="dxa"/>
          <w:right w:w="28" w:type="dxa"/>
        </w:tblCellMar>
      </w:tblPr>
      <w:tblGrid>
        <w:gridCol w:w="1185"/>
        <w:gridCol w:w="616"/>
        <w:gridCol w:w="8404"/>
      </w:tblGrid>
      <w:tr>
        <w:trPr/>
        <w:tc>
          <w:tcPr>
            <w:tcW w:w="11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40" w:after="240"/>
              <w:ind w:left="0" w:right="0" w:hanging="0"/>
              <w:jc w:val="both"/>
              <w:rPr>
                <w:rFonts w:ascii="Times New Roman;Times;serif" w:hAnsi="Times New Roman;Times;serif"/>
                <w:sz w:val="20"/>
              </w:rPr>
            </w:pPr>
            <w:r>
              <w:rPr>
                <w:rFonts w:ascii="Times New Roman;Times;serif" w:hAnsi="Times New Roman;Times;serif"/>
                <w:sz w:val="20"/>
              </w:rPr>
              <w:t>Series B Investor(s)</w:t>
            </w:r>
          </w:p>
        </w:tc>
        <w:tc>
          <w:tcPr>
            <w:tcW w:w="6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40" w:after="240"/>
              <w:ind w:left="0" w:right="0" w:hanging="0"/>
              <w:jc w:val="center"/>
              <w:rPr>
                <w:rFonts w:ascii="Times New Roman;Times;serif" w:hAnsi="Times New Roman;Times;serif"/>
                <w:sz w:val="20"/>
              </w:rPr>
            </w:pPr>
            <w:r>
              <w:rPr>
                <w:rFonts w:ascii="Times New Roman;Times;serif" w:hAnsi="Times New Roman;Times;serif"/>
                <w:sz w:val="20"/>
              </w:rPr>
              <w:t>means</w:t>
            </w:r>
          </w:p>
        </w:tc>
        <w:tc>
          <w:tcPr>
            <w:tcW w:w="840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40" w:after="240"/>
              <w:jc w:val="both"/>
              <w:rPr>
                <w:rFonts w:ascii="Times New Roman;Times;serif" w:hAnsi="Times New Roman;Times;serif"/>
                <w:sz w:val="20"/>
              </w:rPr>
            </w:pPr>
            <w:r>
              <w:rPr>
                <w:rFonts w:ascii="Times New Roman;Times;serif" w:hAnsi="Times New Roman;Times;serif"/>
                <w:sz w:val="20"/>
              </w:rPr>
              <w:t>1.</w:t>
            </w:r>
          </w:p>
          <w:p>
            <w:pPr>
              <w:pStyle w:val="TableContents"/>
              <w:bidi w:val="0"/>
              <w:spacing w:before="40" w:after="240"/>
              <w:jc w:val="both"/>
              <w:rPr>
                <w:rFonts w:ascii="Times New Roman;Times;serif" w:hAnsi="Times New Roman;Times;serif"/>
                <w:sz w:val="20"/>
              </w:rPr>
            </w:pPr>
            <w:r>
              <w:rPr>
                <w:rFonts w:ascii="Times New Roman;Times;serif" w:hAnsi="Times New Roman;Times;serif"/>
                <w:sz w:val="20"/>
              </w:rPr>
              <w:t>Hefei Jianxiang shall be referred to as the “Series B Investor” with respect to RMB 285,725,142.19 in the registered capital of the Target Company held by it pursuant to this Transaction;</w:t>
            </w:r>
          </w:p>
          <w:p>
            <w:pPr>
              <w:pStyle w:val="TableContents"/>
              <w:bidi w:val="0"/>
              <w:spacing w:before="40" w:after="240"/>
              <w:jc w:val="both"/>
              <w:rPr>
                <w:rFonts w:ascii="Times New Roman;Times;serif" w:hAnsi="Times New Roman;Times;serif"/>
                <w:sz w:val="20"/>
              </w:rPr>
            </w:pPr>
            <w:r>
              <w:rPr>
                <w:rFonts w:ascii="Times New Roman;Times;serif" w:hAnsi="Times New Roman;Times;serif"/>
                <w:sz w:val="20"/>
              </w:rPr>
              <w:t>2.</w:t>
            </w:r>
          </w:p>
          <w:p>
            <w:pPr>
              <w:pStyle w:val="TableContents"/>
              <w:bidi w:val="0"/>
              <w:spacing w:before="40" w:after="240"/>
              <w:jc w:val="both"/>
              <w:rPr>
                <w:rFonts w:ascii="Times New Roman;Times;serif" w:hAnsi="Times New Roman;Times;serif"/>
                <w:sz w:val="20"/>
              </w:rPr>
            </w:pPr>
            <w:r>
              <w:rPr>
                <w:rFonts w:ascii="Times New Roman;Times;serif" w:hAnsi="Times New Roman;Times;serif"/>
                <w:sz w:val="20"/>
              </w:rPr>
              <w:t>CS Capital and/or its designated investment entity shall be referred to as the “Series B Investor” with respect to RMB 71,431,285.54 in the registered capital of the Target Company held by it pursuant to this Transaction;</w:t>
            </w:r>
          </w:p>
          <w:p>
            <w:pPr>
              <w:pStyle w:val="TableContents"/>
              <w:bidi w:val="0"/>
              <w:spacing w:before="40" w:after="240"/>
              <w:jc w:val="both"/>
              <w:rPr>
                <w:rFonts w:ascii="Times New Roman;Times;serif" w:hAnsi="Times New Roman;Times;serif"/>
                <w:sz w:val="20"/>
              </w:rPr>
            </w:pPr>
            <w:r>
              <w:rPr>
                <w:rFonts w:ascii="Times New Roman;Times;serif" w:hAnsi="Times New Roman;Times;serif"/>
                <w:sz w:val="20"/>
              </w:rPr>
              <w:t>3.</w:t>
            </w:r>
          </w:p>
          <w:p>
            <w:pPr>
              <w:pStyle w:val="TableContents"/>
              <w:bidi w:val="0"/>
              <w:spacing w:before="40" w:after="240"/>
              <w:jc w:val="both"/>
              <w:rPr>
                <w:rFonts w:ascii="Times New Roman;Times;serif" w:hAnsi="Times New Roman;Times;serif"/>
                <w:sz w:val="20"/>
              </w:rPr>
            </w:pPr>
            <w:r>
              <w:rPr>
                <w:rFonts w:ascii="Times New Roman;Times;serif" w:hAnsi="Times New Roman;Times;serif"/>
                <w:sz w:val="20"/>
              </w:rPr>
              <w:t>Anhui Emerging Industry Yuwen Weiyuan Technology shall be referred to as the “Series B Investor” with respect to RMB 114,290,056.88 in the registered capital of the Target Company held by it pursuant to this Transaction.</w:t>
            </w:r>
          </w:p>
        </w:tc>
      </w:tr>
    </w:tbl>
    <w:p>
      <w:pPr>
        <w:pStyle w:val="TextBody"/>
        <w:bidi w:val="0"/>
        <w:spacing w:before="0" w:after="0"/>
        <w:ind w:left="0" w:right="0" w:hanging="0"/>
        <w:jc w:val="left"/>
        <w:rPr/>
      </w:pPr>
      <w:r>
        <w:rPr/>
        <w:t>​</w:t>
      </w:r>
    </w:p>
    <w:tbl>
      <w:tblPr>
        <w:tblW w:w="9145" w:type="dxa"/>
        <w:jc w:val="left"/>
        <w:tblInd w:w="0" w:type="dxa"/>
        <w:tblLayout w:type="fixed"/>
        <w:tblCellMar>
          <w:top w:w="0" w:type="dxa"/>
          <w:left w:w="0" w:type="dxa"/>
          <w:bottom w:w="0" w:type="dxa"/>
          <w:right w:w="0" w:type="dxa"/>
        </w:tblCellMar>
      </w:tblPr>
      <w:tblGrid>
        <w:gridCol w:w="170"/>
        <w:gridCol w:w="897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89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Article 2.1 of the Shareholders Agreement “Shareholders of the Target Company” shall be amended as follows: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After the completion of this Transaction, the shareholders of the Target Company (the “</w:t>
      </w:r>
      <w:r>
        <w:rPr>
          <w:rFonts w:ascii="Times New Roman;Times;serif" w:hAnsi="Times New Roman;Times;serif"/>
          <w:b/>
          <w:sz w:val="20"/>
        </w:rPr>
        <w:t>Shareholders</w:t>
      </w:r>
      <w:r>
        <w:rPr>
          <w:rFonts w:ascii="Times New Roman;Times;serif" w:hAnsi="Times New Roman;Times;serif"/>
          <w:sz w:val="20"/>
        </w:rPr>
        <w:t>”) shall be as follows:</w:t>
      </w:r>
    </w:p>
    <w:tbl>
      <w:tblPr>
        <w:tblW w:w="10205" w:type="dxa"/>
        <w:jc w:val="left"/>
        <w:tblInd w:w="0" w:type="dxa"/>
        <w:tblLayout w:type="fixed"/>
        <w:tblCellMar>
          <w:top w:w="0" w:type="dxa"/>
          <w:left w:w="0" w:type="dxa"/>
          <w:bottom w:w="0" w:type="dxa"/>
          <w:right w:w="0" w:type="dxa"/>
        </w:tblCellMar>
      </w:tblPr>
      <w:tblGrid>
        <w:gridCol w:w="721"/>
        <w:gridCol w:w="9484"/>
      </w:tblGrid>
      <w:tr>
        <w:trPr/>
        <w:tc>
          <w:tcPr>
            <w:tcW w:w="721" w:type="dxa"/>
            <w:tcBorders/>
            <w:vAlign w:val="center"/>
          </w:tcPr>
          <w:p>
            <w:pPr>
              <w:pStyle w:val="TableContents"/>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NIO HK:</w:t>
            </w:r>
          </w:p>
        </w:tc>
        <w:tc>
          <w:tcPr>
            <w:tcW w:w="9484"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Nio Nextev Limited</w:t>
            </w:r>
            <w:r>
              <w:rPr>
                <w:rFonts w:ascii="Times New Roman;Times;serif" w:hAnsi="Times New Roman;Times;serif"/>
                <w:sz w:val="20"/>
              </w:rPr>
              <w:t>, a company established and existing under the Laws of Hong Kong, the PRC, with its office at 30th Floor, Jardine House, Once Connaught Place, Central, Hong Kong.</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85"/>
        <w:gridCol w:w="8220"/>
      </w:tblGrid>
      <w:tr>
        <w:trPr/>
        <w:tc>
          <w:tcPr>
            <w:tcW w:w="1985" w:type="dxa"/>
            <w:tcBorders/>
            <w:vAlign w:val="center"/>
          </w:tcPr>
          <w:p>
            <w:pPr>
              <w:pStyle w:val="TableContents"/>
              <w:bidi w:val="0"/>
              <w:spacing w:before="0" w:after="240"/>
              <w:ind w:left="0" w:right="0" w:hanging="0"/>
              <w:jc w:val="both"/>
              <w:rPr/>
            </w:pPr>
            <w:r>
              <w:rPr/>
              <w:t>​</w:t>
            </w:r>
          </w:p>
        </w:tc>
        <w:tc>
          <w:tcPr>
            <w:tcW w:w="8220"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Authorized Representative: LI Bin</w:t>
            </w:r>
          </w:p>
        </w:tc>
      </w:tr>
      <w:tr>
        <w:trPr/>
        <w:tc>
          <w:tcPr>
            <w:tcW w:w="1985" w:type="dxa"/>
            <w:tcBorders/>
            <w:vAlign w:val="center"/>
          </w:tcPr>
          <w:p>
            <w:pPr>
              <w:pStyle w:val="TableContents"/>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UE HK:</w:t>
            </w:r>
          </w:p>
        </w:tc>
        <w:tc>
          <w:tcPr>
            <w:tcW w:w="8220"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NIO User Enterprise Limited</w:t>
            </w:r>
            <w:r>
              <w:rPr>
                <w:rFonts w:ascii="Times New Roman;Times;serif" w:hAnsi="Times New Roman;Times;serif"/>
                <w:sz w:val="20"/>
              </w:rPr>
              <w:t>, a company established and existing under the Laws of Hong Kong, the PRC, with its office at 30th Floor, Jardine House, Once Connaught Place, Central, Hong Kong.</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Authorized Representative: LI Bin</w:t>
            </w:r>
          </w:p>
        </w:tc>
      </w:tr>
      <w:tr>
        <w:trPr/>
        <w:tc>
          <w:tcPr>
            <w:tcW w:w="1985" w:type="dxa"/>
            <w:tcBorders/>
            <w:vAlign w:val="center"/>
          </w:tcPr>
          <w:p>
            <w:pPr>
              <w:pStyle w:val="TableContents"/>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PE HK:</w:t>
            </w:r>
          </w:p>
        </w:tc>
        <w:tc>
          <w:tcPr>
            <w:tcW w:w="8220"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NIO Power Express Limited</w:t>
            </w:r>
            <w:r>
              <w:rPr>
                <w:rFonts w:ascii="Times New Roman;Times;serif" w:hAnsi="Times New Roman;Times;serif"/>
                <w:sz w:val="20"/>
              </w:rPr>
              <w:t>, a company established and existing under the Laws of Hong Kong, the PRC, with its office at 30th Floor, Jardine House, Once Connaught Place, Central, Hong Kong.</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Authorized Representative: LI Bin</w:t>
            </w:r>
          </w:p>
        </w:tc>
      </w:tr>
      <w:tr>
        <w:trPr/>
        <w:tc>
          <w:tcPr>
            <w:tcW w:w="1985" w:type="dxa"/>
            <w:tcBorders/>
            <w:vAlign w:val="center"/>
          </w:tcPr>
          <w:p>
            <w:pPr>
              <w:pStyle w:val="TableContents"/>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Jianheng New Energy Fund:</w:t>
            </w:r>
          </w:p>
        </w:tc>
        <w:tc>
          <w:tcPr>
            <w:tcW w:w="8220"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Hefei Jianheng New Energy Automobile Investment Fund Partnership (Limited Partnership), a limited partnership established and existing under the Laws of the PRC, with its registered address at Room 101, Area G, Intelligent Equipment Technology Park, No. 3963 Susong Road, Economic and Technological Development Area, Hefei City, Anhui Province, and a unified social credit code of 91340111MA2UU69EX8.</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Executive Partner: Hefei Construction Investment Capital Management Co., Ltd.</w:t>
            </w:r>
          </w:p>
        </w:tc>
      </w:tr>
      <w:tr>
        <w:trPr/>
        <w:tc>
          <w:tcPr>
            <w:tcW w:w="1985" w:type="dxa"/>
            <w:tcBorders/>
            <w:vAlign w:val="center"/>
          </w:tcPr>
          <w:p>
            <w:pPr>
              <w:pStyle w:val="TableContents"/>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Hefei Jianxiang:</w:t>
            </w:r>
          </w:p>
        </w:tc>
        <w:tc>
          <w:tcPr>
            <w:tcW w:w="8220"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Hefei Jianxiang Investment Co., Ltd., a limited liability company duly established and existing under the Laws of the PRC, with its registered office at NO. 229, Wuhan Road, Binhu New District, Hefei City, and a unified social credit code of 91340100060811593C.</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Legal Representative: GUO Zhaozhi</w:t>
            </w:r>
          </w:p>
        </w:tc>
      </w:tr>
      <w:tr>
        <w:trPr/>
        <w:tc>
          <w:tcPr>
            <w:tcW w:w="1985" w:type="dxa"/>
            <w:tcBorders/>
            <w:vAlign w:val="center"/>
          </w:tcPr>
          <w:p>
            <w:pPr>
              <w:pStyle w:val="TableContents"/>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CS Capital:</w:t>
            </w:r>
          </w:p>
        </w:tc>
        <w:tc>
          <w:tcPr>
            <w:tcW w:w="8220"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CS Capital Co., Ltd.</w:t>
            </w:r>
            <w:r>
              <w:rPr>
                <w:rFonts w:ascii="Times New Roman;Times;serif" w:hAnsi="Times New Roman;Times;serif"/>
                <w:sz w:val="20"/>
              </w:rPr>
              <w:t>, a limited liability company duly established and existing under the Laws of the PRC, and registered office at North Dong Ao Wei Road, Luosa Street, Rongcheng County, Baoding city, Hebei province, and a unified social credit code of 91130600MA094UG35F.</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Legal Representative: GAO Guohua</w:t>
            </w:r>
          </w:p>
        </w:tc>
      </w:tr>
      <w:tr>
        <w:trPr/>
        <w:tc>
          <w:tcPr>
            <w:tcW w:w="1985" w:type="dxa"/>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Advanced Manufacturing Industry Investment Fund:</w:t>
            </w:r>
          </w:p>
        </w:tc>
        <w:tc>
          <w:tcPr>
            <w:tcW w:w="8220"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Advanced Manufacturing Industry Investment Fund II (Limited Partnership), a limited partnership established and existing under the Laws of the PRC, with its registered address at Room 1380, Fuying Building, No. 99 Tuanjie Road, Research and Innovation Park, Jiangbei New Area, Nanjing City, and a unified social credit code of 91320191MA1YK7YA6J.</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Executive Partner: CS Capital Co., Ltd.</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46"/>
        <w:gridCol w:w="8459"/>
      </w:tblGrid>
      <w:tr>
        <w:trPr/>
        <w:tc>
          <w:tcPr>
            <w:tcW w:w="1746" w:type="dxa"/>
            <w:tcBorders/>
            <w:vAlign w:val="center"/>
          </w:tcPr>
          <w:p>
            <w:pPr>
              <w:pStyle w:val="TableContents"/>
              <w:bidi w:val="0"/>
              <w:spacing w:before="0" w:after="0"/>
              <w:ind w:left="0" w:right="0" w:hanging="0"/>
              <w:jc w:val="left"/>
              <w:rPr/>
            </w:pPr>
            <w:r>
              <w:rPr/>
              <w:t>​</w:t>
            </w:r>
          </w:p>
        </w:tc>
        <w:tc>
          <w:tcPr>
            <w:tcW w:w="8459" w:type="dxa"/>
            <w:tcBorders/>
            <w:vAlign w:val="center"/>
          </w:tcPr>
          <w:p>
            <w:pPr>
              <w:pStyle w:val="TableContents"/>
              <w:bidi w:val="0"/>
              <w:spacing w:before="0" w:after="240"/>
              <w:ind w:left="0" w:right="0" w:hanging="0"/>
              <w:jc w:val="both"/>
              <w:rPr/>
            </w:pPr>
            <w:r>
              <w:rPr/>
              <w:t>​</w:t>
            </w:r>
          </w:p>
          <w:p>
            <w:pPr>
              <w:pStyle w:val="TableContents"/>
              <w:bidi w:val="0"/>
              <w:spacing w:before="0" w:after="0"/>
              <w:ind w:left="0" w:right="0" w:hanging="0"/>
              <w:jc w:val="left"/>
              <w:rPr/>
            </w:pPr>
            <w:r>
              <w:rPr/>
              <w:t>​</w:t>
            </w:r>
          </w:p>
        </w:tc>
      </w:tr>
      <w:tr>
        <w:trPr/>
        <w:tc>
          <w:tcPr>
            <w:tcW w:w="1746" w:type="dxa"/>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Anhui Emerging Industry Yuwen Weiyuan Technology:</w:t>
            </w:r>
          </w:p>
        </w:tc>
        <w:tc>
          <w:tcPr>
            <w:tcW w:w="8459"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Anhui Emerging Industry Yuwen Weiyuan Technology Partnership Enterprise (Limited Partnership), a limited partnership duly established and existing under the Laws of the PRC, with its registered office at Room 3921, 39th Floor, NO.A1 Building, Zhong’an Chuanggu Science and Technology Park, No. 920 Wangjiang West Road, Chengxiqiao Community Service Center, High-tech Zone, Hefei City, Anhui Province, and a unified social credit code of 91340100MAE0UF7A30.</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Executive Partner: Anhui Zhong’an Xingyuan Investment Management Co., Ltd. </w:t>
            </w:r>
          </w:p>
        </w:tc>
      </w:tr>
      <w:tr>
        <w:trPr/>
        <w:tc>
          <w:tcPr>
            <w:tcW w:w="1746" w:type="dxa"/>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Anhui Sanzhong Yichuang:</w:t>
            </w:r>
          </w:p>
        </w:tc>
        <w:tc>
          <w:tcPr>
            <w:tcW w:w="8459"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Anhui Provincial Sanzhong Yichuang Industry Development Fund Co., Ltd., a limited liability company duly established and existing under the Laws of the PRC, with its registered address at Room 424, Technology and Innovation Center, No. 860 West Wangjiang Road, High-tech District, Hefei City, and a unified social credit code of 91340100MA2NUJ2A1H.</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Legal Representative: XU Xianlu</w:t>
            </w:r>
          </w:p>
        </w:tc>
      </w:tr>
      <w:tr>
        <w:trPr/>
        <w:tc>
          <w:tcPr>
            <w:tcW w:w="1746" w:type="dxa"/>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New Energy Automobile Fund:</w:t>
            </w:r>
          </w:p>
        </w:tc>
        <w:tc>
          <w:tcPr>
            <w:tcW w:w="8459"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Anhui Jintong New Energy Automobile II Fund Partnership (Limited Partnership), a limited partnership duly established and existing under the Laws of the PRC, with its registered address at Room 616-1, NO.1 Building, Zhumeng New Area, No. 188 Wenyuan Road, Yixiu District, Anqing City, Anhui Province, and a unified social credit code of 91340800MA2UE54B3J.</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Executive Partner: Anhui JinTong New Energy II Investment Management Partnership (Limited Partnership)</w:t>
            </w:r>
          </w:p>
        </w:tc>
      </w:tr>
    </w:tbl>
    <w:p>
      <w:pPr>
        <w:pStyle w:val="TextBody"/>
        <w:bidi w:val="0"/>
        <w:spacing w:before="0" w:after="0"/>
        <w:ind w:left="0" w:right="0" w:hanging="0"/>
        <w:jc w:val="left"/>
        <w:rPr/>
      </w:pPr>
      <w:r>
        <w:rPr/>
        <w:t>​</w:t>
      </w:r>
    </w:p>
    <w:tbl>
      <w:tblPr>
        <w:tblW w:w="7690" w:type="dxa"/>
        <w:jc w:val="left"/>
        <w:tblInd w:w="0" w:type="dxa"/>
        <w:tblLayout w:type="fixed"/>
        <w:tblCellMar>
          <w:top w:w="0" w:type="dxa"/>
          <w:left w:w="0" w:type="dxa"/>
          <w:bottom w:w="0" w:type="dxa"/>
          <w:right w:w="0" w:type="dxa"/>
        </w:tblCellMar>
      </w:tblPr>
      <w:tblGrid>
        <w:gridCol w:w="170"/>
        <w:gridCol w:w="7520"/>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75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Article 5.1 of the Shareholders Agreement “Registered Capital” shall be amended as follows: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After the completion of this Transaction, the registered capital of the Target Company shall be RMB 8,328,887,894.87, of which:</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5.1.1</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NIO HK shall subscribe to RMB 5,721,972,155.78, representing 68.70% of the registered capital of the Target Company, of which RMB 372,632,867.14 shall be contributed in cash in RMB, RMB 2,293,891,006.40 shall be contributed in the form of equity interests in NIO Co., Ltd., RMB 1,441,454,545.44 shall be contributed in cash in RMB or in cash in equivalent USD, RMB 239,639,258.59 shall be contributed in the form of intellectual property rights, RMB 262,237,762.24 shall be contributed in cash in RMB, and RMB 1,112,116,715.97 shall be contributed in cash in RMB;</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5.1.2</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UE HK shall subscribe to RMB 1,554,211,385.12, representing 18.66% of the registered capital of the Target Company, of which RMB 5,500,000 shall be contributed in cash in RMB, RMB 744,755,244.76 shall be contributed in cash</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hanging="0"/>
        <w:jc w:val="both"/>
        <w:rPr>
          <w:rFonts w:ascii="Times New Roman;Times;serif" w:hAnsi="Times New Roman;Times;serif"/>
          <w:sz w:val="20"/>
        </w:rPr>
      </w:pPr>
      <w:r>
        <w:rPr>
          <w:rFonts w:ascii="Times New Roman;Times;serif" w:hAnsi="Times New Roman;Times;serif"/>
          <w:sz w:val="20"/>
        </w:rPr>
        <w:t>in USD equivalent, and RMB 501,881,188.84 shall be contributed in the form of equity interests in NIO Sales and Services Co., Ltd., and RMB 302,074,951.52 shall be contributed in cash in RMB;</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5.1.3</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PE HK shall subscribe to RMB 74,264,862.35, representing 0.89% of the registered capital of the Target Company, of which RMB 59,830,818.88 shall be contributed in the form of equity interests in NIO Energy Investment (Hubei) Co., Ltd., and RMB 14,434,043.47 shall be contributed in cash in RMB;</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5.1.4</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Advanced Manufacturing Industry Investment Fund shall subscribe to RMB 157,342,657.35, representing 1.89% of the registered capital of the Target Company, which shall be contributed in cash in RMB;</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5.1.5</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CS Capital and/or its designated investment entity shall subscribe to RMB 71,431,285.54, representing 0.86% of the registered capital of the Target Company, which shall be contributed in cash in RMB;</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5.1.6</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Anhui Sanzhong Yichuang shall subscribe to RMB 52,447,552.45, representing 0.63% of the registered capital of the Target Company, which shall be contributed in cash in RMB;</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5.1.7</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New Energy Automobile Fund shall subscribe to RMB 34,965,034.97, representing 0.42% of the registered capital of the Target Company, which shall be contributed in cash in RMB;</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5.1.8</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Jianheng New Energy Fund shall subscribe to RMB 262,237,762.24, representing 3.15% of the registered capital of the Target Company, which shall be contributed in cash in RMB;</w:t>
            </w:r>
          </w:p>
        </w:tc>
      </w:tr>
    </w:tbl>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5.1.9</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Hefei Jianxiang shall subscribe to RMB 285,725,142.19, representing 3.43% of the registered capital of the Target Company, which shall be contributed in cash in RMB;</w:t>
            </w:r>
          </w:p>
        </w:tc>
      </w:tr>
    </w:tbl>
    <w:tbl>
      <w:tblPr>
        <w:tblW w:w="10205" w:type="dxa"/>
        <w:jc w:val="left"/>
        <w:tblInd w:w="0" w:type="dxa"/>
        <w:tblLayout w:type="fixed"/>
        <w:tblCellMar>
          <w:top w:w="0" w:type="dxa"/>
          <w:left w:w="0" w:type="dxa"/>
          <w:bottom w:w="0" w:type="dxa"/>
          <w:right w:w="0" w:type="dxa"/>
        </w:tblCellMar>
      </w:tblPr>
      <w:tblGrid>
        <w:gridCol w:w="23"/>
        <w:gridCol w:w="530"/>
        <w:gridCol w:w="9652"/>
      </w:tblGrid>
      <w:tr>
        <w:trPr/>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5.1.10</w:t>
            </w:r>
          </w:p>
        </w:tc>
        <w:tc>
          <w:tcPr>
            <w:tcW w:w="965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Anhui Emerging Industry Yuwen Weiyuan Technology shall subscribe to RMB 114,290,056.88, representing 1.37% of the registered capital of the Target Company, which shall be contributed in cash in RMB.</w:t>
            </w:r>
          </w:p>
        </w:tc>
      </w:tr>
    </w:tbl>
    <w:tbl>
      <w:tblPr>
        <w:tblW w:w="10205" w:type="dxa"/>
        <w:jc w:val="left"/>
        <w:tblInd w:w="0" w:type="dxa"/>
        <w:tblLayout w:type="fixed"/>
        <w:tblCellMar>
          <w:top w:w="0" w:type="dxa"/>
          <w:left w:w="0" w:type="dxa"/>
          <w:bottom w:w="0" w:type="dxa"/>
          <w:right w:w="0" w:type="dxa"/>
        </w:tblCellMar>
      </w:tblPr>
      <w:tblGrid>
        <w:gridCol w:w="133"/>
        <w:gridCol w:w="10072"/>
      </w:tblGrid>
      <w:tr>
        <w:trPr/>
        <w:tc>
          <w:tcPr>
            <w:tcW w:w="13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7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Article 11.1.13 of the Shareholders Agreement shall be amended as follows: The Target Company fails to complete the overall change from a limited liability company to a joint stock limited company (the “</w:t>
            </w:r>
            <w:r>
              <w:rPr>
                <w:rFonts w:ascii="Times New Roman;Times;serif" w:hAnsi="Times New Roman;Times;serif"/>
                <w:b/>
                <w:sz w:val="20"/>
              </w:rPr>
              <w:t>Share Reform</w:t>
            </w:r>
            <w:r>
              <w:rPr>
                <w:rFonts w:ascii="Times New Roman;Times;serif" w:hAnsi="Times New Roman;Times;serif"/>
                <w:sz w:val="20"/>
              </w:rPr>
              <w:t>”) by December 31, 2026 (or other date agreed by Series A Investors and Anhui Emerging Industry Yuwen Weiyuan Technology), and the completion date of the Share Reform shall be the date on which the Target Company obtains the business license of a joint stock limited company issued by the competent administration for market regulation.</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6.</w:t>
            </w:r>
          </w:p>
        </w:tc>
        <w:tc>
          <w:tcPr>
            <w:tcW w:w="100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Article 19.2.1 of the Shareholders Agreement shall be amended as follows: The Parties unanimously agree that the board of directors (the “</w:t>
            </w:r>
            <w:r>
              <w:rPr>
                <w:rFonts w:ascii="Times New Roman;Times;serif" w:hAnsi="Times New Roman;Times;serif"/>
                <w:b/>
                <w:sz w:val="20"/>
              </w:rPr>
              <w:t>Board of Directors</w:t>
            </w:r>
            <w:r>
              <w:rPr>
                <w:rFonts w:ascii="Times New Roman;Times;serif" w:hAnsi="Times New Roman;Times;serif"/>
                <w:sz w:val="20"/>
              </w:rPr>
              <w:t>” or “</w:t>
            </w:r>
            <w:r>
              <w:rPr>
                <w:rFonts w:ascii="Times New Roman;Times;serif" w:hAnsi="Times New Roman;Times;serif"/>
                <w:b/>
                <w:sz w:val="20"/>
              </w:rPr>
              <w:t>Board</w:t>
            </w:r>
            <w:r>
              <w:rPr>
                <w:rFonts w:ascii="Times New Roman;Times;serif" w:hAnsi="Times New Roman;Times;serif"/>
                <w:sz w:val="20"/>
              </w:rPr>
              <w:t>”) of</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Target Company shall consist of seven (7) directors; the Investors shall be entitled to jointly nominate two (2) directors (the “</w:t>
      </w:r>
      <w:r>
        <w:rPr>
          <w:rFonts w:ascii="Times New Roman;Times;serif" w:hAnsi="Times New Roman;Times;serif"/>
          <w:b/>
          <w:sz w:val="20"/>
        </w:rPr>
        <w:t>Investor Directors</w:t>
      </w:r>
      <w:r>
        <w:rPr>
          <w:rFonts w:ascii="Times New Roman;Times;serif" w:hAnsi="Times New Roman;Times;serif"/>
          <w:sz w:val="20"/>
        </w:rPr>
        <w:t>”), of which Advanced Manufacturing Industry Investment Fund shall be entitled to nominate one (1) Investor Director, and Hefei Jianxiang shall be entitled to nominate one (1) Investor Director; and the NIO Parties shall be entitled to nominate five (5) directors. If the aggregate percentage of equity interests in the Target Company held by all the Investors in the Target Company is lower than five percent (5%), the above Investors who have the right to nominate directors shall not be entitled to nominate any director.</w:t>
      </w:r>
    </w:p>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7.</w:t>
            </w:r>
          </w:p>
        </w:tc>
        <w:tc>
          <w:tcPr>
            <w:tcW w:w="1007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Article 26.3 of the Shareholders Agreement shall be amended as follows: Provisions relating to the relevant rights and obligations of CS Capital and/or its designated investment entity shall become legally binding on CS Capital and/or its designated investment entity upon the approval of the Transaction by the competent decision-making authority of CS Capital and/or its designated investment entity. Provisions relating to the relevant rights and obligations of Anhui Emerging Industry Yuwen Weiyuan Technology shall become legally binding on Anhui Emerging Industry Yuwen Weiyuan Technology upon the approval of the Transaction by the competent decision-making authority of Anhui Emerging Industry Yuwen Weiyuan Technology. Provisions relating to the relevant rights and obligations of Hefei Jianxiang shall become legally binding on Hefei Jianxiang upon the approval of the Transaction by the competent decision-making authority of Hefei Jianxiang. If CS Capital and/or its designated investment entity, Anhui Emerging Industry Yuwen Weiyuan Technology, and Hefei Jianxiang intend to amend the provisions of this Agreement during the examination and approval process required by their respective competent decision-making authority, the Parties agree to enter into a separate supplementary agreement to reach an agreement. In case of any inconsistency, such supplementary agreement shall prevail.</w:t>
            </w:r>
          </w:p>
        </w:tc>
      </w:tr>
    </w:tbl>
    <w:tbl>
      <w:tblPr>
        <w:tblW w:w="6895" w:type="dxa"/>
        <w:jc w:val="left"/>
        <w:tblInd w:w="0" w:type="dxa"/>
        <w:tblLayout w:type="fixed"/>
        <w:tblCellMar>
          <w:top w:w="0" w:type="dxa"/>
          <w:left w:w="0" w:type="dxa"/>
          <w:bottom w:w="0" w:type="dxa"/>
          <w:right w:w="0" w:type="dxa"/>
        </w:tblCellMar>
      </w:tblPr>
      <w:tblGrid>
        <w:gridCol w:w="170"/>
        <w:gridCol w:w="672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8.</w:t>
            </w:r>
          </w:p>
        </w:tc>
        <w:tc>
          <w:tcPr>
            <w:tcW w:w="67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Article 28.1 of the Shareholders Agreement “Notices” shall be amended as follows:</w:t>
            </w:r>
          </w:p>
        </w:tc>
      </w:tr>
    </w:tbl>
    <w:p>
      <w:pPr>
        <w:pStyle w:val="TextBody"/>
        <w:bidi w:val="0"/>
        <w:spacing w:before="0" w:after="240"/>
        <w:ind w:left="400" w:right="0" w:hanging="0"/>
        <w:jc w:val="both"/>
        <w:rPr>
          <w:rFonts w:ascii="Times New Roman;Times;serif" w:hAnsi="Times New Roman;Times;serif"/>
          <w:sz w:val="20"/>
        </w:rPr>
      </w:pPr>
      <w:r>
        <w:rPr>
          <w:rFonts w:ascii="Times New Roman;Times;serif" w:hAnsi="Times New Roman;Times;serif"/>
          <w:sz w:val="20"/>
        </w:rPr>
        <w:t>The Parties agree that any notices relating to this Agreement shall only be effective if it is given in writing. Delivery in written form includes without limitation to delivery by way of facsimile, courier, registered mail and email. All such notices shall be deemed to have been given or received (a) on the date when the recipient receives the notice if delivered by courier or personal delivery; (b) on the seventh (7th) working day after it is sent if delivered by registered mail; and (c) upon successfully delivery if sent by email. All notices shall be deemed effectively given if delivered or sent to the following addresses or email addresses:</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Jianheng New Energy Fund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Attention: ZHOU Yu</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Address: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Telephone: [***]</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Email: [***]</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Hefei Jianxiang</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Attention: ZHOU Yu</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Address: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Telephone: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Email: [***]</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CS Capital, Advanced Manufacturing Industry Investment Fund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Attention: DU Shuo</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Address: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Telephone: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Email: [***]</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Anhui Emerging Industry Yuwen Weiyuan Technology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Attention: ZHANG Youpeng</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Address: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Telephone: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Email: [***]</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Anhui Sanzhong Yichuang</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Attention: XU Haiqiang</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Address: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Telephone: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Email: [***]</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New Energy Automobile Fund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Attention: WEI Xiao</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Address: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Telephone: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Email: [***]</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NIO Parties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Attention: QU Yu</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Address: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Telephone: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Email: [***]</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Target Company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Attention: QU Yu</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Address: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Telephone: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Email: [***]</w:t>
      </w:r>
    </w:p>
    <w:tbl>
      <w:tblPr>
        <w:tblW w:w="7240" w:type="dxa"/>
        <w:jc w:val="left"/>
        <w:tblInd w:w="0" w:type="dxa"/>
        <w:tblLayout w:type="fixed"/>
        <w:tblCellMar>
          <w:top w:w="0" w:type="dxa"/>
          <w:left w:w="0" w:type="dxa"/>
          <w:bottom w:w="0" w:type="dxa"/>
          <w:right w:w="0" w:type="dxa"/>
        </w:tblCellMar>
      </w:tblPr>
      <w:tblGrid>
        <w:gridCol w:w="170"/>
        <w:gridCol w:w="7070"/>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9.</w:t>
            </w:r>
          </w:p>
        </w:tc>
        <w:tc>
          <w:tcPr>
            <w:tcW w:w="70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Article 29.6 of the Shareholders Agreement “Assignment” shall be amended as follows: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Subject to relevant provisions of this Agreement, the Investors shall have the right to assign or transfer its equity interest in the Target Company and the rights, interests and obligations hereunder to any third party except for the competitors of the NIO Parties set forth in Exhibit IV (the “</w:t>
      </w:r>
      <w:r>
        <w:rPr>
          <w:rFonts w:ascii="Times New Roman;Times;serif" w:hAnsi="Times New Roman;Times;serif"/>
          <w:b/>
          <w:sz w:val="20"/>
        </w:rPr>
        <w:t>NIO Parties Competitors</w:t>
      </w:r>
      <w:r>
        <w:rPr>
          <w:rFonts w:ascii="Times New Roman;Times;serif" w:hAnsi="Times New Roman;Times;serif"/>
          <w:sz w:val="20"/>
        </w:rPr>
        <w:t>”). In the event that the license or consent of any Party hereto is required for such transfer, such Party shall give its utmost cooperation. In particular, CS Capital and/or its designated investment entity, Advanced Manufacturing Industry Investment Fund, New Energy Automobile Fund, Anhui Emerging Industry Yuwen Weiyuan Technology, Anhui Sanzhong Yichuang, Jianheng New Energy Fund, and Hefei Jianxiang have the right to transfer all or part of their rights, interests and obligations under this Agreement to any of their affiliates or any third party agreed by the NIO Parties, and the relevant transferee shall recognize and consent to all provisions of this Agreement, and together with the original contracting parties, to re-enter into this Agreement or a supplementary agreement or joining agreement to clarify the rights, interests and obligations of the transferee under this Agreement. In respect of such transfer, the other Parties to this Agreement hereby waive their respective pre-emptive rights that they may be entitled to in accordance with applicable PRC Laws, this Agreement, the articles of association of the Target Company or any other matters. Unless otherwise agreed in this Agreement, none of the Parties shall assign or transfer any of its rights, benefits or obligations under this Agreement without the prior written consent of the other Parties. No assignment of rights, benefits or obligations in violation of this section shall be valid.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This Agreement shall be binding upon, inure to the benefit of and be effective for the Parties and their respective successors and assigns permitted hereunder. In addition, unless otherwise set forth herein, no third party is intended to be a beneficiary of this Agreement.</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10.</w:t>
            </w:r>
          </w:p>
        </w:tc>
        <w:tc>
          <w:tcPr>
            <w:tcW w:w="993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Exhibit I to the Shareholders Agreement shall be replaced by Exhibit I to this Amendment and Supplementary Agreement.</w:t>
            </w:r>
          </w:p>
        </w:tc>
      </w:tr>
    </w:tbl>
    <w:tbl>
      <w:tblPr>
        <w:tblW w:w="7405" w:type="dxa"/>
        <w:jc w:val="left"/>
        <w:tblInd w:w="0" w:type="dxa"/>
        <w:tblLayout w:type="fixed"/>
        <w:tblCellMar>
          <w:top w:w="0" w:type="dxa"/>
          <w:left w:w="0" w:type="dxa"/>
          <w:bottom w:w="0" w:type="dxa"/>
          <w:right w:w="0" w:type="dxa"/>
        </w:tblCellMar>
      </w:tblPr>
      <w:tblGrid>
        <w:gridCol w:w="275"/>
        <w:gridCol w:w="71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11.</w:t>
            </w:r>
          </w:p>
        </w:tc>
        <w:tc>
          <w:tcPr>
            <w:tcW w:w="71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Each Party hereby acknowledges and agrees that Jianheng New Energy Fund designates</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Hefei Jianxiang to succeed to all of its rights and obligations as a Series B Investor under the Shareholders Agreement, as well as the nomination right of an Investor Director, in accordance with this Amendment and Supplementary Agreement, and Anhui High-tech Co. designates Anhui Emerging Industry Yuwen Weiyuan Technology to succeed to all of its rights and obligations as a Series B Investor under the Shareholders Agreement in accordance with this Amendment and Supplementary Agreement. Each Party hereby waives any the right of first refusal it may have in accordance with applicable PRC laws, this Amendment and Supplementary Agreement, Target Company’s Articles of Association, or for any other cause with respect to the above designation.</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w:t>
            </w:r>
          </w:p>
        </w:tc>
        <w:tc>
          <w:tcPr>
            <w:tcW w:w="996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From the Execution Date of this Amendment and Supplementary Agreement, Hefei Jianxiang and Anhui Emerging Industry Yuwen Weiyuan Technology shall be deemed as the successors to their respective subscribed registered capital and shall become parties to the Shareholders Agreement, as if they had originally executed the Shareholders Agreement. For the avoidance of doubt, with respect to the subscribed registered capital that has been succeeded, Jianheng New Energy Fund and Anhui High-tech Co. shall no longer bear any obligations under the Shareholders Agreement corresponding to such subscribed registered capital.</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13.</w:t>
            </w:r>
          </w:p>
        </w:tc>
        <w:tc>
          <w:tcPr>
            <w:tcW w:w="995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formation of this Amendment and Supplementary Agreement, its validity, interpretation, implementation and resolution of any disputes arising hereunder shall be governed by and construed in accordance with the laws of the PRC.</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14.</w:t>
            </w:r>
          </w:p>
        </w:tc>
        <w:tc>
          <w:tcPr>
            <w:tcW w:w="997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dispute, controversy, difference or claim arising out of or relating to this Amendment and Supplementary Agreement shall be resolved by the Parties in dispute through amicable consultation. If the Parties fail to resolve such dispute within thirty (30) days of the date of the written notice given by a Party to the relevant other Parties indicating the existence of the dispute or requesting the commencement of negotiation, any Party may refer the dispute to arbitral institution. Any dispute arising out of performance of this Amendment and Supplementary Agreement or relating to this Amendment and Supplementary Agreement shall be submitted to the China International Economic and Trade Arbitration Commission for arbitration in Beijing in accordance with the arbitration rules of arbitration institution effective at the time of application for arbitration. The arbitration proceedings shall be conducted in Chinese. The arbitration tribunal shall consist of three (3) arbitrators to be appointed in accordance with the arbitration rules. The applicant and the respondent shall each appoint one (1) arbitrator, if either of the joint applicants or joint respondents fails to jointly appoint an arbitrator of such party, it shall not affect the appointment of an arbitrator by the other party, and the two (2) arbitrators so appointed by the parties shall agree upon the third arbitrator or the China International Economic and Trade Arbitration Commission shall appoint the third arbitrator. The arbitration award shall be final and binding on the parties to the arbitration. The losing Party shall be liable for the costs of the arbitration, all costs and expenses of the arbitration proceedings and all costs and expenses in relation to the enforcement of any arbitral award. The arbitral tribunal shall rule upon the costs of the parties not expressly provided for in this section.</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15.</w:t>
            </w:r>
          </w:p>
        </w:tc>
        <w:tc>
          <w:tcPr>
            <w:tcW w:w="99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This Amendment and Supplementary Agreement shall become effective upon the execution by the individuals and the authorized representatives of foreign entities, and the execution by the legal representatives or authorized representatives or signatories of the PRC entities, and affixation of company seal of the relevant PRC entities. In the event of any inconsistency between the provisions of the Shareholders Agreement and this Amendment and Supplementary Agreement, the provisions of this Amendment and Supplementary Agreement shall prevail. For any matters not provided in this Amendment and Supplementary Agreement, the provisions of the Shareholders Agreement shall apply. Unless explicitly amended by this Amendment and Supplementary Agreement, the effectiveness of other provisions in the Shareholders Agreement shall not be affected by this Amendment and Supplementary Agreement.</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16.</w:t>
            </w:r>
          </w:p>
        </w:tc>
        <w:tc>
          <w:tcPr>
            <w:tcW w:w="99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This Amendment and Supplementary Agreement shall be written in Chinese and be executed in multiple originals with the same legal effect. Each Party shall hold one (1) original.</w:t>
            </w:r>
          </w:p>
        </w:tc>
      </w:tr>
    </w:tbl>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[SIGNATURE PAGES FOLLOW]</w:t>
      </w:r>
    </w:p>
    <w:p>
      <w:pPr>
        <w:pStyle w:val="TextBody"/>
        <w:bidi w:val="0"/>
        <w:spacing w:before="0" w:after="240"/>
        <w:ind w:left="0" w:right="0" w:hanging="0"/>
        <w:jc w:val="center"/>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Amendment and Supplementary Agreement to</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NIO China Shareholders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Amendment and Supplementary Agreement to be duly executed by their duly authorized representatives as of the date first written above.</w:t>
      </w:r>
    </w:p>
    <w:tbl>
      <w:tblPr>
        <w:tblW w:w="7684" w:type="dxa"/>
        <w:jc w:val="left"/>
        <w:tblInd w:w="0" w:type="dxa"/>
        <w:tblLayout w:type="fixed"/>
        <w:tblCellMar>
          <w:top w:w="0" w:type="dxa"/>
          <w:left w:w="0" w:type="dxa"/>
          <w:bottom w:w="0" w:type="dxa"/>
          <w:right w:w="0" w:type="dxa"/>
        </w:tblCellMar>
      </w:tblPr>
      <w:tblGrid>
        <w:gridCol w:w="124"/>
        <w:gridCol w:w="318"/>
        <w:gridCol w:w="7242"/>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7560" w:type="dxa"/>
            <w:gridSpan w:val="2"/>
            <w:tcBorders/>
            <w:vAlign w:val="center"/>
          </w:tcPr>
          <w:p>
            <w:pPr>
              <w:pStyle w:val="TableContents"/>
              <w:bidi w:val="0"/>
              <w:spacing w:before="0" w:after="300"/>
              <w:ind w:left="0" w:right="0" w:hanging="0"/>
              <w:jc w:val="left"/>
              <w:rPr>
                <w:rFonts w:ascii="Times New Roman;Times;serif" w:hAnsi="Times New Roman;Times;serif"/>
                <w:sz w:val="20"/>
              </w:rPr>
            </w:pPr>
            <w:r>
              <w:rPr>
                <w:rFonts w:ascii="Times New Roman;Times;serif" w:hAnsi="Times New Roman;Times;serif"/>
                <w:sz w:val="20"/>
              </w:rPr>
              <w:t>Hefei Jianheng New Energy Automobile Investment Fund Partnership (Limited Partnership)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7560" w:type="dxa"/>
            <w:gridSpan w:val="2"/>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18" w:type="dxa"/>
            <w:tcBorders/>
            <w:vAlign w:val="center"/>
          </w:tcPr>
          <w:p>
            <w:pPr>
              <w:pStyle w:val="TableContents"/>
              <w:bidi w:val="0"/>
              <w:spacing w:before="0" w:after="283"/>
              <w:ind w:left="0" w:right="0" w:hanging="0"/>
              <w:jc w:val="left"/>
              <w:rPr>
                <w:sz w:val="4"/>
                <w:szCs w:val="4"/>
              </w:rPr>
            </w:pPr>
            <w:r>
              <w:rPr>
                <w:sz w:val="4"/>
                <w:szCs w:val="4"/>
              </w:rPr>
            </w:r>
          </w:p>
        </w:tc>
        <w:tc>
          <w:tcPr>
            <w:tcW w:w="7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c>
          <w:tcPr>
            <w:tcW w:w="724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18" w:type="dxa"/>
            <w:tcBorders/>
            <w:vAlign w:val="center"/>
          </w:tcPr>
          <w:p>
            <w:pPr>
              <w:pStyle w:val="TableContents"/>
              <w:bidi w:val="0"/>
              <w:spacing w:before="0" w:after="283"/>
              <w:ind w:left="0" w:right="0" w:hanging="0"/>
              <w:jc w:val="left"/>
              <w:rPr>
                <w:sz w:val="4"/>
                <w:szCs w:val="4"/>
              </w:rPr>
            </w:pPr>
            <w:r>
              <w:rPr>
                <w:sz w:val="4"/>
                <w:szCs w:val="4"/>
              </w:rPr>
            </w:r>
          </w:p>
        </w:tc>
        <w:tc>
          <w:tcPr>
            <w:tcW w:w="7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c>
          <w:tcPr>
            <w:tcW w:w="724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18" w:type="dxa"/>
            <w:tcBorders/>
            <w:vAlign w:val="center"/>
          </w:tcPr>
          <w:p>
            <w:pPr>
              <w:pStyle w:val="TableContents"/>
              <w:bidi w:val="0"/>
              <w:spacing w:before="0" w:after="283"/>
              <w:ind w:left="0" w:right="0" w:hanging="0"/>
              <w:jc w:val="left"/>
              <w:rPr>
                <w:sz w:val="4"/>
                <w:szCs w:val="4"/>
              </w:rPr>
            </w:pPr>
            <w:r>
              <w:rPr>
                <w:sz w:val="4"/>
                <w:szCs w:val="4"/>
              </w:rPr>
            </w:r>
          </w:p>
        </w:tc>
        <w:tc>
          <w:tcPr>
            <w:tcW w:w="7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 and Supplementary Agreement to NIO China Shareholders Agreement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Amendment and Supplementary Agreement to</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NIO China Shareholders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Amendment and Supplementary Agreement to be duly executed by their duly authorized representatives as of the date first written above.</w:t>
      </w:r>
    </w:p>
    <w:tbl>
      <w:tblPr>
        <w:tblW w:w="3244" w:type="dxa"/>
        <w:jc w:val="left"/>
        <w:tblInd w:w="0" w:type="dxa"/>
        <w:tblLayout w:type="fixed"/>
        <w:tblCellMar>
          <w:top w:w="0" w:type="dxa"/>
          <w:left w:w="0" w:type="dxa"/>
          <w:bottom w:w="0" w:type="dxa"/>
          <w:right w:w="0" w:type="dxa"/>
        </w:tblCellMar>
      </w:tblPr>
      <w:tblGrid>
        <w:gridCol w:w="124"/>
        <w:gridCol w:w="131"/>
        <w:gridCol w:w="2989"/>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120" w:type="dxa"/>
            <w:gridSpan w:val="2"/>
            <w:tcBorders/>
            <w:vAlign w:val="center"/>
          </w:tcPr>
          <w:p>
            <w:pPr>
              <w:pStyle w:val="TableContents"/>
              <w:bidi w:val="0"/>
              <w:spacing w:before="0" w:after="300"/>
              <w:ind w:left="0" w:right="0" w:hanging="0"/>
              <w:jc w:val="left"/>
              <w:rPr>
                <w:rFonts w:ascii="Times New Roman;Times;serif" w:hAnsi="Times New Roman;Times;serif"/>
                <w:sz w:val="20"/>
              </w:rPr>
            </w:pPr>
            <w:r>
              <w:rPr>
                <w:rFonts w:ascii="Times New Roman;Times;serif" w:hAnsi="Times New Roman;Times;serif"/>
                <w:sz w:val="20"/>
              </w:rPr>
              <w:t>Hefei Jianxiang Investment Co., Ltd.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120" w:type="dxa"/>
            <w:gridSpan w:val="2"/>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31" w:type="dxa"/>
            <w:tcBorders/>
            <w:vAlign w:val="center"/>
          </w:tcPr>
          <w:p>
            <w:pPr>
              <w:pStyle w:val="TableContents"/>
              <w:bidi w:val="0"/>
              <w:spacing w:before="0" w:after="283"/>
              <w:ind w:left="0" w:right="0" w:hanging="0"/>
              <w:jc w:val="left"/>
              <w:rPr>
                <w:sz w:val="4"/>
                <w:szCs w:val="4"/>
              </w:rPr>
            </w:pPr>
            <w:r>
              <w:rPr>
                <w:sz w:val="4"/>
                <w:szCs w:val="4"/>
              </w:rPr>
            </w:r>
          </w:p>
        </w:tc>
        <w:tc>
          <w:tcPr>
            <w:tcW w:w="29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298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31" w:type="dxa"/>
            <w:tcBorders/>
            <w:vAlign w:val="center"/>
          </w:tcPr>
          <w:p>
            <w:pPr>
              <w:pStyle w:val="TableContents"/>
              <w:bidi w:val="0"/>
              <w:spacing w:before="0" w:after="283"/>
              <w:ind w:left="0" w:right="0" w:hanging="0"/>
              <w:jc w:val="left"/>
              <w:rPr>
                <w:sz w:val="4"/>
                <w:szCs w:val="4"/>
              </w:rPr>
            </w:pPr>
            <w:r>
              <w:rPr>
                <w:sz w:val="4"/>
                <w:szCs w:val="4"/>
              </w:rPr>
            </w:r>
          </w:p>
        </w:tc>
        <w:tc>
          <w:tcPr>
            <w:tcW w:w="29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298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31" w:type="dxa"/>
            <w:tcBorders/>
            <w:vAlign w:val="center"/>
          </w:tcPr>
          <w:p>
            <w:pPr>
              <w:pStyle w:val="TableContents"/>
              <w:bidi w:val="0"/>
              <w:spacing w:before="0" w:after="283"/>
              <w:ind w:left="0" w:right="0" w:hanging="0"/>
              <w:jc w:val="left"/>
              <w:rPr>
                <w:sz w:val="4"/>
                <w:szCs w:val="4"/>
              </w:rPr>
            </w:pPr>
            <w:r>
              <w:rPr>
                <w:sz w:val="4"/>
                <w:szCs w:val="4"/>
              </w:rPr>
            </w:r>
          </w:p>
        </w:tc>
        <w:tc>
          <w:tcPr>
            <w:tcW w:w="29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 and Supplementary Agreement to NIO China Shareholders Agreement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Amendment and Supplementary Agreement to</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NIO China Shareholders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Amendment and Supplementary Agreement to be duly executed by their duly authorized representatives as of the date first written above.</w:t>
      </w:r>
    </w:p>
    <w:tbl>
      <w:tblPr>
        <w:tblW w:w="2709" w:type="dxa"/>
        <w:jc w:val="left"/>
        <w:tblInd w:w="0" w:type="dxa"/>
        <w:tblLayout w:type="fixed"/>
        <w:tblCellMar>
          <w:top w:w="0" w:type="dxa"/>
          <w:left w:w="0" w:type="dxa"/>
          <w:bottom w:w="0" w:type="dxa"/>
          <w:right w:w="0" w:type="dxa"/>
        </w:tblCellMar>
      </w:tblPr>
      <w:tblGrid>
        <w:gridCol w:w="124"/>
        <w:gridCol w:w="109"/>
        <w:gridCol w:w="247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300"/>
              <w:ind w:left="0" w:right="0" w:hanging="0"/>
              <w:jc w:val="left"/>
              <w:rPr>
                <w:rFonts w:ascii="Times New Roman;Times;serif" w:hAnsi="Times New Roman;Times;serif"/>
                <w:sz w:val="20"/>
              </w:rPr>
            </w:pPr>
            <w:r>
              <w:rPr>
                <w:rFonts w:ascii="Times New Roman;Times;serif" w:hAnsi="Times New Roman;Times;serif"/>
                <w:sz w:val="20"/>
              </w:rPr>
              <w:t>CS Capital Co., Ltd.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 and Supplementary Agreement to NIO China Shareholders Agreement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Amendment and Supplementary Agreement to</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NIO China Shareholders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Amendment and Supplementary Agreement to be duly executed by their duly authorized representatives as of the date first written above.</w:t>
      </w:r>
    </w:p>
    <w:tbl>
      <w:tblPr>
        <w:tblW w:w="6424" w:type="dxa"/>
        <w:jc w:val="left"/>
        <w:tblInd w:w="0" w:type="dxa"/>
        <w:tblLayout w:type="fixed"/>
        <w:tblCellMar>
          <w:top w:w="0" w:type="dxa"/>
          <w:left w:w="0" w:type="dxa"/>
          <w:bottom w:w="0" w:type="dxa"/>
          <w:right w:w="0" w:type="dxa"/>
        </w:tblCellMar>
      </w:tblPr>
      <w:tblGrid>
        <w:gridCol w:w="124"/>
        <w:gridCol w:w="265"/>
        <w:gridCol w:w="6035"/>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6300" w:type="dxa"/>
            <w:gridSpan w:val="2"/>
            <w:tcBorders/>
            <w:vAlign w:val="center"/>
          </w:tcPr>
          <w:p>
            <w:pPr>
              <w:pStyle w:val="TableContents"/>
              <w:bidi w:val="0"/>
              <w:spacing w:before="0" w:after="300"/>
              <w:ind w:left="0" w:right="0" w:hanging="0"/>
              <w:jc w:val="left"/>
              <w:rPr>
                <w:rFonts w:ascii="Times New Roman;Times;serif" w:hAnsi="Times New Roman;Times;serif"/>
                <w:sz w:val="20"/>
              </w:rPr>
            </w:pPr>
            <w:r>
              <w:rPr>
                <w:rFonts w:ascii="Times New Roman;Times;serif" w:hAnsi="Times New Roman;Times;serif"/>
                <w:sz w:val="20"/>
              </w:rPr>
              <w:t>Advanced Manufacturing Industry Investment Fund II (Limited Partnership)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6300" w:type="dxa"/>
            <w:gridSpan w:val="2"/>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65" w:type="dxa"/>
            <w:tcBorders/>
            <w:vAlign w:val="center"/>
          </w:tcPr>
          <w:p>
            <w:pPr>
              <w:pStyle w:val="TableContents"/>
              <w:bidi w:val="0"/>
              <w:spacing w:before="0" w:after="283"/>
              <w:ind w:left="0" w:right="0" w:hanging="0"/>
              <w:jc w:val="left"/>
              <w:rPr>
                <w:sz w:val="4"/>
                <w:szCs w:val="4"/>
              </w:rPr>
            </w:pPr>
            <w:r>
              <w:rPr>
                <w:sz w:val="4"/>
                <w:szCs w:val="4"/>
              </w:rPr>
            </w:r>
          </w:p>
        </w:tc>
        <w:tc>
          <w:tcPr>
            <w:tcW w:w="6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603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65" w:type="dxa"/>
            <w:tcBorders/>
            <w:vAlign w:val="center"/>
          </w:tcPr>
          <w:p>
            <w:pPr>
              <w:pStyle w:val="TableContents"/>
              <w:bidi w:val="0"/>
              <w:spacing w:before="0" w:after="283"/>
              <w:ind w:left="0" w:right="0" w:hanging="0"/>
              <w:jc w:val="left"/>
              <w:rPr>
                <w:sz w:val="4"/>
                <w:szCs w:val="4"/>
              </w:rPr>
            </w:pPr>
            <w:r>
              <w:rPr>
                <w:sz w:val="4"/>
                <w:szCs w:val="4"/>
              </w:rPr>
            </w:r>
          </w:p>
        </w:tc>
        <w:tc>
          <w:tcPr>
            <w:tcW w:w="6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603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65" w:type="dxa"/>
            <w:tcBorders/>
            <w:vAlign w:val="center"/>
          </w:tcPr>
          <w:p>
            <w:pPr>
              <w:pStyle w:val="TableContents"/>
              <w:bidi w:val="0"/>
              <w:spacing w:before="0" w:after="283"/>
              <w:ind w:left="0" w:right="0" w:hanging="0"/>
              <w:jc w:val="left"/>
              <w:rPr>
                <w:sz w:val="4"/>
                <w:szCs w:val="4"/>
              </w:rPr>
            </w:pPr>
            <w:r>
              <w:rPr>
                <w:sz w:val="4"/>
                <w:szCs w:val="4"/>
              </w:rPr>
            </w:r>
          </w:p>
        </w:tc>
        <w:tc>
          <w:tcPr>
            <w:tcW w:w="6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 and Supplementary Agreement to NIO China Shareholders Agreement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Amendment and Supplementary Agreement to</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NIO China Shareholders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Amendment and Supplementary Agreement to be duly executed by their duly authorized representatives as of the date first written above.</w:t>
      </w:r>
    </w:p>
    <w:tbl>
      <w:tblPr>
        <w:tblW w:w="6439" w:type="dxa"/>
        <w:jc w:val="left"/>
        <w:tblInd w:w="0" w:type="dxa"/>
        <w:tblLayout w:type="fixed"/>
        <w:tblCellMar>
          <w:top w:w="0" w:type="dxa"/>
          <w:left w:w="0" w:type="dxa"/>
          <w:bottom w:w="0" w:type="dxa"/>
          <w:right w:w="0" w:type="dxa"/>
        </w:tblCellMar>
      </w:tblPr>
      <w:tblGrid>
        <w:gridCol w:w="124"/>
        <w:gridCol w:w="266"/>
        <w:gridCol w:w="6049"/>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6315" w:type="dxa"/>
            <w:gridSpan w:val="2"/>
            <w:tcBorders/>
            <w:vAlign w:val="center"/>
          </w:tcPr>
          <w:p>
            <w:pPr>
              <w:pStyle w:val="TableContents"/>
              <w:bidi w:val="0"/>
              <w:spacing w:before="0" w:after="300"/>
              <w:ind w:left="0" w:right="0" w:hanging="0"/>
              <w:jc w:val="left"/>
              <w:rPr>
                <w:rFonts w:ascii="Times New Roman;Times;serif" w:hAnsi="Times New Roman;Times;serif"/>
                <w:sz w:val="20"/>
              </w:rPr>
            </w:pPr>
            <w:r>
              <w:rPr>
                <w:rFonts w:ascii="Times New Roman;Times;serif" w:hAnsi="Times New Roman;Times;serif"/>
                <w:sz w:val="20"/>
              </w:rPr>
              <w:t>Anhui Provincial Sanzhong Yichuang Industry Development Fund Co., Ltd.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6315" w:type="dxa"/>
            <w:gridSpan w:val="2"/>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66" w:type="dxa"/>
            <w:tcBorders/>
            <w:vAlign w:val="center"/>
          </w:tcPr>
          <w:p>
            <w:pPr>
              <w:pStyle w:val="TableContents"/>
              <w:bidi w:val="0"/>
              <w:spacing w:before="0" w:after="283"/>
              <w:ind w:left="0" w:right="0" w:hanging="0"/>
              <w:jc w:val="left"/>
              <w:rPr>
                <w:sz w:val="4"/>
                <w:szCs w:val="4"/>
              </w:rPr>
            </w:pPr>
            <w:r>
              <w:rPr>
                <w:sz w:val="4"/>
                <w:szCs w:val="4"/>
              </w:rPr>
            </w:r>
          </w:p>
        </w:tc>
        <w:tc>
          <w:tcPr>
            <w:tcW w:w="60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604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66" w:type="dxa"/>
            <w:tcBorders/>
            <w:vAlign w:val="center"/>
          </w:tcPr>
          <w:p>
            <w:pPr>
              <w:pStyle w:val="TableContents"/>
              <w:bidi w:val="0"/>
              <w:spacing w:before="0" w:after="283"/>
              <w:ind w:left="0" w:right="0" w:hanging="0"/>
              <w:jc w:val="left"/>
              <w:rPr>
                <w:sz w:val="4"/>
                <w:szCs w:val="4"/>
              </w:rPr>
            </w:pPr>
            <w:r>
              <w:rPr>
                <w:sz w:val="4"/>
                <w:szCs w:val="4"/>
              </w:rPr>
            </w:r>
          </w:p>
        </w:tc>
        <w:tc>
          <w:tcPr>
            <w:tcW w:w="60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604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66" w:type="dxa"/>
            <w:tcBorders/>
            <w:vAlign w:val="center"/>
          </w:tcPr>
          <w:p>
            <w:pPr>
              <w:pStyle w:val="TableContents"/>
              <w:bidi w:val="0"/>
              <w:spacing w:before="0" w:after="283"/>
              <w:ind w:left="0" w:right="0" w:hanging="0"/>
              <w:jc w:val="left"/>
              <w:rPr>
                <w:sz w:val="4"/>
                <w:szCs w:val="4"/>
              </w:rPr>
            </w:pPr>
            <w:r>
              <w:rPr>
                <w:sz w:val="4"/>
                <w:szCs w:val="4"/>
              </w:rPr>
            </w:r>
          </w:p>
        </w:tc>
        <w:tc>
          <w:tcPr>
            <w:tcW w:w="60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 and Supplementary Agreement to NIO China Shareholders Agreement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Amendment and Supplementary Agreement to</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NIO China Shareholders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Amendment and Supplementary Agreement to be duly executed by their duly authorized representatives as of the date first written above.</w:t>
      </w:r>
    </w:p>
    <w:tbl>
      <w:tblPr>
        <w:tblW w:w="6859" w:type="dxa"/>
        <w:jc w:val="left"/>
        <w:tblInd w:w="0" w:type="dxa"/>
        <w:tblLayout w:type="fixed"/>
        <w:tblCellMar>
          <w:top w:w="0" w:type="dxa"/>
          <w:left w:w="0" w:type="dxa"/>
          <w:bottom w:w="0" w:type="dxa"/>
          <w:right w:w="0" w:type="dxa"/>
        </w:tblCellMar>
      </w:tblPr>
      <w:tblGrid>
        <w:gridCol w:w="124"/>
        <w:gridCol w:w="284"/>
        <w:gridCol w:w="645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6735" w:type="dxa"/>
            <w:gridSpan w:val="2"/>
            <w:tcBorders/>
            <w:vAlign w:val="center"/>
          </w:tcPr>
          <w:p>
            <w:pPr>
              <w:pStyle w:val="TableContents"/>
              <w:bidi w:val="0"/>
              <w:spacing w:before="0" w:after="300"/>
              <w:ind w:left="0" w:right="0" w:hanging="0"/>
              <w:jc w:val="left"/>
              <w:rPr>
                <w:rFonts w:ascii="Times New Roman;Times;serif" w:hAnsi="Times New Roman;Times;serif"/>
                <w:sz w:val="20"/>
              </w:rPr>
            </w:pPr>
            <w:r>
              <w:rPr>
                <w:rFonts w:ascii="Times New Roman;Times;serif" w:hAnsi="Times New Roman;Times;serif"/>
                <w:sz w:val="20"/>
              </w:rPr>
              <w:t>Anhui Jintong New Energy Automobile II Fund Partnership (Limited Partnership)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6735" w:type="dxa"/>
            <w:gridSpan w:val="2"/>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84" w:type="dxa"/>
            <w:tcBorders/>
            <w:vAlign w:val="center"/>
          </w:tcPr>
          <w:p>
            <w:pPr>
              <w:pStyle w:val="TableContents"/>
              <w:bidi w:val="0"/>
              <w:spacing w:before="0" w:after="283"/>
              <w:ind w:left="0" w:right="0" w:hanging="0"/>
              <w:jc w:val="left"/>
              <w:rPr>
                <w:sz w:val="4"/>
                <w:szCs w:val="4"/>
              </w:rPr>
            </w:pPr>
            <w:r>
              <w:rPr>
                <w:sz w:val="4"/>
                <w:szCs w:val="4"/>
              </w:rPr>
            </w:r>
          </w:p>
        </w:tc>
        <w:tc>
          <w:tcPr>
            <w:tcW w:w="6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64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84" w:type="dxa"/>
            <w:tcBorders/>
            <w:vAlign w:val="center"/>
          </w:tcPr>
          <w:p>
            <w:pPr>
              <w:pStyle w:val="TableContents"/>
              <w:bidi w:val="0"/>
              <w:spacing w:before="0" w:after="283"/>
              <w:ind w:left="0" w:right="0" w:hanging="0"/>
              <w:jc w:val="left"/>
              <w:rPr>
                <w:sz w:val="4"/>
                <w:szCs w:val="4"/>
              </w:rPr>
            </w:pPr>
            <w:r>
              <w:rPr>
                <w:sz w:val="4"/>
                <w:szCs w:val="4"/>
              </w:rPr>
            </w:r>
          </w:p>
        </w:tc>
        <w:tc>
          <w:tcPr>
            <w:tcW w:w="6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64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84" w:type="dxa"/>
            <w:tcBorders/>
            <w:vAlign w:val="center"/>
          </w:tcPr>
          <w:p>
            <w:pPr>
              <w:pStyle w:val="TableContents"/>
              <w:bidi w:val="0"/>
              <w:spacing w:before="0" w:after="283"/>
              <w:ind w:left="0" w:right="0" w:hanging="0"/>
              <w:jc w:val="left"/>
              <w:rPr>
                <w:sz w:val="4"/>
                <w:szCs w:val="4"/>
              </w:rPr>
            </w:pPr>
            <w:r>
              <w:rPr>
                <w:sz w:val="4"/>
                <w:szCs w:val="4"/>
              </w:rPr>
            </w:r>
          </w:p>
        </w:tc>
        <w:tc>
          <w:tcPr>
            <w:tcW w:w="6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 and Supplementary Agreement to NIO China Shareholders Agreement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Amendment and Supplementary Agreement to</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NIO China Shareholders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Amendment and Supplementary Agreement to be duly executed by their duly authorized representatives as of the date first written above.</w:t>
      </w:r>
    </w:p>
    <w:tbl>
      <w:tblPr>
        <w:tblW w:w="4924" w:type="dxa"/>
        <w:jc w:val="left"/>
        <w:tblInd w:w="0" w:type="dxa"/>
        <w:tblLayout w:type="fixed"/>
        <w:tblCellMar>
          <w:top w:w="0" w:type="dxa"/>
          <w:left w:w="0" w:type="dxa"/>
          <w:bottom w:w="0" w:type="dxa"/>
          <w:right w:w="0" w:type="dxa"/>
        </w:tblCellMar>
      </w:tblPr>
      <w:tblGrid>
        <w:gridCol w:w="124"/>
        <w:gridCol w:w="202"/>
        <w:gridCol w:w="4598"/>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800" w:type="dxa"/>
            <w:gridSpan w:val="2"/>
            <w:tcBorders/>
            <w:vAlign w:val="center"/>
          </w:tcPr>
          <w:p>
            <w:pPr>
              <w:pStyle w:val="TableContents"/>
              <w:bidi w:val="0"/>
              <w:spacing w:before="0" w:after="300"/>
              <w:ind w:left="0" w:right="0" w:hanging="0"/>
              <w:jc w:val="left"/>
              <w:rPr>
                <w:rFonts w:ascii="Times New Roman;Times;serif" w:hAnsi="Times New Roman;Times;serif"/>
                <w:sz w:val="20"/>
              </w:rPr>
            </w:pPr>
            <w:r>
              <w:rPr>
                <w:rFonts w:ascii="Times New Roman;Times;serif" w:hAnsi="Times New Roman;Times;serif"/>
                <w:sz w:val="20"/>
              </w:rPr>
              <w:t>Anhui Provincial Emerging Industry Investment Co., Ltd.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800" w:type="dxa"/>
            <w:gridSpan w:val="2"/>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02" w:type="dxa"/>
            <w:tcBorders/>
            <w:vAlign w:val="center"/>
          </w:tcPr>
          <w:p>
            <w:pPr>
              <w:pStyle w:val="TableContents"/>
              <w:bidi w:val="0"/>
              <w:spacing w:before="0" w:after="283"/>
              <w:ind w:left="0" w:right="0" w:hanging="0"/>
              <w:jc w:val="left"/>
              <w:rPr>
                <w:sz w:val="4"/>
                <w:szCs w:val="4"/>
              </w:rPr>
            </w:pPr>
            <w:r>
              <w:rPr>
                <w:sz w:val="4"/>
                <w:szCs w:val="4"/>
              </w:rPr>
            </w:r>
          </w:p>
        </w:tc>
        <w:tc>
          <w:tcPr>
            <w:tcW w:w="45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459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02" w:type="dxa"/>
            <w:tcBorders/>
            <w:vAlign w:val="center"/>
          </w:tcPr>
          <w:p>
            <w:pPr>
              <w:pStyle w:val="TableContents"/>
              <w:bidi w:val="0"/>
              <w:spacing w:before="0" w:after="283"/>
              <w:ind w:left="0" w:right="0" w:hanging="0"/>
              <w:jc w:val="left"/>
              <w:rPr>
                <w:sz w:val="4"/>
                <w:szCs w:val="4"/>
              </w:rPr>
            </w:pPr>
            <w:r>
              <w:rPr>
                <w:sz w:val="4"/>
                <w:szCs w:val="4"/>
              </w:rPr>
            </w:r>
          </w:p>
        </w:tc>
        <w:tc>
          <w:tcPr>
            <w:tcW w:w="45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459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02" w:type="dxa"/>
            <w:tcBorders/>
            <w:vAlign w:val="center"/>
          </w:tcPr>
          <w:p>
            <w:pPr>
              <w:pStyle w:val="TableContents"/>
              <w:bidi w:val="0"/>
              <w:spacing w:before="0" w:after="283"/>
              <w:ind w:left="0" w:right="0" w:hanging="0"/>
              <w:jc w:val="left"/>
              <w:rPr>
                <w:sz w:val="4"/>
                <w:szCs w:val="4"/>
              </w:rPr>
            </w:pPr>
            <w:r>
              <w:rPr>
                <w:sz w:val="4"/>
                <w:szCs w:val="4"/>
              </w:rPr>
            </w:r>
          </w:p>
        </w:tc>
        <w:tc>
          <w:tcPr>
            <w:tcW w:w="45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 and Supplementary Agreement to NIO China Shareholders Agreement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Amendment and Supplementary Agreement to</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NIO China Shareholders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Amendment and Supplementary Agreement to be duly executed by their duly authorized representatives as of the date first written above.</w:t>
      </w:r>
    </w:p>
    <w:tbl>
      <w:tblPr>
        <w:tblW w:w="8374" w:type="dxa"/>
        <w:jc w:val="left"/>
        <w:tblInd w:w="0" w:type="dxa"/>
        <w:tblLayout w:type="fixed"/>
        <w:tblCellMar>
          <w:top w:w="0" w:type="dxa"/>
          <w:left w:w="0" w:type="dxa"/>
          <w:bottom w:w="0" w:type="dxa"/>
          <w:right w:w="0" w:type="dxa"/>
        </w:tblCellMar>
      </w:tblPr>
      <w:tblGrid>
        <w:gridCol w:w="124"/>
        <w:gridCol w:w="347"/>
        <w:gridCol w:w="7903"/>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8250" w:type="dxa"/>
            <w:gridSpan w:val="2"/>
            <w:tcBorders/>
            <w:vAlign w:val="center"/>
          </w:tcPr>
          <w:p>
            <w:pPr>
              <w:pStyle w:val="TableContents"/>
              <w:bidi w:val="0"/>
              <w:spacing w:before="0" w:after="300"/>
              <w:ind w:left="0" w:right="0" w:hanging="0"/>
              <w:jc w:val="left"/>
              <w:rPr>
                <w:rFonts w:ascii="Times New Roman;Times;serif" w:hAnsi="Times New Roman;Times;serif"/>
                <w:sz w:val="20"/>
              </w:rPr>
            </w:pPr>
            <w:r>
              <w:rPr>
                <w:rFonts w:ascii="Times New Roman;Times;serif" w:hAnsi="Times New Roman;Times;serif"/>
                <w:sz w:val="20"/>
              </w:rPr>
              <w:t>Anhui Emerging Industry Yuwen Weiyuan Technology Partnership Enterprise (Limited Partnership)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8250" w:type="dxa"/>
            <w:gridSpan w:val="2"/>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47" w:type="dxa"/>
            <w:tcBorders/>
            <w:vAlign w:val="center"/>
          </w:tcPr>
          <w:p>
            <w:pPr>
              <w:pStyle w:val="TableContents"/>
              <w:bidi w:val="0"/>
              <w:spacing w:before="0" w:after="283"/>
              <w:ind w:left="0" w:right="0" w:hanging="0"/>
              <w:jc w:val="left"/>
              <w:rPr>
                <w:sz w:val="4"/>
                <w:szCs w:val="4"/>
              </w:rPr>
            </w:pPr>
            <w:r>
              <w:rPr>
                <w:sz w:val="4"/>
                <w:szCs w:val="4"/>
              </w:rPr>
            </w:r>
          </w:p>
        </w:tc>
        <w:tc>
          <w:tcPr>
            <w:tcW w:w="7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w:t>
            </w:r>
          </w:p>
        </w:tc>
        <w:tc>
          <w:tcPr>
            <w:tcW w:w="7903"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47" w:type="dxa"/>
            <w:tcBorders/>
            <w:vAlign w:val="center"/>
          </w:tcPr>
          <w:p>
            <w:pPr>
              <w:pStyle w:val="TableContents"/>
              <w:bidi w:val="0"/>
              <w:spacing w:before="0" w:after="283"/>
              <w:ind w:left="0" w:right="0" w:hanging="0"/>
              <w:jc w:val="left"/>
              <w:rPr>
                <w:sz w:val="4"/>
                <w:szCs w:val="4"/>
              </w:rPr>
            </w:pPr>
            <w:r>
              <w:rPr>
                <w:sz w:val="4"/>
                <w:szCs w:val="4"/>
              </w:rPr>
            </w:r>
          </w:p>
        </w:tc>
        <w:tc>
          <w:tcPr>
            <w:tcW w:w="7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w:t>
            </w:r>
          </w:p>
        </w:tc>
        <w:tc>
          <w:tcPr>
            <w:tcW w:w="7903"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47" w:type="dxa"/>
            <w:tcBorders/>
            <w:vAlign w:val="center"/>
          </w:tcPr>
          <w:p>
            <w:pPr>
              <w:pStyle w:val="TableContents"/>
              <w:bidi w:val="0"/>
              <w:spacing w:before="0" w:after="283"/>
              <w:ind w:left="0" w:right="0" w:hanging="0"/>
              <w:jc w:val="left"/>
              <w:rPr>
                <w:sz w:val="4"/>
                <w:szCs w:val="4"/>
              </w:rPr>
            </w:pPr>
            <w:r>
              <w:rPr>
                <w:sz w:val="4"/>
                <w:szCs w:val="4"/>
              </w:rPr>
            </w:r>
          </w:p>
        </w:tc>
        <w:tc>
          <w:tcPr>
            <w:tcW w:w="7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 and Supplementary Agreement to NIO China Shareholders Agreement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Amendment and Supplementary Agreement to</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NIO China Shareholders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Amendment and Supplementary Agreement to be duly executed by their duly authorized representatives as of the date first written above.</w:t>
      </w:r>
    </w:p>
    <w:tbl>
      <w:tblPr>
        <w:tblW w:w="2709" w:type="dxa"/>
        <w:jc w:val="left"/>
        <w:tblInd w:w="0" w:type="dxa"/>
        <w:tblLayout w:type="fixed"/>
        <w:tblCellMar>
          <w:top w:w="0" w:type="dxa"/>
          <w:left w:w="0" w:type="dxa"/>
          <w:bottom w:w="0" w:type="dxa"/>
          <w:right w:w="0" w:type="dxa"/>
        </w:tblCellMar>
      </w:tblPr>
      <w:tblGrid>
        <w:gridCol w:w="124"/>
        <w:gridCol w:w="109"/>
        <w:gridCol w:w="247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300"/>
              <w:ind w:left="0" w:right="0" w:hanging="0"/>
              <w:jc w:val="left"/>
              <w:rPr>
                <w:rFonts w:ascii="Times New Roman;Times;serif" w:hAnsi="Times New Roman;Times;serif"/>
                <w:sz w:val="20"/>
              </w:rPr>
            </w:pPr>
            <w:r>
              <w:rPr>
                <w:rFonts w:ascii="Times New Roman;Times;serif" w:hAnsi="Times New Roman;Times;serif"/>
                <w:sz w:val="20"/>
              </w:rPr>
              <w:t>Nio Nextev Limited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 and Supplementary Agreement to NIO China Shareholders Agreement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Amendment and Supplementary Agreement to</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NIO China Shareholders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Amendment and Supplementary Agreement to be duly executed by their duly authorized representatives as of the date first written above.</w:t>
      </w:r>
    </w:p>
    <w:tbl>
      <w:tblPr>
        <w:tblW w:w="2709" w:type="dxa"/>
        <w:jc w:val="left"/>
        <w:tblInd w:w="0" w:type="dxa"/>
        <w:tblLayout w:type="fixed"/>
        <w:tblCellMar>
          <w:top w:w="0" w:type="dxa"/>
          <w:left w:w="0" w:type="dxa"/>
          <w:bottom w:w="0" w:type="dxa"/>
          <w:right w:w="0" w:type="dxa"/>
        </w:tblCellMar>
      </w:tblPr>
      <w:tblGrid>
        <w:gridCol w:w="124"/>
        <w:gridCol w:w="109"/>
        <w:gridCol w:w="247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300"/>
              <w:ind w:left="0" w:right="0" w:hanging="0"/>
              <w:jc w:val="left"/>
              <w:rPr>
                <w:rFonts w:ascii="Times New Roman;Times;serif" w:hAnsi="Times New Roman;Times;serif"/>
                <w:sz w:val="20"/>
              </w:rPr>
            </w:pPr>
            <w:r>
              <w:rPr>
                <w:rFonts w:ascii="Times New Roman;Times;serif" w:hAnsi="Times New Roman;Times;serif"/>
                <w:sz w:val="20"/>
              </w:rPr>
              <w:t>NIO User Enterprise Limited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 and Supplementary Agreement to NIO China Shareholders Agreement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Amendment and Supplementary Agreement to</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NIO China Shareholders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Amendment and Supplementary Agreement to be duly executed by their duly authorized representatives as of the date first written above.</w:t>
      </w:r>
    </w:p>
    <w:tbl>
      <w:tblPr>
        <w:tblW w:w="2709" w:type="dxa"/>
        <w:jc w:val="left"/>
        <w:tblInd w:w="0" w:type="dxa"/>
        <w:tblLayout w:type="fixed"/>
        <w:tblCellMar>
          <w:top w:w="0" w:type="dxa"/>
          <w:left w:w="0" w:type="dxa"/>
          <w:bottom w:w="0" w:type="dxa"/>
          <w:right w:w="0" w:type="dxa"/>
        </w:tblCellMar>
      </w:tblPr>
      <w:tblGrid>
        <w:gridCol w:w="124"/>
        <w:gridCol w:w="109"/>
        <w:gridCol w:w="247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300"/>
              <w:ind w:left="0" w:right="0" w:hanging="0"/>
              <w:jc w:val="left"/>
              <w:rPr>
                <w:rFonts w:ascii="Times New Roman;Times;serif" w:hAnsi="Times New Roman;Times;serif"/>
                <w:sz w:val="20"/>
              </w:rPr>
            </w:pPr>
            <w:r>
              <w:rPr>
                <w:rFonts w:ascii="Times New Roman;Times;serif" w:hAnsi="Times New Roman;Times;serif"/>
                <w:sz w:val="20"/>
              </w:rPr>
              <w:t>NIO Power Express Limited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 and Supplementary Agreement to NIO China Shareholders Agreement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Amendment and Supplementary Agreement to</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NIO China Shareholders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Amendment and Supplementary Agreement to be duly executed by their duly authorized representatives as of the date first written above.</w:t>
      </w:r>
    </w:p>
    <w:tbl>
      <w:tblPr>
        <w:tblW w:w="2709" w:type="dxa"/>
        <w:jc w:val="left"/>
        <w:tblInd w:w="0" w:type="dxa"/>
        <w:tblLayout w:type="fixed"/>
        <w:tblCellMar>
          <w:top w:w="0" w:type="dxa"/>
          <w:left w:w="0" w:type="dxa"/>
          <w:bottom w:w="0" w:type="dxa"/>
          <w:right w:w="0" w:type="dxa"/>
        </w:tblCellMar>
      </w:tblPr>
      <w:tblGrid>
        <w:gridCol w:w="124"/>
        <w:gridCol w:w="109"/>
        <w:gridCol w:w="247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300"/>
              <w:ind w:left="0" w:right="0" w:hanging="0"/>
              <w:jc w:val="left"/>
              <w:rPr>
                <w:rFonts w:ascii="Times New Roman;Times;serif" w:hAnsi="Times New Roman;Times;serif"/>
                <w:sz w:val="20"/>
              </w:rPr>
            </w:pPr>
            <w:r>
              <w:rPr>
                <w:rFonts w:ascii="Times New Roman;Times;serif" w:hAnsi="Times New Roman;Times;serif"/>
                <w:sz w:val="20"/>
              </w:rPr>
              <w:t>NIO Inc.</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 and Supplementary Agreement to NIO China Shareholders Agreement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(This is the Signature Page to the Amendment and Supplementary Agreement to</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NIO China Shareholders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WITNESS WHEREOF, the Parties have caused this Amendment and Supplementary Agreement to be duly executed by their duly authorized representatives as of the date first written above.</w:t>
      </w:r>
    </w:p>
    <w:tbl>
      <w:tblPr>
        <w:tblW w:w="2709" w:type="dxa"/>
        <w:jc w:val="left"/>
        <w:tblInd w:w="0" w:type="dxa"/>
        <w:tblLayout w:type="fixed"/>
        <w:tblCellMar>
          <w:top w:w="0" w:type="dxa"/>
          <w:left w:w="0" w:type="dxa"/>
          <w:bottom w:w="0" w:type="dxa"/>
          <w:right w:w="0" w:type="dxa"/>
        </w:tblCellMar>
      </w:tblPr>
      <w:tblGrid>
        <w:gridCol w:w="124"/>
        <w:gridCol w:w="109"/>
        <w:gridCol w:w="247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300"/>
              <w:ind w:left="0" w:right="0" w:hanging="0"/>
              <w:jc w:val="left"/>
              <w:rPr>
                <w:rFonts w:ascii="Times New Roman;Times;serif" w:hAnsi="Times New Roman;Times;serif"/>
                <w:sz w:val="20"/>
              </w:rPr>
            </w:pPr>
            <w:r>
              <w:rPr>
                <w:rFonts w:ascii="Times New Roman;Times;serif" w:hAnsi="Times New Roman;Times;serif"/>
                <w:sz w:val="20"/>
              </w:rPr>
              <w:t>NIO Holding Co., Ltd.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85" w:type="dxa"/>
            <w:gridSpan w:val="2"/>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(Company Chop)</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By:/s/ Authorized Signatory</w:t>
            </w:r>
          </w:p>
        </w:tc>
      </w:tr>
      <w:tr>
        <w:trPr/>
        <w:tc>
          <w:tcPr>
            <w:tcW w:w="124"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Authorized Signatory</w:t>
            </w:r>
          </w:p>
        </w:tc>
      </w:tr>
      <w:tr>
        <w:trPr/>
        <w:tc>
          <w:tcPr>
            <w:tcW w:w="124"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 and Supplementary Agreement to NIO China Shareholders Agreement – 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Exhibit I: Joinder Agreement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Joinder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Joinder Agreement (“</w:t>
      </w:r>
      <w:r>
        <w:rPr>
          <w:rFonts w:ascii="Times New Roman;Times;serif" w:hAnsi="Times New Roman;Times;serif"/>
          <w:b/>
          <w:sz w:val="20"/>
        </w:rPr>
        <w:t>Joinder Agreement</w:t>
      </w:r>
      <w:r>
        <w:rPr>
          <w:rFonts w:ascii="Times New Roman;Times;serif" w:hAnsi="Times New Roman;Times;serif"/>
          <w:sz w:val="20"/>
        </w:rPr>
        <w:t>”) is entered into by the undersigned party (“</w:t>
      </w:r>
      <w:r>
        <w:rPr>
          <w:rFonts w:ascii="Times New Roman;Times;serif" w:hAnsi="Times New Roman;Times;serif"/>
          <w:b/>
          <w:sz w:val="20"/>
        </w:rPr>
        <w:t>Joining Party</w:t>
      </w:r>
      <w:r>
        <w:rPr>
          <w:rFonts w:ascii="Times New Roman;Times;serif" w:hAnsi="Times New Roman;Times;serif"/>
          <w:sz w:val="20"/>
        </w:rPr>
        <w:t>”) on the date specified below, pursuant to (a) the NIO China Shareholders Agreement dated September 30, 2024, among Jianheng New Energy Fund, CS Capital, Advanced Manufacturing Industry Investment Fund, Anhui Sanzhong Yichuang, New Energy Automobile Fund, Anhui High-tech Co., NIO Nextev Limited, NIO User Enterprise Limited, NIO Power Express Limited, NIO Inc., and NIO Holding Co., Ltd.; and (b) the Amendment and Supplementary Agreement to the NIO China Shareholders Agreement dated December 28, 2024, among Jianheng New Energy Fund, Hefei Jianxiang, CS Capital, Advanced Manufacturing Industry Investment Fund, Anhui Sanzhong Yichuang, New Energy Automobile Fund, Anhui High-tech Co., Anhui Emerging Industry Yuwen Weiyuan Technology, NIO Nextev Limited, NIO User Enterprise Limited, NIO Power Express Limited, NIO Inc., and NIO Holding Co., Ltd. (collectively referred to as the “</w:t>
      </w:r>
      <w:r>
        <w:rPr>
          <w:rFonts w:ascii="Times New Roman;Times;serif" w:hAnsi="Times New Roman;Times;serif"/>
          <w:b/>
          <w:sz w:val="20"/>
        </w:rPr>
        <w:t>Shareholders Agreement</w:t>
      </w:r>
      <w:r>
        <w:rPr>
          <w:rFonts w:ascii="Times New Roman;Times;serif" w:hAnsi="Times New Roman;Times;serif"/>
          <w:sz w:val="20"/>
        </w:rPr>
        <w:t>,” including any amendments or modifications thereto from time to time).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Joining Party hereby agrees and acknowledges that, by executing this Joinder Agreement, from and after the date specified below, the Joining Party shall be deemed a party to the Shareholders Agreement and shall have and perform the rights and obligations under the Shareholders Agreement that are to be enjoyed and performed by </w:t>
      </w:r>
      <w:r>
        <w:rPr>
          <w:rFonts w:ascii="Times New Roman;Times;serif" w:hAnsi="Times New Roman;Times;serif"/>
          <w:sz w:val="20"/>
          <w:u w:val="single"/>
        </w:rPr>
        <w:t>[             ]</w:t>
      </w:r>
      <w:r>
        <w:rPr>
          <w:rFonts w:ascii="Times New Roman;Times;serif" w:hAnsi="Times New Roman;Times;serif"/>
          <w:sz w:val="20"/>
        </w:rPr>
        <w:t>, as if the Joining Party had originally signed the Shareholders Agreement and was listed as an original contracting party thereto. From and after the date specified below, the Joining Party fully accepts all the terms and conditions of the Shareholders Agreement and agrees to be bound thereby.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Joinder Agreement shall be deemed a part of the Shareholders Agreement and, together with the Shareholders Agreement, shall constitute a single agreement among the parties to the Shareholders Agreement (including, but not limited to, the Joining Party).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NOW, THEREFORE, the Joining Party has caused its duly authorized representative to execute this Joinder Agreement on the date specified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w:t>
      </w:r>
    </w:p>
    <w:tbl>
      <w:tblPr>
        <w:tblW w:w="2195" w:type="dxa"/>
        <w:jc w:val="right"/>
        <w:tblInd w:w="0" w:type="dxa"/>
        <w:tblLayout w:type="fixed"/>
        <w:tblCellMar>
          <w:top w:w="0" w:type="dxa"/>
          <w:left w:w="0" w:type="dxa"/>
          <w:bottom w:w="0" w:type="dxa"/>
          <w:right w:w="0" w:type="dxa"/>
        </w:tblCellMar>
      </w:tblPr>
      <w:tblGrid>
        <w:gridCol w:w="2041"/>
        <w:gridCol w:w="154"/>
      </w:tblGrid>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of Joining Party]</w:t>
            </w:r>
          </w:p>
        </w:tc>
        <w:tc>
          <w:tcPr>
            <w:tcW w:w="154" w:type="dxa"/>
            <w:tcBorders/>
            <w:vAlign w:val="center"/>
          </w:tcPr>
          <w:p>
            <w:pPr>
              <w:pStyle w:val="TableContents"/>
              <w:bidi w:val="0"/>
              <w:spacing w:before="0" w:after="0"/>
              <w:ind w:left="0" w:right="0" w:hanging="0"/>
              <w:jc w:val="both"/>
              <w:rPr/>
            </w:pPr>
            <w:r>
              <w:rPr/>
              <w:t>​</w:t>
            </w:r>
          </w:p>
        </w:tc>
      </w:tr>
      <w:tr>
        <w:trPr/>
        <w:tc>
          <w:tcPr>
            <w:tcW w:w="20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Signatory:</w:t>
            </w:r>
          </w:p>
        </w:tc>
        <w:tc>
          <w:tcPr>
            <w:tcW w:w="154" w:type="dxa"/>
            <w:tcBorders/>
            <w:vAlign w:val="center"/>
          </w:tcPr>
          <w:p>
            <w:pPr>
              <w:pStyle w:val="TableContents"/>
              <w:bidi w:val="0"/>
              <w:spacing w:before="0" w:after="0"/>
              <w:ind w:left="0" w:right="0" w:hanging="0"/>
              <w:jc w:val="both"/>
              <w:rPr/>
            </w:pPr>
            <w:r>
              <w:rPr/>
              <w:t>​</w:t>
            </w:r>
          </w:p>
        </w:tc>
      </w:tr>
      <w:tr>
        <w:trPr/>
        <w:tc>
          <w:tcPr>
            <w:tcW w:w="20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154" w:type="dxa"/>
            <w:tcBorders/>
            <w:vAlign w:val="center"/>
          </w:tcPr>
          <w:p>
            <w:pPr>
              <w:pStyle w:val="TableContents"/>
              <w:bidi w:val="0"/>
              <w:spacing w:before="0" w:after="0"/>
              <w:ind w:left="0" w:right="0" w:hanging="0"/>
              <w:jc w:val="both"/>
              <w:rPr/>
            </w:pPr>
            <w:r>
              <w:rPr/>
              <w:t>​</w:t>
            </w:r>
          </w:p>
        </w:tc>
      </w:tr>
      <w:tr>
        <w:trPr/>
        <w:tc>
          <w:tcPr>
            <w:tcW w:w="20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 and Supplementary Agreement to NIO China Shareholders Agreement – Exhibit 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565" w:type="dxa"/>
        <w:jc w:val="right"/>
        <w:tblInd w:w="0" w:type="dxa"/>
        <w:tblLayout w:type="fixed"/>
        <w:tblCellMar>
          <w:top w:w="0" w:type="dxa"/>
          <w:left w:w="0" w:type="dxa"/>
          <w:bottom w:w="0" w:type="dxa"/>
          <w:right w:w="0" w:type="dxa"/>
        </w:tblCellMar>
      </w:tblPr>
      <w:tblGrid>
        <w:gridCol w:w="1411"/>
        <w:gridCol w:w="154"/>
      </w:tblGrid>
      <w:tr>
        <w:trPr/>
        <w:tc>
          <w:tcPr>
            <w:tcW w:w="14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Notice Address:</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NIO Confidential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 and Supplementary Agreement to NIO China Shareholders Agreement – Exhibit I</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333" w:name="nio-20241231xex8d1.htm"/>
      <w:bookmarkStart w:id="2334" w:name="ksnio20241231xex8d1"/>
      <w:bookmarkEnd w:id="2333"/>
      <w:bookmarkEnd w:id="2334"/>
      <w:r>
        <w:rPr>
          <w:rFonts w:ascii="Times New Roman;Times;serif" w:hAnsi="Times New Roman;Times;serif"/>
          <w:b/>
          <w:sz w:val="20"/>
        </w:rPr>
        <w:t>Exhibit 8.1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List of Principal Subsidiaries and Consolidated Variable Interest Entities</w:t>
      </w:r>
    </w:p>
    <w:tbl>
      <w:tblPr>
        <w:tblW w:w="6707" w:type="dxa"/>
        <w:jc w:val="left"/>
        <w:tblInd w:w="0" w:type="dxa"/>
        <w:tblLayout w:type="fixed"/>
        <w:tblCellMar>
          <w:top w:w="0" w:type="dxa"/>
          <w:left w:w="0" w:type="dxa"/>
          <w:bottom w:w="0" w:type="dxa"/>
          <w:right w:w="0" w:type="dxa"/>
        </w:tblCellMar>
      </w:tblPr>
      <w:tblGrid>
        <w:gridCol w:w="4561"/>
        <w:gridCol w:w="2146"/>
      </w:tblGrid>
      <w:tr>
        <w:trPr/>
        <w:tc>
          <w:tcPr>
            <w:tcW w:w="45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Subsidiaries:</w:t>
            </w:r>
          </w:p>
        </w:tc>
        <w:tc>
          <w:tcPr>
            <w:tcW w:w="21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Place of incorporation</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Nextev Limited</w:t>
            </w:r>
          </w:p>
        </w:tc>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Hong Kong</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XPT Limited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r>
      <w:tr>
        <w:trPr/>
        <w:tc>
          <w:tcPr>
            <w:tcW w:w="456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NEU Battery Asset (Hong Kong) Co., Limited</w:t>
            </w:r>
          </w:p>
        </w:tc>
        <w:tc>
          <w:tcPr>
            <w:tcW w:w="214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Hong Kong</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Power Express Limited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User Enterprise Limited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AI Technology Limited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USA, Inc.</w:t>
            </w:r>
          </w:p>
        </w:tc>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California, United States</w:t>
            </w:r>
          </w:p>
        </w:tc>
      </w:tr>
      <w:tr>
        <w:trPr/>
        <w:tc>
          <w:tcPr>
            <w:tcW w:w="456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NIO Battery Assets Europe B.V.</w:t>
            </w:r>
          </w:p>
        </w:tc>
        <w:tc>
          <w:tcPr>
            <w:tcW w:w="214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Netherlands</w:t>
            </w:r>
          </w:p>
        </w:tc>
      </w:tr>
      <w:tr>
        <w:trPr/>
        <w:tc>
          <w:tcPr>
            <w:tcW w:w="456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New Horizon B.V.</w:t>
            </w:r>
          </w:p>
        </w:tc>
        <w:tc>
          <w:tcPr>
            <w:tcW w:w="214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Netherlands</w:t>
            </w:r>
          </w:p>
        </w:tc>
      </w:tr>
      <w:tr>
        <w:trPr/>
        <w:tc>
          <w:tcPr>
            <w:tcW w:w="456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NIO Nextev Europe Holding B.V.</w:t>
            </w:r>
          </w:p>
        </w:tc>
        <w:tc>
          <w:tcPr>
            <w:tcW w:w="214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Netherlands</w:t>
            </w:r>
          </w:p>
        </w:tc>
      </w:tr>
      <w:tr>
        <w:trPr/>
        <w:tc>
          <w:tcPr>
            <w:tcW w:w="456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NEU Battery Asset Co., Ltd.</w:t>
            </w:r>
          </w:p>
        </w:tc>
        <w:tc>
          <w:tcPr>
            <w:tcW w:w="214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Cayman Islands</w:t>
            </w:r>
          </w:p>
        </w:tc>
      </w:tr>
      <w:tr>
        <w:trPr/>
        <w:tc>
          <w:tcPr>
            <w:tcW w:w="456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NIO AI Technology Limited</w:t>
            </w:r>
          </w:p>
        </w:tc>
        <w:tc>
          <w:tcPr>
            <w:tcW w:w="214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Cayman Islands</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GmbH</w:t>
            </w:r>
          </w:p>
        </w:tc>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Germany</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Holding Co., Ltd.</w:t>
            </w:r>
          </w:p>
        </w:tc>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Co., Ltd.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(Anhui) Co., Ltd.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Technology (Anhui) Co., Ltd.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Financial Leasing Co., Ltd.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XPT (Jiangsu) Investment Co., Ltd.</w:t>
            </w:r>
          </w:p>
        </w:tc>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Shanghai XPT Technology Limited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XPT (Nanjing) E-Powertrain Technology Co., Ltd.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XPT (Nanjing) Energy Storage System Co., Ltd.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Sales and Services Co., Ltd.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Energy Investment (Hubei) Co., Ltd.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Wuhan NIO Energy Co., Ltd.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XPT (Jiangsu) Automotive Technology Co., Ltd.</w:t>
            </w:r>
          </w:p>
        </w:tc>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Anhui NIO Autonomous Driving Technology Co., Ltd.</w:t>
            </w:r>
          </w:p>
        </w:tc>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r>
    </w:tbl>
    <w:p>
      <w:pPr>
        <w:pStyle w:val="TextBody"/>
        <w:bidi w:val="0"/>
        <w:spacing w:before="0" w:after="0"/>
        <w:ind w:left="0" w:right="0" w:hanging="0"/>
        <w:jc w:val="left"/>
        <w:rPr/>
      </w:pPr>
      <w:r>
        <w:rPr/>
        <w:t>​</w:t>
      </w:r>
    </w:p>
    <w:tbl>
      <w:tblPr>
        <w:tblW w:w="7172" w:type="dxa"/>
        <w:jc w:val="left"/>
        <w:tblInd w:w="0" w:type="dxa"/>
        <w:tblLayout w:type="fixed"/>
        <w:tblCellMar>
          <w:top w:w="0" w:type="dxa"/>
          <w:left w:w="0" w:type="dxa"/>
          <w:bottom w:w="0" w:type="dxa"/>
          <w:right w:w="0" w:type="dxa"/>
        </w:tblCellMar>
      </w:tblPr>
      <w:tblGrid>
        <w:gridCol w:w="5116"/>
        <w:gridCol w:w="2056"/>
      </w:tblGrid>
      <w:tr>
        <w:trPr/>
        <w:tc>
          <w:tcPr>
            <w:tcW w:w="51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Consolidated variable interest entities and their subsidiary:</w:t>
            </w:r>
          </w:p>
        </w:tc>
        <w:tc>
          <w:tcPr>
            <w:tcW w:w="20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Place of incorporation</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Beijing NIO Network Technology Co., Ltd.</w:t>
            </w:r>
          </w:p>
        </w:tc>
        <w:tc>
          <w:tcPr>
            <w:tcW w:w="2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Anhui NIO AI Technology Co., Ltd.</w:t>
            </w:r>
          </w:p>
        </w:tc>
        <w:tc>
          <w:tcPr>
            <w:tcW w:w="2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Anhui NIO Data Technology Co., Ltd.</w:t>
            </w:r>
          </w:p>
        </w:tc>
        <w:tc>
          <w:tcPr>
            <w:tcW w:w="2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Insurance Broker Co., Ltd.</w:t>
            </w:r>
          </w:p>
        </w:tc>
        <w:tc>
          <w:tcPr>
            <w:tcW w:w="2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335" w:name="nio-20241231xex11d2.htm"/>
      <w:bookmarkStart w:id="2336" w:name="ksnio20241231xex11d2"/>
      <w:bookmarkEnd w:id="2335"/>
      <w:bookmarkEnd w:id="2336"/>
      <w:r>
        <w:rPr>
          <w:rFonts w:ascii="Times New Roman;Times;serif" w:hAnsi="Times New Roman;Times;serif"/>
          <w:b/>
          <w:sz w:val="20"/>
        </w:rPr>
        <w:t>Exhibit 11.2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Statement of PolicIES</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Governing Material non-public Information and</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The Prevention of InsideR Trading</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(Adopted by the Board of Directors of NIO Inc. and effective on September 11, 2018, and amended on November 3, 2023)</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This Statement of Policies Governing Material Non-Public Information and the Prevention of Insider Trading (this “Statement”) applies to all directors, officers, employees and consultants of NIO Inc. and its subsidiaries and affiliated entities (collectively, the “Company”) and extends to all activities within and outside an individual’s duties at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Every director, officer, employee and consultant of the Company must review this Statement, and when requested by the Company, must execute and return the Certificate of Compliance attached hereto to the Chief Compliance Officer within seven (7) calendar days after receiving the request.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Statement consists of three sections: Section 1 provides an overview; Section 2 sets forth the Company’s policies prohibiting insider trading; and Section 3 explains insider trading.</w:t>
      </w:r>
    </w:p>
    <w:tbl>
      <w:tblPr>
        <w:tblW w:w="1030" w:type="dxa"/>
        <w:jc w:val="left"/>
        <w:tblInd w:w="0" w:type="dxa"/>
        <w:tblLayout w:type="fixed"/>
        <w:tblCellMar>
          <w:top w:w="0" w:type="dxa"/>
          <w:left w:w="0" w:type="dxa"/>
          <w:bottom w:w="0" w:type="dxa"/>
          <w:right w:w="0" w:type="dxa"/>
        </w:tblCellMar>
      </w:tblPr>
      <w:tblGrid>
        <w:gridCol w:w="170"/>
        <w:gridCol w:w="860"/>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8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Summary</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1.1.</w:t>
            </w:r>
          </w:p>
        </w:tc>
        <w:tc>
          <w:tcPr>
            <w:tcW w:w="99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Preventing insider trading is necessary to comply with applicable U.S., Hong Kong and Singapore securities laws and to preserve the reputation and integrity of the Company as well as that of all persons affiliated with it. “Insider trading” occurs when any person purchases or sells any securities while in possession of inside information relating to the securities. As explained in Section 3 below, “inside information” is information which is considered to be both “material” and “non-public.”</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1.2.</w:t>
            </w:r>
          </w:p>
        </w:tc>
        <w:tc>
          <w:tcPr>
            <w:tcW w:w="992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 considers strict compliance with the policies set forth in this Statement (collectively, the “Policy”) to be a matter of utmost importance. Violation of the Policy could cause extreme reputational damage and possible legal liability to you and the Company. Knowing or willful violations of the letter or spirit of the Policy will be grounds for immediate dismissal from the Company. Violation of the Policy might expose the violator to severe criminal penalties, as well as civil liability to any person harmed by the violation. The monetary damages flowing from a violation could be multiple times the profit realized by the violator, not to mention the attorney’s fees of the persons harmed.</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1.3.</w:t>
            </w:r>
          </w:p>
        </w:tc>
        <w:tc>
          <w:tcPr>
            <w:tcW w:w="99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Board of Directors of NIO Inc. has appointed the Chief Financial Officer of NIO Inc., as the Chief Compliance Officer. Questions regarding this Statement should be directed to the Chief Compliance Officer.</w:t>
            </w:r>
          </w:p>
        </w:tc>
      </w:tr>
    </w:tbl>
    <w:tbl>
      <w:tblPr>
        <w:tblW w:w="3265" w:type="dxa"/>
        <w:jc w:val="left"/>
        <w:tblInd w:w="0" w:type="dxa"/>
        <w:tblLayout w:type="fixed"/>
        <w:tblCellMar>
          <w:top w:w="0" w:type="dxa"/>
          <w:left w:w="0" w:type="dxa"/>
          <w:bottom w:w="0" w:type="dxa"/>
          <w:right w:w="0" w:type="dxa"/>
        </w:tblCellMar>
      </w:tblPr>
      <w:tblGrid>
        <w:gridCol w:w="170"/>
        <w:gridCol w:w="3095"/>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09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Policies Prohibiting Insider Trading</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purposes of this Statement, the terms “purchase” and “sell” of securities exclude the acceptance of options or other share-based awards granted by the Company and the exercise of options or vesting of other share-based awards that does not involve the sale of securities. Among other things, the cashless exercise of options does involve the sale of securities and therefore is subject to the policies set forth below. The Policy does not apply to the exercise of a tax withholding right pursuant to which you elect to have the Company withhold ordinary shares or American Depositary Shares (“ADSs”) subject to an option or other award to satisfy tax withholding requirements.</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2.1.</w:t>
            </w:r>
          </w:p>
        </w:tc>
        <w:tc>
          <w:tcPr>
            <w:tcW w:w="99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i/>
                <w:sz w:val="20"/>
              </w:rPr>
              <w:t xml:space="preserve">No Trading </w:t>
            </w:r>
            <w:r>
              <w:rPr>
                <w:rFonts w:ascii="Times New Roman;Times;serif" w:hAnsi="Times New Roman;Times;serif"/>
                <w:sz w:val="20"/>
              </w:rPr>
              <w:t xml:space="preserve">– </w:t>
            </w:r>
            <w:r>
              <w:rPr>
                <w:rFonts w:ascii="Times New Roman;Times;serif" w:hAnsi="Times New Roman;Times;serif"/>
                <w:b/>
                <w:sz w:val="20"/>
              </w:rPr>
              <w:t>No director, officer, employee or consultant of the Company may purchase or sell any ADSs, ordinary shares or other securities of the Company or enter into a binding security trading plan in compliance with Rule 10b5-1 under the U.S. Securities Exchange Act of 1934, as amended (a “Trading Plan”) while in possession of material non-public information relating to the Company or its ADSs, ordinary shares or other securities (the “Material Information”).</w:t>
            </w:r>
          </w:p>
        </w:tc>
      </w:tr>
    </w:tbl>
    <w:p>
      <w:pPr>
        <w:pStyle w:val="TextBody"/>
        <w:bidi w:val="0"/>
        <w:spacing w:before="0" w:after="240"/>
        <w:ind w:left="446" w:right="0" w:hanging="0"/>
        <w:jc w:val="both"/>
        <w:rPr>
          <w:rFonts w:ascii="Times New Roman;Times;serif" w:hAnsi="Times New Roman;Times;serif"/>
          <w:sz w:val="20"/>
        </w:rPr>
      </w:pPr>
      <w:r>
        <w:rPr>
          <w:rFonts w:ascii="Times New Roman;Times;serif" w:hAnsi="Times New Roman;Times;serif"/>
          <w:sz w:val="20"/>
        </w:rPr>
        <w:t>In the event that the Material Information possessed by you relates to the ADSs, ordinary shares or other Company securities, the above policy will require waiting for at least forty-eight (48) hours after public disclosure of the Material Information by the Company, which forty-eight (48) hours shall include in all events at least one full Trading Day on the New York Stock Exchange, the Stock Exchange of Hong Kong Limited (the “Hong Kong Stock Exchange”) and The Singapore Exchange Securities Trading Limited (the “Singapore Exchange”) following the public disclosure. The term “Trading Day” is defined as follows:</w:t>
      </w:r>
    </w:p>
    <w:tbl>
      <w:tblPr>
        <w:tblW w:w="9483" w:type="dxa"/>
        <w:jc w:val="left"/>
        <w:tblInd w:w="0" w:type="dxa"/>
        <w:tblLayout w:type="fixed"/>
        <w:tblCellMar>
          <w:top w:w="0" w:type="dxa"/>
          <w:left w:w="0" w:type="dxa"/>
          <w:bottom w:w="0" w:type="dxa"/>
          <w:right w:w="0" w:type="dxa"/>
        </w:tblCellMar>
      </w:tblPr>
      <w:tblGrid>
        <w:gridCol w:w="23"/>
        <w:gridCol w:w="230"/>
        <w:gridCol w:w="923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 relation to the New York Stock Exchange, as a day on which the New York Stock Exchange is open for trading;</w:t>
            </w:r>
          </w:p>
        </w:tc>
      </w:tr>
    </w:tbl>
    <w:tbl>
      <w:tblPr>
        <w:tblW w:w="10113" w:type="dxa"/>
        <w:jc w:val="left"/>
        <w:tblInd w:w="0" w:type="dxa"/>
        <w:tblLayout w:type="fixed"/>
        <w:tblCellMar>
          <w:top w:w="0" w:type="dxa"/>
          <w:left w:w="0" w:type="dxa"/>
          <w:bottom w:w="0" w:type="dxa"/>
          <w:right w:w="0" w:type="dxa"/>
        </w:tblCellMar>
      </w:tblPr>
      <w:tblGrid>
        <w:gridCol w:w="23"/>
        <w:gridCol w:w="245"/>
        <w:gridCol w:w="984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8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 relation to the Hong Kong Stock Exchange, as a day on which the Hong Kong Stock Exchange is open for trading; and</w:t>
            </w:r>
          </w:p>
        </w:tc>
      </w:tr>
    </w:tbl>
    <w:tbl>
      <w:tblPr>
        <w:tblW w:w="8478" w:type="dxa"/>
        <w:jc w:val="left"/>
        <w:tblInd w:w="0" w:type="dxa"/>
        <w:tblLayout w:type="fixed"/>
        <w:tblCellMar>
          <w:top w:w="0" w:type="dxa"/>
          <w:left w:w="0" w:type="dxa"/>
          <w:bottom w:w="0" w:type="dxa"/>
          <w:right w:w="0" w:type="dxa"/>
        </w:tblCellMar>
      </w:tblPr>
      <w:tblGrid>
        <w:gridCol w:w="23"/>
        <w:gridCol w:w="230"/>
        <w:gridCol w:w="822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82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 relation to the Singapore Exchange, as a day on which the Singapore Exchange is open for trading.</w:t>
            </w:r>
          </w:p>
        </w:tc>
      </w:tr>
    </w:tbl>
    <w:p>
      <w:pPr>
        <w:pStyle w:val="TextBody"/>
        <w:bidi w:val="0"/>
        <w:spacing w:before="0" w:after="240"/>
        <w:ind w:left="446" w:right="0" w:hanging="0"/>
        <w:jc w:val="both"/>
        <w:rPr>
          <w:rFonts w:ascii="Times New Roman;Times;serif" w:hAnsi="Times New Roman;Times;serif"/>
          <w:sz w:val="20"/>
        </w:rPr>
      </w:pPr>
      <w:r>
        <w:rPr>
          <w:rFonts w:ascii="Times New Roman;Times;serif" w:hAnsi="Times New Roman;Times;serif"/>
          <w:sz w:val="20"/>
        </w:rPr>
        <w:t>Except for public holidays in the United States, Hong Kong and Singapore (as the case may be), the New York Stock Exchange regular trading hours are from 9:30 a.m. to 4:00 p.m., New York time, Monday through Friday; the Hong Kong Stock Exchange’s regular trading hours are from 9:30 a.m. to 4:00 p.m., Hong Kong time, Monday through Friday; and the Singapore Exchange’s regular trading hours for full day trading are from 9:00 a.m, to 12:00 p.m., and 1:00 p.m. to 5.00 p.m., Singapore Standard Time, Monday through Friday.</w:t>
      </w:r>
    </w:p>
    <w:p>
      <w:pPr>
        <w:pStyle w:val="TextBody"/>
        <w:bidi w:val="0"/>
        <w:spacing w:before="0" w:after="240"/>
        <w:ind w:left="446" w:right="0" w:hanging="0"/>
        <w:jc w:val="both"/>
        <w:rPr>
          <w:rFonts w:ascii="Times New Roman;Times;serif" w:hAnsi="Times New Roman;Times;serif"/>
          <w:sz w:val="20"/>
        </w:rPr>
      </w:pPr>
      <w:r>
        <w:rPr>
          <w:rFonts w:ascii="Times New Roman;Times;serif" w:hAnsi="Times New Roman;Times;serif"/>
          <w:sz w:val="20"/>
        </w:rPr>
        <w:t xml:space="preserve">In addition, </w:t>
      </w:r>
      <w:r>
        <w:rPr>
          <w:rFonts w:ascii="Times New Roman;Times;serif" w:hAnsi="Times New Roman;Times;serif"/>
          <w:b/>
          <w:sz w:val="20"/>
        </w:rPr>
        <w:t>no director, officer, employee or consultant of the Company may purchase or sell any Company securities or enter into a Trading Plan, without the prior clearance by the Chief Compliance Officer, during any period designated as a “limited trading period” by the Company, regardless of whether such director, officer, employee or consultant possesses any Material Information.</w:t>
      </w:r>
    </w:p>
    <w:p>
      <w:pPr>
        <w:pStyle w:val="TextBody"/>
        <w:bidi w:val="0"/>
        <w:spacing w:before="0" w:after="240"/>
        <w:ind w:left="446" w:right="0" w:hanging="0"/>
        <w:jc w:val="both"/>
        <w:rPr>
          <w:rFonts w:ascii="Times New Roman;Times;serif" w:hAnsi="Times New Roman;Times;serif"/>
          <w:sz w:val="20"/>
        </w:rPr>
      </w:pPr>
      <w:r>
        <w:rPr>
          <w:rFonts w:ascii="Times New Roman;Times;serif" w:hAnsi="Times New Roman;Times;serif"/>
          <w:sz w:val="20"/>
        </w:rPr>
        <w:t xml:space="preserve">Furthermore, </w:t>
      </w:r>
      <w:r>
        <w:rPr>
          <w:rFonts w:ascii="Times New Roman;Times;serif" w:hAnsi="Times New Roman;Times;serif"/>
          <w:b/>
          <w:sz w:val="20"/>
        </w:rPr>
        <w:t>all transactions in Company securities (including without limitation, acquisitions and dispositions of the ADSs, the sale of ordinary shares issued upon</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446" w:right="0" w:hanging="0"/>
        <w:jc w:val="both"/>
        <w:rPr>
          <w:rFonts w:ascii="Times New Roman;Times;serif" w:hAnsi="Times New Roman;Times;serif"/>
          <w:b/>
          <w:sz w:val="20"/>
        </w:rPr>
      </w:pPr>
      <w:r>
        <w:rPr>
          <w:rFonts w:ascii="Times New Roman;Times;serif" w:hAnsi="Times New Roman;Times;serif"/>
          <w:b/>
          <w:sz w:val="20"/>
        </w:rPr>
        <w:t>exercise of options or vesting of other share-based awards and the execution of a Trading Plan, but excluding the acceptance of options or other share-based awards granted by the Company and the exercise of options or vesting of other share-based awards that does not involve the sale of securities) by directors, officers and key employees designated by the Company from time to time must be pre-approved by the Chief Compliance Officer.</w:t>
      </w:r>
    </w:p>
    <w:p>
      <w:pPr>
        <w:pStyle w:val="TextBody"/>
        <w:bidi w:val="0"/>
        <w:spacing w:before="0" w:after="240"/>
        <w:ind w:left="446" w:right="0" w:hanging="0"/>
        <w:jc w:val="both"/>
        <w:rPr>
          <w:rFonts w:ascii="Times New Roman;Times;serif" w:hAnsi="Times New Roman;Times;serif"/>
          <w:sz w:val="20"/>
        </w:rPr>
      </w:pPr>
      <w:r>
        <w:rPr>
          <w:rFonts w:ascii="Times New Roman;Times;serif" w:hAnsi="Times New Roman;Times;serif"/>
          <w:sz w:val="20"/>
        </w:rPr>
        <w:t>Please see Section 3 below for an explanation of the Material Information.</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2.2.</w:t>
            </w:r>
          </w:p>
        </w:tc>
        <w:tc>
          <w:tcPr>
            <w:tcW w:w="99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i/>
                <w:sz w:val="20"/>
              </w:rPr>
              <w:t>Trading Window</w:t>
            </w:r>
            <w:r>
              <w:rPr>
                <w:rFonts w:ascii="Times New Roman;Times;serif" w:hAnsi="Times New Roman;Times;serif"/>
                <w:sz w:val="20"/>
              </w:rPr>
              <w:t xml:space="preserve"> – </w:t>
            </w:r>
            <w:r>
              <w:rPr>
                <w:rFonts w:ascii="Times New Roman;Times;serif" w:hAnsi="Times New Roman;Times;serif"/>
                <w:b/>
                <w:sz w:val="20"/>
              </w:rPr>
              <w:t>Assuming none of the “no trading” restrictions set forth in Section 2.1 above applies, no director, officer, employee or consultant may purchase or sell any securities of the Company or enter into a Trading Plan other than during a Trading Window.</w:t>
            </w:r>
          </w:p>
        </w:tc>
      </w:tr>
    </w:tbl>
    <w:p>
      <w:pPr>
        <w:pStyle w:val="TextBody"/>
        <w:bidi w:val="0"/>
        <w:spacing w:before="0" w:after="240"/>
        <w:ind w:left="446" w:right="0" w:hanging="0"/>
        <w:jc w:val="both"/>
        <w:rPr>
          <w:rFonts w:ascii="Times New Roman;Times;serif" w:hAnsi="Times New Roman;Times;serif"/>
          <w:sz w:val="20"/>
        </w:rPr>
      </w:pPr>
      <w:r>
        <w:rPr>
          <w:rFonts w:ascii="Times New Roman;Times;serif" w:hAnsi="Times New Roman;Times;serif"/>
          <w:sz w:val="20"/>
        </w:rPr>
        <w:t>A “Trading Window” is the period in any fiscal quarter of the Company commencing at the close of business on the second Trading Day following the date of the Company’s public disclosure of its financial results for the prior year or the prior quarter, as applicable, and ending on December 31, March 31, June 30, or September 30, as the case may be.</w:t>
      </w:r>
    </w:p>
    <w:p>
      <w:pPr>
        <w:pStyle w:val="TextBody"/>
        <w:bidi w:val="0"/>
        <w:spacing w:before="0" w:after="240"/>
        <w:ind w:left="446" w:right="0" w:hanging="0"/>
        <w:jc w:val="both"/>
        <w:rPr>
          <w:rFonts w:ascii="Times New Roman;Times;serif" w:hAnsi="Times New Roman;Times;serif"/>
          <w:sz w:val="20"/>
        </w:rPr>
      </w:pPr>
      <w:r>
        <w:rPr>
          <w:rFonts w:ascii="Times New Roman;Times;serif" w:hAnsi="Times New Roman;Times;serif"/>
          <w:sz w:val="20"/>
        </w:rPr>
        <w:t>In other words,</w:t>
      </w:r>
    </w:p>
    <w:tbl>
      <w:tblPr>
        <w:tblW w:w="10205" w:type="dxa"/>
        <w:jc w:val="left"/>
        <w:tblInd w:w="0" w:type="dxa"/>
        <w:tblLayout w:type="fixed"/>
        <w:tblCellMar>
          <w:top w:w="0" w:type="dxa"/>
          <w:left w:w="0" w:type="dxa"/>
          <w:bottom w:w="0" w:type="dxa"/>
          <w:right w:w="0" w:type="dxa"/>
        </w:tblCellMar>
      </w:tblPr>
      <w:tblGrid>
        <w:gridCol w:w="23"/>
        <w:gridCol w:w="186"/>
        <w:gridCol w:w="9996"/>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beginning on January 1 of each year, no director, officer, employee or consultant of the Company may purchase or sell any securities of the Company or enter into a Trading Plan until the close of business on the second Trading Day following the date of the Company’s public disclosure of its financial results for the fiscal year and the fiscal quarter ended on December 31 of</w:t>
            </w:r>
            <w:r>
              <w:rPr>
                <w:rFonts w:ascii="Times New Roman;Times;serif" w:hAnsi="Times New Roman;Times;serif"/>
                <w:sz w:val="20"/>
              </w:rPr>
              <w:t xml:space="preserve"> </w:t>
            </w:r>
            <w:r>
              <w:rPr>
                <w:rFonts w:ascii="Times New Roman;Times;serif" w:hAnsi="Times New Roman;Times;serif"/>
                <w:b/>
                <w:sz w:val="20"/>
              </w:rPr>
              <w:t>the prior year, and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82"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beginning on April 1, July 1 and October 1 of each year, respectively, no director, officer, employee or consultant of the Company may purchase or sell any securities of the Company or enter into a Trading Plan until the close of business on the second Trading Day following the date of the Company’s public disclosure of its financial results for the fiscal quarter ended on March 31, June 30 and September 30 of that year, respectively.</w:t>
            </w:r>
          </w:p>
        </w:tc>
      </w:tr>
    </w:tbl>
    <w:p>
      <w:pPr>
        <w:pStyle w:val="TextBody"/>
        <w:bidi w:val="0"/>
        <w:spacing w:before="0" w:after="240"/>
        <w:ind w:left="446" w:right="0" w:hanging="0"/>
        <w:jc w:val="both"/>
        <w:rPr>
          <w:rFonts w:ascii="Times New Roman;Times;serif" w:hAnsi="Times New Roman;Times;serif"/>
          <w:sz w:val="20"/>
        </w:rPr>
      </w:pPr>
      <w:r>
        <w:rPr>
          <w:rFonts w:ascii="Times New Roman;Times;serif" w:hAnsi="Times New Roman;Times;serif"/>
          <w:sz w:val="20"/>
        </w:rPr>
        <w:t>If the Company’s public disclosure of its financial results for the prior period occurs on a Trading Day more than four hours before the New York Stock Exchange, the Hong Kong Stock Exchange or the Singapore Exchange closes (as appropriate), then the date of disclosure is considered to be the first Trading Day of the New York Stock Exchange, the Hong Kong Stock Exchange or the Singapore Exchange (as the case may be) following the public disclosure.</w:t>
      </w:r>
    </w:p>
    <w:p>
      <w:pPr>
        <w:pStyle w:val="TextBody"/>
        <w:bidi w:val="0"/>
        <w:spacing w:before="0" w:after="240"/>
        <w:ind w:left="446" w:right="0" w:hanging="0"/>
        <w:jc w:val="both"/>
        <w:rPr>
          <w:rFonts w:ascii="Times New Roman;Times;serif" w:hAnsi="Times New Roman;Times;serif"/>
          <w:b/>
          <w:sz w:val="20"/>
        </w:rPr>
      </w:pPr>
      <w:r>
        <w:rPr>
          <w:rFonts w:ascii="Times New Roman;Times;serif" w:hAnsi="Times New Roman;Times;serif"/>
          <w:b/>
          <w:sz w:val="20"/>
        </w:rPr>
        <w:t>Please note that trading in any Company securities during the Trading Window is not a “safe harbor,” and all directors, officers, employees and consultants of the Company should strictly comply with the Policy.</w:t>
      </w:r>
    </w:p>
    <w:p>
      <w:pPr>
        <w:pStyle w:val="TextBody"/>
        <w:bidi w:val="0"/>
        <w:spacing w:before="0" w:after="240"/>
        <w:ind w:left="446" w:right="0" w:hanging="0"/>
        <w:jc w:val="both"/>
        <w:rPr>
          <w:rFonts w:ascii="Times New Roman;Times;serif" w:hAnsi="Times New Roman;Times;serif"/>
          <w:b/>
          <w:sz w:val="20"/>
        </w:rPr>
      </w:pPr>
      <w:r>
        <w:rPr>
          <w:rFonts w:ascii="Times New Roman;Times;serif" w:hAnsi="Times New Roman;Times;serif"/>
          <w:b/>
          <w:sz w:val="20"/>
        </w:rPr>
        <w:t>When in doubt, do not trade! Check with the Chief Compliance Officer first.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446" w:right="0" w:hanging="0"/>
        <w:jc w:val="both"/>
        <w:rPr>
          <w:rFonts w:ascii="Times New Roman;Times;serif" w:hAnsi="Times New Roman;Times;serif"/>
          <w:sz w:val="20"/>
        </w:rPr>
      </w:pPr>
      <w:r>
        <w:rPr>
          <w:rFonts w:ascii="Times New Roman;Times;serif" w:hAnsi="Times New Roman;Times;serif"/>
          <w:sz w:val="20"/>
        </w:rPr>
        <w:t>Notwithstanding the foregoing, sale of the Company’s ADSs pursuant to an existing Trading Plan which was entered into in accordance with the Policy and in compliance with applicable law is not subject to the restrictions on trading in Sections 2.1 and 2.2 above.</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2.3.</w:t>
            </w:r>
          </w:p>
        </w:tc>
        <w:tc>
          <w:tcPr>
            <w:tcW w:w="99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i/>
                <w:sz w:val="20"/>
              </w:rPr>
              <w:t>No Tipping</w:t>
            </w:r>
            <w:r>
              <w:rPr>
                <w:rFonts w:ascii="Times New Roman;Times;serif" w:hAnsi="Times New Roman;Times;serif"/>
                <w:sz w:val="20"/>
              </w:rPr>
              <w:t xml:space="preserve"> – No director, officer, employee or consultant of the Company may directly or indirectly disclose any Material Information to anyone who trades, or whom such director, officer, employee or consultant knows, or ought reasonably to know, is likely to trade in securities (so-called “tipping”), regardless of whether the person or entity who receives the information, the “tippee,” is related to you and regardless of whether you receive any monetary benefit from the tippee.</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2.4.</w:t>
            </w:r>
          </w:p>
        </w:tc>
        <w:tc>
          <w:tcPr>
            <w:tcW w:w="991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i/>
                <w:sz w:val="20"/>
              </w:rPr>
              <w:t xml:space="preserve">Confidentiality </w:t>
            </w:r>
            <w:r>
              <w:rPr>
                <w:rFonts w:ascii="Times New Roman;Times;serif" w:hAnsi="Times New Roman;Times;serif"/>
                <w:sz w:val="20"/>
              </w:rPr>
              <w:t>– No director, officer, employee or consultant of the Company may communicate any Material Information to anyone outside the Company under any circumstances unless approved by the Chief Compliance Officer in advance, or to anyone within the Company other than on a need-to-know basis.</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2.5.</w:t>
            </w:r>
          </w:p>
        </w:tc>
        <w:tc>
          <w:tcPr>
            <w:tcW w:w="992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i/>
                <w:sz w:val="20"/>
              </w:rPr>
              <w:t>No Comment</w:t>
            </w:r>
            <w:r>
              <w:rPr>
                <w:rFonts w:ascii="Times New Roman;Times;serif" w:hAnsi="Times New Roman;Times;serif"/>
                <w:sz w:val="20"/>
              </w:rPr>
              <w:t xml:space="preserve"> – No director, officer, employee or consultant of the Company may discuss any internal matters or developments of the Company with anyone outside of the Company, except as required for the performance of regular corporate duties. Unless you are expressly authorized to the contrary, if you receive any inquiries about the Company or its securities by the financial press, research analysts or others, or any requests for comments or interviews, you are required to decline comment and direct the inquiry or request to the Company’s Chief Financial Officer, who is responsible for coordinating and overseeing the release of information of the Company to the investing public, analysts and others in compliance with applicable laws and regulations.</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2.6.</w:t>
            </w:r>
          </w:p>
        </w:tc>
        <w:tc>
          <w:tcPr>
            <w:tcW w:w="991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i/>
                <w:sz w:val="20"/>
              </w:rPr>
              <w:t>Corrective Action</w:t>
            </w:r>
            <w:r>
              <w:rPr>
                <w:rFonts w:ascii="Times New Roman;Times;serif" w:hAnsi="Times New Roman;Times;serif"/>
                <w:sz w:val="20"/>
              </w:rPr>
              <w:t xml:space="preserve"> – If you become aware that any potential Material Information has been or may have been inadvertently disclosed, you must notify the Chief Compliance Officer immediately so that the Company can determine whether or not corrective action, such as general disclosure to the public, is warranted.</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2.7.</w:t>
            </w:r>
          </w:p>
        </w:tc>
        <w:tc>
          <w:tcPr>
            <w:tcW w:w="99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i/>
                <w:sz w:val="20"/>
              </w:rPr>
              <w:t>Rule 10b5-1 Trading Plans</w:t>
            </w:r>
            <w:r>
              <w:rPr>
                <w:rFonts w:ascii="Times New Roman;Times;serif" w:hAnsi="Times New Roman;Times;serif"/>
                <w:sz w:val="20"/>
              </w:rPr>
              <w:t xml:space="preserve"> – Rule 10b5-1 provides an affirmative defense against insider trading liability under U.S. securities laws. A person subject to this Policy can rely on this defense and trade in the Company’s ADSs, regardless of their awareness of inside information, if the transaction occurs pursuant to a pre-arranged written Trading Plan that was entered into when the person was not in possession of material non-public information and that complies with the requirements of Rule 10b5-1.</w:t>
            </w:r>
          </w:p>
        </w:tc>
      </w:tr>
    </w:tbl>
    <w:p>
      <w:pPr>
        <w:pStyle w:val="TextBody"/>
        <w:bidi w:val="0"/>
        <w:spacing w:before="0" w:after="240"/>
        <w:ind w:left="446" w:right="0" w:hanging="0"/>
        <w:jc w:val="both"/>
        <w:rPr>
          <w:rFonts w:ascii="Times New Roman;Times;serif" w:hAnsi="Times New Roman;Times;serif"/>
          <w:sz w:val="20"/>
        </w:rPr>
      </w:pPr>
      <w:r>
        <w:rPr>
          <w:rFonts w:ascii="Times New Roman;Times;serif" w:hAnsi="Times New Roman;Times;serif"/>
          <w:sz w:val="20"/>
        </w:rPr>
        <w:t>Anyone subject to this Policy who wishes to enter into a Trading Plan must submit the Trading Plan to the Chief Compliance Officer for approval at least ten business days prior to the planned entry into the Trading Plan. Trading Plans may not be adopted by a person when he or she is in possession of material non-public information about the Company or its securities and must comply with the requirements of Rule 10b5-1 (including specified waiting periods and limitations on multiple overlapping plans and single trade plans).</w:t>
      </w:r>
    </w:p>
    <w:p>
      <w:pPr>
        <w:pStyle w:val="TextBody"/>
        <w:bidi w:val="0"/>
        <w:spacing w:before="0" w:after="240"/>
        <w:ind w:left="446" w:right="0" w:hanging="0"/>
        <w:jc w:val="both"/>
        <w:rPr>
          <w:rFonts w:ascii="Times New Roman;Times;serif" w:hAnsi="Times New Roman;Times;serif"/>
          <w:sz w:val="20"/>
        </w:rPr>
      </w:pPr>
      <w:r>
        <w:rPr>
          <w:rFonts w:ascii="Times New Roman;Times;serif" w:hAnsi="Times New Roman;Times;serif"/>
          <w:sz w:val="20"/>
        </w:rPr>
        <w:t>Once a Trading Plan is adopted, you must not exercise any subsequent influence over the amount of securities to be traded, the price at which they are to be traded or the date(s) of the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446" w:right="0" w:hanging="0"/>
        <w:jc w:val="both"/>
        <w:rPr>
          <w:rFonts w:ascii="Times New Roman;Times;serif" w:hAnsi="Times New Roman;Times;serif"/>
          <w:sz w:val="20"/>
        </w:rPr>
      </w:pPr>
      <w:r>
        <w:rPr>
          <w:rFonts w:ascii="Times New Roman;Times;serif" w:hAnsi="Times New Roman;Times;serif"/>
          <w:sz w:val="20"/>
        </w:rPr>
        <w:t>trade(s). You may amend or replace a Trading Plan only during periods when trading is permitted in accordance with this Policy, and you must submit any proposed amendment or replacement of a Trading Plan to the Chief Compliance Officer for approval prior to adoption. You must provide notice to the Chief Compliance Officer prior to terminating a Trading Plan. You should understand that a modification or termination of a Trading Plan may call into question your good faith in entering into and operating the plan (and therefore may jeopardize the availability of the affirmative defense against insider trading allegations).</w:t>
      </w:r>
    </w:p>
    <w:tbl>
      <w:tblPr>
        <w:tblW w:w="2845" w:type="dxa"/>
        <w:jc w:val="left"/>
        <w:tblInd w:w="0" w:type="dxa"/>
        <w:tblLayout w:type="fixed"/>
        <w:tblCellMar>
          <w:top w:w="0" w:type="dxa"/>
          <w:left w:w="0" w:type="dxa"/>
          <w:bottom w:w="0" w:type="dxa"/>
          <w:right w:w="0" w:type="dxa"/>
        </w:tblCellMar>
      </w:tblPr>
      <w:tblGrid>
        <w:gridCol w:w="170"/>
        <w:gridCol w:w="2675"/>
      </w:tblGrid>
      <w:tr>
        <w:trPr/>
        <w:tc>
          <w:tcPr>
            <w:tcW w:w="1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3.</w:t>
            </w:r>
          </w:p>
        </w:tc>
        <w:tc>
          <w:tcPr>
            <w:tcW w:w="267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Explanation of Insider Trading</w:t>
            </w:r>
          </w:p>
        </w:tc>
      </w:tr>
    </w:tbl>
    <w:p>
      <w:pPr>
        <w:pStyle w:val="TextBody"/>
        <w:bidi w:val="0"/>
        <w:spacing w:before="0" w:after="0"/>
        <w:ind w:left="44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noted above, “insider trading” refers to the purchase or sale of a security while in possession of “material” “non-public” information relating to Company, its shareholders or officers, and its securities. “Securities” include not only stocks, bonds, notes and debentures, but also options, warrants and similar instruments, as well as securities-based derivatives contracts. “Purchase” and “sale” are defined broadly under the U.S. federal and other applicable securities laws. “Purchase” includes not only the actual purchase of a security, but also subscriptions, and any contract or arrangement to purchase or otherwise acquire a security. “Sale” includes not only the actual sale of a security, but any contract or arrangement to sell or otherwise dispose of a security. These definitions extend to a broad range of transactions including conventional cash-for-stock transactions, the grant and exercise of stock options and acquisitions and exercises of warrants or puts, calls or other options related to a security. It is generally understood that “insider trading” includes the following:</w:t>
      </w:r>
    </w:p>
    <w:tbl>
      <w:tblPr>
        <w:tblW w:w="6310" w:type="dxa"/>
        <w:jc w:val="left"/>
        <w:tblInd w:w="0" w:type="dxa"/>
        <w:tblLayout w:type="fixed"/>
        <w:tblCellMar>
          <w:top w:w="0" w:type="dxa"/>
          <w:left w:w="0" w:type="dxa"/>
          <w:bottom w:w="0" w:type="dxa"/>
          <w:right w:w="0" w:type="dxa"/>
        </w:tblCellMar>
      </w:tblPr>
      <w:tblGrid>
        <w:gridCol w:w="230"/>
        <w:gridCol w:w="6080"/>
      </w:tblGrid>
      <w:tr>
        <w:trPr/>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60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trading by insiders while in possession of material non-public information;</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insiders procuring another person to subscribe for, purchase or sell or enter into an agreement to do any of the foregoing, while in possession of material non-public information;</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100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trading by persons other than insiders while in possession of material non-public information where the information either was given in breach of an insider’s fiduciary duty to keep it confidential or was misappropriated; and</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communicating or tipping material non-public information to others, including recommending the purchase or sale of a security while in possession of material non-public information.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noted above, for purposes of this Statement, the terms “purchase” and “sell” of securities exclude the acceptance of options or other share-based awards granted by the Company thereof and the exercise of options or vesting other share-based awards that does not involve the sale of securities. Among other things, the cashless exercise of options does involve the sale of securities and therefore is subject to the Policy.</w:t>
      </w:r>
    </w:p>
    <w:tbl>
      <w:tblPr>
        <w:tblW w:w="2350" w:type="dxa"/>
        <w:jc w:val="left"/>
        <w:tblInd w:w="0" w:type="dxa"/>
        <w:tblLayout w:type="fixed"/>
        <w:tblCellMar>
          <w:top w:w="0" w:type="dxa"/>
          <w:left w:w="0" w:type="dxa"/>
          <w:bottom w:w="0" w:type="dxa"/>
          <w:right w:w="0" w:type="dxa"/>
        </w:tblCellMar>
      </w:tblPr>
      <w:tblGrid>
        <w:gridCol w:w="320"/>
        <w:gridCol w:w="2030"/>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3.1.</w:t>
            </w:r>
          </w:p>
        </w:tc>
        <w:tc>
          <w:tcPr>
            <w:tcW w:w="20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What Facts are Material?</w:t>
            </w:r>
          </w:p>
        </w:tc>
      </w:tr>
    </w:tbl>
    <w:p>
      <w:pPr>
        <w:pStyle w:val="TextBody"/>
        <w:bidi w:val="0"/>
        <w:spacing w:before="0" w:after="240"/>
        <w:ind w:left="432" w:right="0" w:hanging="0"/>
        <w:jc w:val="both"/>
        <w:rPr>
          <w:rFonts w:ascii="Times New Roman;Times;serif" w:hAnsi="Times New Roman;Times;serif"/>
          <w:sz w:val="20"/>
        </w:rPr>
      </w:pPr>
      <w:r>
        <w:rPr>
          <w:rFonts w:ascii="Times New Roman;Times;serif" w:hAnsi="Times New Roman;Times;serif"/>
          <w:sz w:val="20"/>
        </w:rPr>
        <w:t>The materiality of a fact depends upon the circumstances. A fact is considered “material” if there is a substantial likelihood that a reasonable investor would consider it important in making a decision to buy, sell or hold a security or where the fact is likely to have a significant effect on the market price of the securities. Information may be material even if it relates to future, speculative or contingent events and even if it is significant only when considered in</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432" w:right="0" w:hanging="0"/>
        <w:jc w:val="both"/>
        <w:rPr>
          <w:rFonts w:ascii="Times New Roman;Times;serif" w:hAnsi="Times New Roman;Times;serif"/>
          <w:sz w:val="20"/>
        </w:rPr>
      </w:pPr>
      <w:r>
        <w:rPr>
          <w:rFonts w:ascii="Times New Roman;Times;serif" w:hAnsi="Times New Roman;Times;serif"/>
          <w:sz w:val="20"/>
        </w:rPr>
        <w:t>combination with publicly available information. Material information can be positive or negative and can relate to virtually any aspect of a company’s business or to any type of security, debt or equity.</w:t>
      </w:r>
    </w:p>
    <w:p>
      <w:pPr>
        <w:pStyle w:val="TextBody"/>
        <w:bidi w:val="0"/>
        <w:spacing w:before="0" w:after="240"/>
        <w:ind w:left="432" w:right="0" w:hanging="0"/>
        <w:jc w:val="both"/>
        <w:rPr>
          <w:rFonts w:ascii="Times New Roman;Times;serif" w:hAnsi="Times New Roman;Times;serif"/>
          <w:sz w:val="20"/>
        </w:rPr>
      </w:pPr>
      <w:r>
        <w:rPr>
          <w:rFonts w:ascii="Times New Roman;Times;serif" w:hAnsi="Times New Roman;Times;serif"/>
          <w:sz w:val="20"/>
        </w:rPr>
        <w:t>Examples of material information include (but are not limited to) information concerning:</w:t>
      </w:r>
    </w:p>
    <w:tbl>
      <w:tblPr>
        <w:tblW w:w="1143" w:type="dxa"/>
        <w:jc w:val="left"/>
        <w:tblInd w:w="0" w:type="dxa"/>
        <w:tblLayout w:type="fixed"/>
        <w:tblCellMar>
          <w:top w:w="0" w:type="dxa"/>
          <w:left w:w="0" w:type="dxa"/>
          <w:bottom w:w="0" w:type="dxa"/>
          <w:right w:w="0" w:type="dxa"/>
        </w:tblCellMar>
      </w:tblPr>
      <w:tblGrid>
        <w:gridCol w:w="23"/>
        <w:gridCol w:w="230"/>
        <w:gridCol w:w="89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(a)</w:t>
            </w:r>
          </w:p>
        </w:tc>
        <w:tc>
          <w:tcPr>
            <w:tcW w:w="89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dividends;</w:t>
            </w:r>
          </w:p>
        </w:tc>
      </w:tr>
    </w:tbl>
    <w:tbl>
      <w:tblPr>
        <w:tblW w:w="9393" w:type="dxa"/>
        <w:jc w:val="left"/>
        <w:tblInd w:w="0" w:type="dxa"/>
        <w:tblLayout w:type="fixed"/>
        <w:tblCellMar>
          <w:top w:w="0" w:type="dxa"/>
          <w:left w:w="0" w:type="dxa"/>
          <w:bottom w:w="0" w:type="dxa"/>
          <w:right w:w="0" w:type="dxa"/>
        </w:tblCellMar>
      </w:tblPr>
      <w:tblGrid>
        <w:gridCol w:w="23"/>
        <w:gridCol w:w="245"/>
        <w:gridCol w:w="912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(b)</w:t>
            </w:r>
          </w:p>
        </w:tc>
        <w:tc>
          <w:tcPr>
            <w:tcW w:w="91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corporate earnings or earnings forecasts, or changes to previously released earnings announcements or guidance;</w:t>
            </w:r>
          </w:p>
        </w:tc>
      </w:tr>
    </w:tbl>
    <w:tbl>
      <w:tblPr>
        <w:tblW w:w="3948" w:type="dxa"/>
        <w:jc w:val="left"/>
        <w:tblInd w:w="0" w:type="dxa"/>
        <w:tblLayout w:type="fixed"/>
        <w:tblCellMar>
          <w:top w:w="0" w:type="dxa"/>
          <w:left w:w="0" w:type="dxa"/>
          <w:bottom w:w="0" w:type="dxa"/>
          <w:right w:w="0" w:type="dxa"/>
        </w:tblCellMar>
      </w:tblPr>
      <w:tblGrid>
        <w:gridCol w:w="23"/>
        <w:gridCol w:w="230"/>
        <w:gridCol w:w="369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w:t>
            </w:r>
          </w:p>
        </w:tc>
        <w:tc>
          <w:tcPr>
            <w:tcW w:w="369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changes in financial condition or asset value;</w:t>
            </w:r>
          </w:p>
        </w:tc>
      </w:tr>
    </w:tbl>
    <w:tbl>
      <w:tblPr>
        <w:tblW w:w="3783" w:type="dxa"/>
        <w:jc w:val="left"/>
        <w:tblInd w:w="0" w:type="dxa"/>
        <w:tblLayout w:type="fixed"/>
        <w:tblCellMar>
          <w:top w:w="0" w:type="dxa"/>
          <w:left w:w="0" w:type="dxa"/>
          <w:bottom w:w="0" w:type="dxa"/>
          <w:right w:w="0" w:type="dxa"/>
        </w:tblCellMar>
      </w:tblPr>
      <w:tblGrid>
        <w:gridCol w:w="23"/>
        <w:gridCol w:w="245"/>
        <w:gridCol w:w="351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(d)</w:t>
            </w:r>
          </w:p>
        </w:tc>
        <w:tc>
          <w:tcPr>
            <w:tcW w:w="351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changes in control and control agreements;</w:t>
            </w:r>
          </w:p>
        </w:tc>
      </w:tr>
    </w:tbl>
    <w:tbl>
      <w:tblPr>
        <w:tblW w:w="3348" w:type="dxa"/>
        <w:jc w:val="left"/>
        <w:tblInd w:w="0" w:type="dxa"/>
        <w:tblLayout w:type="fixed"/>
        <w:tblCellMar>
          <w:top w:w="0" w:type="dxa"/>
          <w:left w:w="0" w:type="dxa"/>
          <w:bottom w:w="0" w:type="dxa"/>
          <w:right w:w="0" w:type="dxa"/>
        </w:tblCellMar>
      </w:tblPr>
      <w:tblGrid>
        <w:gridCol w:w="23"/>
        <w:gridCol w:w="230"/>
        <w:gridCol w:w="309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(e)</w:t>
            </w:r>
          </w:p>
        </w:tc>
        <w:tc>
          <w:tcPr>
            <w:tcW w:w="309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changes in directors service contracts;</w:t>
            </w:r>
          </w:p>
        </w:tc>
      </w:tr>
    </w:tbl>
    <w:tbl>
      <w:tblPr>
        <w:tblW w:w="6393" w:type="dxa"/>
        <w:jc w:val="left"/>
        <w:tblInd w:w="0" w:type="dxa"/>
        <w:tblLayout w:type="fixed"/>
        <w:tblCellMar>
          <w:top w:w="0" w:type="dxa"/>
          <w:left w:w="0" w:type="dxa"/>
          <w:bottom w:w="0" w:type="dxa"/>
          <w:right w:w="0" w:type="dxa"/>
        </w:tblCellMar>
      </w:tblPr>
      <w:tblGrid>
        <w:gridCol w:w="23"/>
        <w:gridCol w:w="200"/>
        <w:gridCol w:w="617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(f)</w:t>
            </w:r>
          </w:p>
        </w:tc>
        <w:tc>
          <w:tcPr>
            <w:tcW w:w="617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changes in auditors or any other information related to the auditors activity;</w:t>
            </w:r>
          </w:p>
        </w:tc>
      </w:tr>
    </w:tbl>
    <w:tbl>
      <w:tblPr>
        <w:tblW w:w="2583" w:type="dxa"/>
        <w:jc w:val="left"/>
        <w:tblInd w:w="0" w:type="dxa"/>
        <w:tblLayout w:type="fixed"/>
        <w:tblCellMar>
          <w:top w:w="0" w:type="dxa"/>
          <w:left w:w="0" w:type="dxa"/>
          <w:bottom w:w="0" w:type="dxa"/>
          <w:right w:w="0" w:type="dxa"/>
        </w:tblCellMar>
      </w:tblPr>
      <w:tblGrid>
        <w:gridCol w:w="23"/>
        <w:gridCol w:w="245"/>
        <w:gridCol w:w="231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(g)</w:t>
            </w:r>
          </w:p>
        </w:tc>
        <w:tc>
          <w:tcPr>
            <w:tcW w:w="231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changes in the share capital;</w:t>
            </w:r>
          </w:p>
        </w:tc>
      </w:tr>
    </w:tbl>
    <w:tbl>
      <w:tblPr>
        <w:tblW w:w="7008" w:type="dxa"/>
        <w:jc w:val="left"/>
        <w:tblInd w:w="0" w:type="dxa"/>
        <w:tblLayout w:type="fixed"/>
        <w:tblCellMar>
          <w:top w:w="0" w:type="dxa"/>
          <w:left w:w="0" w:type="dxa"/>
          <w:bottom w:w="0" w:type="dxa"/>
          <w:right w:w="0" w:type="dxa"/>
        </w:tblCellMar>
      </w:tblPr>
      <w:tblGrid>
        <w:gridCol w:w="23"/>
        <w:gridCol w:w="245"/>
        <w:gridCol w:w="674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(h)</w:t>
            </w:r>
          </w:p>
        </w:tc>
        <w:tc>
          <w:tcPr>
            <w:tcW w:w="674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changes to the memorandum and articles (or equivalent constitutional documents);</w:t>
            </w:r>
          </w:p>
        </w:tc>
      </w:tr>
    </w:tbl>
    <w:tbl>
      <w:tblPr>
        <w:tblW w:w="7908" w:type="dxa"/>
        <w:jc w:val="left"/>
        <w:tblInd w:w="0" w:type="dxa"/>
        <w:tblLayout w:type="fixed"/>
        <w:tblCellMar>
          <w:top w:w="0" w:type="dxa"/>
          <w:left w:w="0" w:type="dxa"/>
          <w:bottom w:w="0" w:type="dxa"/>
          <w:right w:w="0" w:type="dxa"/>
        </w:tblCellMar>
      </w:tblPr>
      <w:tblGrid>
        <w:gridCol w:w="23"/>
        <w:gridCol w:w="200"/>
        <w:gridCol w:w="768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(i)</w:t>
            </w:r>
          </w:p>
        </w:tc>
        <w:tc>
          <w:tcPr>
            <w:tcW w:w="768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negotiations for the mergers or acquisitions or dispositions of significant subsidiaries or assets;</w:t>
            </w:r>
          </w:p>
        </w:tc>
      </w:tr>
    </w:tbl>
    <w:tbl>
      <w:tblPr>
        <w:tblW w:w="5163" w:type="dxa"/>
        <w:jc w:val="left"/>
        <w:tblInd w:w="0" w:type="dxa"/>
        <w:tblLayout w:type="fixed"/>
        <w:tblCellMar>
          <w:top w:w="0" w:type="dxa"/>
          <w:left w:w="0" w:type="dxa"/>
          <w:bottom w:w="0" w:type="dxa"/>
          <w:right w:w="0" w:type="dxa"/>
        </w:tblCellMar>
      </w:tblPr>
      <w:tblGrid>
        <w:gridCol w:w="23"/>
        <w:gridCol w:w="200"/>
        <w:gridCol w:w="494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(j)</w:t>
            </w:r>
          </w:p>
        </w:tc>
        <w:tc>
          <w:tcPr>
            <w:tcW w:w="494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significant new contracts or the loss of a significant contract;</w:t>
            </w:r>
          </w:p>
        </w:tc>
      </w:tr>
    </w:tbl>
    <w:tbl>
      <w:tblPr>
        <w:tblW w:w="3243" w:type="dxa"/>
        <w:jc w:val="left"/>
        <w:tblInd w:w="0" w:type="dxa"/>
        <w:tblLayout w:type="fixed"/>
        <w:tblCellMar>
          <w:top w:w="0" w:type="dxa"/>
          <w:left w:w="0" w:type="dxa"/>
          <w:bottom w:w="0" w:type="dxa"/>
          <w:right w:w="0" w:type="dxa"/>
        </w:tblCellMar>
      </w:tblPr>
      <w:tblGrid>
        <w:gridCol w:w="23"/>
        <w:gridCol w:w="245"/>
        <w:gridCol w:w="29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(k)</w:t>
            </w:r>
          </w:p>
        </w:tc>
        <w:tc>
          <w:tcPr>
            <w:tcW w:w="29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significant new products or services;</w:t>
            </w:r>
          </w:p>
        </w:tc>
      </w:tr>
    </w:tbl>
    <w:tbl>
      <w:tblPr>
        <w:tblW w:w="4548" w:type="dxa"/>
        <w:jc w:val="left"/>
        <w:tblInd w:w="0" w:type="dxa"/>
        <w:tblLayout w:type="fixed"/>
        <w:tblCellMar>
          <w:top w:w="0" w:type="dxa"/>
          <w:left w:w="0" w:type="dxa"/>
          <w:bottom w:w="0" w:type="dxa"/>
          <w:right w:w="0" w:type="dxa"/>
        </w:tblCellMar>
      </w:tblPr>
      <w:tblGrid>
        <w:gridCol w:w="23"/>
        <w:gridCol w:w="200"/>
        <w:gridCol w:w="432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(l)</w:t>
            </w:r>
          </w:p>
        </w:tc>
        <w:tc>
          <w:tcPr>
            <w:tcW w:w="43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significant marketing plans or changes in such plans;</w:t>
            </w:r>
          </w:p>
        </w:tc>
      </w:tr>
    </w:tbl>
    <w:tbl>
      <w:tblPr>
        <w:tblW w:w="4398" w:type="dxa"/>
        <w:jc w:val="left"/>
        <w:tblInd w:w="0" w:type="dxa"/>
        <w:tblLayout w:type="fixed"/>
        <w:tblCellMar>
          <w:top w:w="0" w:type="dxa"/>
          <w:left w:w="0" w:type="dxa"/>
          <w:bottom w:w="0" w:type="dxa"/>
          <w:right w:w="0" w:type="dxa"/>
        </w:tblCellMar>
      </w:tblPr>
      <w:tblGrid>
        <w:gridCol w:w="23"/>
        <w:gridCol w:w="290"/>
        <w:gridCol w:w="408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(m)</w:t>
            </w:r>
          </w:p>
        </w:tc>
        <w:tc>
          <w:tcPr>
            <w:tcW w:w="408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capital investment plans or changes in such plans;</w:t>
            </w:r>
          </w:p>
        </w:tc>
      </w:tr>
    </w:tbl>
    <w:tbl>
      <w:tblPr>
        <w:tblW w:w="10205" w:type="dxa"/>
        <w:jc w:val="left"/>
        <w:tblInd w:w="0" w:type="dxa"/>
        <w:tblLayout w:type="fixed"/>
        <w:tblCellMar>
          <w:top w:w="0" w:type="dxa"/>
          <w:left w:w="0" w:type="dxa"/>
          <w:bottom w:w="0" w:type="dxa"/>
          <w:right w:w="0" w:type="dxa"/>
        </w:tblCellMar>
      </w:tblPr>
      <w:tblGrid>
        <w:gridCol w:w="23"/>
        <w:gridCol w:w="226"/>
        <w:gridCol w:w="9956"/>
      </w:tblGrid>
      <w:tr>
        <w:trPr/>
        <w:tc>
          <w:tcPr>
            <w:tcW w:w="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(n)</w:t>
            </w:r>
          </w:p>
        </w:tc>
        <w:tc>
          <w:tcPr>
            <w:tcW w:w="9956"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material litigation, administrative action or governmental investigations or inquiries about the Company, any of its affiliated companies, or any of its officers or directors;</w:t>
            </w:r>
          </w:p>
        </w:tc>
      </w:tr>
    </w:tbl>
    <w:tbl>
      <w:tblPr>
        <w:tblW w:w="3288" w:type="dxa"/>
        <w:jc w:val="left"/>
        <w:tblInd w:w="0" w:type="dxa"/>
        <w:tblLayout w:type="fixed"/>
        <w:tblCellMar>
          <w:top w:w="0" w:type="dxa"/>
          <w:left w:w="0" w:type="dxa"/>
          <w:bottom w:w="0" w:type="dxa"/>
          <w:right w:w="0" w:type="dxa"/>
        </w:tblCellMar>
      </w:tblPr>
      <w:tblGrid>
        <w:gridCol w:w="23"/>
        <w:gridCol w:w="245"/>
        <w:gridCol w:w="302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(o)</w:t>
            </w:r>
          </w:p>
        </w:tc>
        <w:tc>
          <w:tcPr>
            <w:tcW w:w="302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significant borrowings or financings;</w:t>
            </w:r>
          </w:p>
        </w:tc>
      </w:tr>
    </w:tbl>
    <w:tbl>
      <w:tblPr>
        <w:tblW w:w="2208" w:type="dxa"/>
        <w:jc w:val="left"/>
        <w:tblInd w:w="0" w:type="dxa"/>
        <w:tblLayout w:type="fixed"/>
        <w:tblCellMar>
          <w:top w:w="0" w:type="dxa"/>
          <w:left w:w="0" w:type="dxa"/>
          <w:bottom w:w="0" w:type="dxa"/>
          <w:right w:w="0" w:type="dxa"/>
        </w:tblCellMar>
      </w:tblPr>
      <w:tblGrid>
        <w:gridCol w:w="23"/>
        <w:gridCol w:w="245"/>
        <w:gridCol w:w="194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(p)</w:t>
            </w:r>
          </w:p>
        </w:tc>
        <w:tc>
          <w:tcPr>
            <w:tcW w:w="194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defaults on borrowings;</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(q)</w:t>
            </w:r>
          </w:p>
        </w:tc>
        <w:tc>
          <w:tcPr>
            <w:tcW w:w="9948"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new equity or debt offerings, including issuing of debt securities, convertible instruments, options or warrants to acquire or subscribe for securities;</w:t>
            </w:r>
          </w:p>
        </w:tc>
      </w:tr>
    </w:tbl>
    <w:tbl>
      <w:tblPr>
        <w:tblW w:w="6153" w:type="dxa"/>
        <w:jc w:val="left"/>
        <w:tblInd w:w="0" w:type="dxa"/>
        <w:tblLayout w:type="fixed"/>
        <w:tblCellMar>
          <w:top w:w="0" w:type="dxa"/>
          <w:left w:w="0" w:type="dxa"/>
          <w:bottom w:w="0" w:type="dxa"/>
          <w:right w:w="0" w:type="dxa"/>
        </w:tblCellMar>
      </w:tblPr>
      <w:tblGrid>
        <w:gridCol w:w="23"/>
        <w:gridCol w:w="200"/>
        <w:gridCol w:w="593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(r)</w:t>
            </w:r>
          </w:p>
        </w:tc>
        <w:tc>
          <w:tcPr>
            <w:tcW w:w="5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adoption of repurchase plans or amendment of existing repurchase plans;</w:t>
            </w:r>
          </w:p>
        </w:tc>
      </w:tr>
    </w:tbl>
    <w:tbl>
      <w:tblPr>
        <w:tblW w:w="2733" w:type="dxa"/>
        <w:jc w:val="left"/>
        <w:tblInd w:w="0" w:type="dxa"/>
        <w:tblLayout w:type="fixed"/>
        <w:tblCellMar>
          <w:top w:w="0" w:type="dxa"/>
          <w:left w:w="0" w:type="dxa"/>
          <w:bottom w:w="0" w:type="dxa"/>
          <w:right w:w="0" w:type="dxa"/>
        </w:tblCellMar>
      </w:tblPr>
      <w:tblGrid>
        <w:gridCol w:w="23"/>
        <w:gridCol w:w="215"/>
        <w:gridCol w:w="2495"/>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(s)</w:t>
            </w:r>
          </w:p>
        </w:tc>
        <w:tc>
          <w:tcPr>
            <w:tcW w:w="249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significant personnel changes;</w:t>
            </w:r>
          </w:p>
        </w:tc>
      </w:tr>
    </w:tbl>
    <w:tbl>
      <w:tblPr>
        <w:tblW w:w="9093" w:type="dxa"/>
        <w:jc w:val="left"/>
        <w:tblInd w:w="0" w:type="dxa"/>
        <w:tblLayout w:type="fixed"/>
        <w:tblCellMar>
          <w:top w:w="0" w:type="dxa"/>
          <w:left w:w="0" w:type="dxa"/>
          <w:bottom w:w="0" w:type="dxa"/>
          <w:right w:w="0" w:type="dxa"/>
        </w:tblCellMar>
      </w:tblPr>
      <w:tblGrid>
        <w:gridCol w:w="23"/>
        <w:gridCol w:w="200"/>
        <w:gridCol w:w="887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(t)</w:t>
            </w:r>
          </w:p>
        </w:tc>
        <w:tc>
          <w:tcPr>
            <w:tcW w:w="887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a cybersecurity incident or risk that may adversely impact the Company’s business, reputation or share value;</w:t>
            </w:r>
          </w:p>
        </w:tc>
      </w:tr>
    </w:tbl>
    <w:tbl>
      <w:tblPr>
        <w:tblW w:w="4068" w:type="dxa"/>
        <w:jc w:val="left"/>
        <w:tblInd w:w="0" w:type="dxa"/>
        <w:tblLayout w:type="fixed"/>
        <w:tblCellMar>
          <w:top w:w="0" w:type="dxa"/>
          <w:left w:w="0" w:type="dxa"/>
          <w:bottom w:w="0" w:type="dxa"/>
          <w:right w:w="0" w:type="dxa"/>
        </w:tblCellMar>
      </w:tblPr>
      <w:tblGrid>
        <w:gridCol w:w="23"/>
        <w:gridCol w:w="245"/>
        <w:gridCol w:w="38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(u)</w:t>
            </w:r>
          </w:p>
        </w:tc>
        <w:tc>
          <w:tcPr>
            <w:tcW w:w="380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changes in accounting methods and write-offs;</w:t>
            </w:r>
          </w:p>
        </w:tc>
      </w:tr>
    </w:tbl>
    <w:tbl>
      <w:tblPr>
        <w:tblW w:w="10205" w:type="dxa"/>
        <w:jc w:val="left"/>
        <w:tblInd w:w="0" w:type="dxa"/>
        <w:tblLayout w:type="fixed"/>
        <w:tblCellMar>
          <w:top w:w="0" w:type="dxa"/>
          <w:left w:w="0" w:type="dxa"/>
          <w:bottom w:w="0" w:type="dxa"/>
          <w:right w:w="0" w:type="dxa"/>
        </w:tblCellMar>
      </w:tblPr>
      <w:tblGrid>
        <w:gridCol w:w="23"/>
        <w:gridCol w:w="243"/>
        <w:gridCol w:w="9939"/>
      </w:tblGrid>
      <w:tr>
        <w:trPr/>
        <w:tc>
          <w:tcPr>
            <w:tcW w:w="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(v)</w:t>
            </w:r>
          </w:p>
        </w:tc>
        <w:tc>
          <w:tcPr>
            <w:tcW w:w="9939"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filing of winding up petitions, the issuing of winding up orders or the appointment of provisional receivers or liquidators; and</w:t>
            </w:r>
          </w:p>
        </w:tc>
      </w:tr>
    </w:tbl>
    <w:tbl>
      <w:tblPr>
        <w:tblW w:w="10205" w:type="dxa"/>
        <w:jc w:val="left"/>
        <w:tblInd w:w="0" w:type="dxa"/>
        <w:tblLayout w:type="fixed"/>
        <w:tblCellMar>
          <w:top w:w="0" w:type="dxa"/>
          <w:left w:w="0" w:type="dxa"/>
          <w:bottom w:w="0" w:type="dxa"/>
          <w:right w:w="0" w:type="dxa"/>
        </w:tblCellMar>
      </w:tblPr>
      <w:tblGrid>
        <w:gridCol w:w="23"/>
        <w:gridCol w:w="259"/>
        <w:gridCol w:w="9923"/>
      </w:tblGrid>
      <w:tr>
        <w:trPr/>
        <w:tc>
          <w:tcPr>
            <w:tcW w:w="2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(w)</w:t>
            </w:r>
          </w:p>
        </w:tc>
        <w:tc>
          <w:tcPr>
            <w:tcW w:w="9923"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any substantial change in industry circumstances or competitive conditions which could significantly affect the Company’s earnings or prospects for expansion.</w:t>
            </w:r>
          </w:p>
        </w:tc>
      </w:tr>
    </w:tbl>
    <w:p>
      <w:pPr>
        <w:pStyle w:val="TextBody"/>
        <w:bidi w:val="0"/>
        <w:spacing w:before="0" w:after="240"/>
        <w:ind w:left="446" w:right="0" w:hanging="0"/>
        <w:jc w:val="both"/>
        <w:rPr>
          <w:rFonts w:ascii="Times New Roman;Times;serif" w:hAnsi="Times New Roman;Times;serif"/>
          <w:sz w:val="20"/>
        </w:rPr>
      </w:pPr>
      <w:r>
        <w:rPr>
          <w:rFonts w:ascii="Times New Roman;Times;serif" w:hAnsi="Times New Roman;Times;serif"/>
          <w:sz w:val="20"/>
        </w:rPr>
        <w:t xml:space="preserve">A good general rule of thumb: </w:t>
      </w:r>
      <w:r>
        <w:rPr>
          <w:rFonts w:ascii="Times New Roman;Times;serif" w:hAnsi="Times New Roman;Times;serif"/>
          <w:b/>
          <w:sz w:val="20"/>
        </w:rPr>
        <w:t>when in doubt, do not trade.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2020" w:type="dxa"/>
        <w:jc w:val="left"/>
        <w:tblInd w:w="0" w:type="dxa"/>
        <w:tblLayout w:type="fixed"/>
        <w:tblCellMar>
          <w:top w:w="0" w:type="dxa"/>
          <w:left w:w="0" w:type="dxa"/>
          <w:bottom w:w="0" w:type="dxa"/>
          <w:right w:w="0" w:type="dxa"/>
        </w:tblCellMar>
      </w:tblPr>
      <w:tblGrid>
        <w:gridCol w:w="320"/>
        <w:gridCol w:w="1700"/>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3.2.</w:t>
            </w:r>
          </w:p>
        </w:tc>
        <w:tc>
          <w:tcPr>
            <w:tcW w:w="17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What is Non-public?</w:t>
            </w:r>
          </w:p>
        </w:tc>
      </w:tr>
    </w:tbl>
    <w:p>
      <w:pPr>
        <w:pStyle w:val="TextBody"/>
        <w:bidi w:val="0"/>
        <w:spacing w:before="0" w:after="240"/>
        <w:ind w:left="432" w:right="0" w:hanging="0"/>
        <w:jc w:val="both"/>
        <w:rPr>
          <w:rFonts w:ascii="Times New Roman;Times;serif" w:hAnsi="Times New Roman;Times;serif"/>
          <w:sz w:val="20"/>
        </w:rPr>
      </w:pPr>
      <w:r>
        <w:rPr>
          <w:rFonts w:ascii="Times New Roman;Times;serif" w:hAnsi="Times New Roman;Times;serif"/>
          <w:sz w:val="20"/>
        </w:rPr>
        <w:t>Information is “non-public” if it is not available to the general public. In order for information to be considered public, it must be widely disseminated in a manner making it generally available to investors through widely-spread media or filings with the United States Securities and Exchange Commission or publications on the websites of the Hong Kong Stock Exchange or the Singapore Exchange. Circulation of rumors, even if accurate and reported in the media, does not constitute effective public dissemination.</w:t>
      </w:r>
    </w:p>
    <w:p>
      <w:pPr>
        <w:pStyle w:val="TextBody"/>
        <w:bidi w:val="0"/>
        <w:spacing w:before="0" w:after="240"/>
        <w:ind w:left="432" w:right="0" w:hanging="0"/>
        <w:jc w:val="both"/>
        <w:rPr>
          <w:rFonts w:ascii="Times New Roman;Times;serif" w:hAnsi="Times New Roman;Times;serif"/>
          <w:sz w:val="20"/>
        </w:rPr>
      </w:pPr>
      <w:r>
        <w:rPr>
          <w:rFonts w:ascii="Times New Roman;Times;serif" w:hAnsi="Times New Roman;Times;serif"/>
          <w:sz w:val="20"/>
        </w:rPr>
        <w:t>In addition, even after a public announcement, a reasonable period of time must lapse in order for the market to react to the information. Generally, one should allow approximately forty-eight (48) hours following publication as a reasonable waiting period before such information is deemed to be public.</w:t>
      </w:r>
    </w:p>
    <w:tbl>
      <w:tblPr>
        <w:tblW w:w="1840" w:type="dxa"/>
        <w:jc w:val="left"/>
        <w:tblInd w:w="0" w:type="dxa"/>
        <w:tblLayout w:type="fixed"/>
        <w:tblCellMar>
          <w:top w:w="0" w:type="dxa"/>
          <w:left w:w="0" w:type="dxa"/>
          <w:bottom w:w="0" w:type="dxa"/>
          <w:right w:w="0" w:type="dxa"/>
        </w:tblCellMar>
      </w:tblPr>
      <w:tblGrid>
        <w:gridCol w:w="320"/>
        <w:gridCol w:w="1520"/>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3.3.</w:t>
            </w:r>
          </w:p>
        </w:tc>
        <w:tc>
          <w:tcPr>
            <w:tcW w:w="15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Who is an Insider?</w:t>
            </w:r>
          </w:p>
        </w:tc>
      </w:tr>
    </w:tbl>
    <w:p>
      <w:pPr>
        <w:pStyle w:val="TextBody"/>
        <w:bidi w:val="0"/>
        <w:spacing w:before="0" w:after="240"/>
        <w:ind w:left="432" w:right="0" w:hanging="0"/>
        <w:jc w:val="both"/>
        <w:rPr/>
      </w:pPr>
      <w:r>
        <w:rPr/>
        <w:t>“</w:t>
      </w:r>
      <w:r>
        <w:rPr>
          <w:rFonts w:ascii="Times New Roman;Times;serif" w:hAnsi="Times New Roman;Times;serif"/>
          <w:sz w:val="20"/>
        </w:rPr>
        <w:t>Insiders” include directors, officers, employees and consultants of a company and anyone else who has material non-public information about a company, such as persons connected by professional or business relationship, or transaction counterparties privy to the material non-public information. Insiders have independent fiduciary duties to their company and its shareholders not to trade on material non-public information relating to the company’s securities. All directors, officers, employees and consultants of the Company are considered insiders with respect to material non-public information about business, activities and securities of the Company. The directors, officers, employees and consultants of the Company may not trade the Company’s securities while in possession of material non-public information relating to the Company or tip (or communicate except on a need-to-know basis) such information to others.</w:t>
      </w:r>
    </w:p>
    <w:p>
      <w:pPr>
        <w:pStyle w:val="TextBody"/>
        <w:bidi w:val="0"/>
        <w:spacing w:before="0" w:after="240"/>
        <w:ind w:left="432" w:right="0" w:hanging="0"/>
        <w:jc w:val="both"/>
        <w:rPr>
          <w:rFonts w:ascii="Times New Roman;Times;serif" w:hAnsi="Times New Roman;Times;serif"/>
          <w:sz w:val="20"/>
        </w:rPr>
      </w:pPr>
      <w:r>
        <w:rPr>
          <w:rFonts w:ascii="Times New Roman;Times;serif" w:hAnsi="Times New Roman;Times;serif"/>
          <w:sz w:val="20"/>
        </w:rPr>
        <w:t>It should be noted that trading by household members of a director, officer, employee or consultant can be the responsibility of such director, officer, employee or consultant under certain circumstances and could give rise to legal and Company-imposed sanctions.</w:t>
      </w:r>
    </w:p>
    <w:tbl>
      <w:tblPr>
        <w:tblW w:w="3475" w:type="dxa"/>
        <w:jc w:val="left"/>
        <w:tblInd w:w="0" w:type="dxa"/>
        <w:tblLayout w:type="fixed"/>
        <w:tblCellMar>
          <w:top w:w="0" w:type="dxa"/>
          <w:left w:w="0" w:type="dxa"/>
          <w:bottom w:w="0" w:type="dxa"/>
          <w:right w:w="0" w:type="dxa"/>
        </w:tblCellMar>
      </w:tblPr>
      <w:tblGrid>
        <w:gridCol w:w="320"/>
        <w:gridCol w:w="3155"/>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3.4.</w:t>
            </w:r>
          </w:p>
        </w:tc>
        <w:tc>
          <w:tcPr>
            <w:tcW w:w="3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Trading by Persons Other than Insiders</w:t>
            </w:r>
          </w:p>
        </w:tc>
      </w:tr>
    </w:tbl>
    <w:p>
      <w:pPr>
        <w:pStyle w:val="TextBody"/>
        <w:bidi w:val="0"/>
        <w:spacing w:before="0" w:after="240"/>
        <w:ind w:left="432" w:right="0" w:hanging="0"/>
        <w:jc w:val="both"/>
        <w:rPr>
          <w:rFonts w:ascii="Times New Roman;Times;serif" w:hAnsi="Times New Roman;Times;serif"/>
          <w:sz w:val="20"/>
        </w:rPr>
      </w:pPr>
      <w:r>
        <w:rPr>
          <w:rFonts w:ascii="Times New Roman;Times;serif" w:hAnsi="Times New Roman;Times;serif"/>
          <w:sz w:val="20"/>
        </w:rPr>
        <w:t>Insiders may be liable for communicating or tipping material non-public information to a third party (a “tippee”), and insider trading violations are not limited to trading or tipping by insiders. In addition to the insiders who have communicated or tipped material non-public information to a third party, persons other than insiders also can be liable for insider trading, including tippees who trade on material non-public information tipped to them or individuals who trade on material non-public information which has been misappropriated.</w:t>
      </w:r>
    </w:p>
    <w:p>
      <w:pPr>
        <w:pStyle w:val="TextBody"/>
        <w:bidi w:val="0"/>
        <w:spacing w:before="0" w:after="240"/>
        <w:ind w:left="432" w:right="0" w:hanging="0"/>
        <w:jc w:val="both"/>
        <w:rPr>
          <w:rFonts w:ascii="Times New Roman;Times;serif" w:hAnsi="Times New Roman;Times;serif"/>
          <w:sz w:val="20"/>
        </w:rPr>
      </w:pPr>
      <w:r>
        <w:rPr>
          <w:rFonts w:ascii="Times New Roman;Times;serif" w:hAnsi="Times New Roman;Times;serif"/>
          <w:sz w:val="20"/>
        </w:rPr>
        <w:t>Tippees inherit an insider’s duties and are liable for trading on material non-public information tipped to them by an insider. Similarly, just as insiders are liable for the insider trading of their tippees, so are tippees who pass the material non-public information along to others who trade on such information.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3685" w:type="dxa"/>
        <w:jc w:val="left"/>
        <w:tblInd w:w="0" w:type="dxa"/>
        <w:tblLayout w:type="fixed"/>
        <w:tblCellMar>
          <w:top w:w="0" w:type="dxa"/>
          <w:left w:w="0" w:type="dxa"/>
          <w:bottom w:w="0" w:type="dxa"/>
          <w:right w:w="0" w:type="dxa"/>
        </w:tblCellMar>
      </w:tblPr>
      <w:tblGrid>
        <w:gridCol w:w="320"/>
        <w:gridCol w:w="3365"/>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3.5.</w:t>
            </w:r>
          </w:p>
        </w:tc>
        <w:tc>
          <w:tcPr>
            <w:tcW w:w="33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Penalties for Engaging in Insider Trading</w:t>
            </w:r>
          </w:p>
        </w:tc>
      </w:tr>
    </w:tbl>
    <w:p>
      <w:pPr>
        <w:pStyle w:val="TextBody"/>
        <w:pBdr/>
        <w:bidi w:val="0"/>
        <w:spacing w:before="0" w:after="240"/>
        <w:ind w:left="567"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3.5.1.</w:t>
      </w:r>
      <w:r>
        <w:rPr>
          <w:rFonts w:ascii="Times New Roman;Times;serif" w:hAnsi="Times New Roman;Times;serif"/>
          <w:sz w:val="20"/>
        </w:rPr>
        <w:t>Penalties under the U.S. Laws</w:t>
      </w:r>
    </w:p>
    <w:p>
      <w:pPr>
        <w:pStyle w:val="TextBody"/>
        <w:bidi w:val="0"/>
        <w:spacing w:before="0" w:after="240"/>
        <w:ind w:left="475" w:right="0" w:hanging="0"/>
        <w:jc w:val="both"/>
        <w:rPr>
          <w:rFonts w:ascii="Times New Roman;Times;serif" w:hAnsi="Times New Roman;Times;serif"/>
          <w:sz w:val="20"/>
        </w:rPr>
      </w:pPr>
      <w:r>
        <w:rPr>
          <w:rFonts w:ascii="Times New Roman;Times;serif" w:hAnsi="Times New Roman;Times;serif"/>
          <w:sz w:val="20"/>
        </w:rPr>
        <w:t>Penalties for trading on or tipping material non-public information can extend significantly beyond any profits made or losses avoided, both for individuals engaging in the unlawful conduct and their employers. The United States Securities and Exchange Commission and the United States Department of Justice have made the civil and criminal prosecution of insider trading violations a top priority. Enforcement remedies available to the government or private plaintiffs under the U.S. federal securities laws include:</w:t>
      </w:r>
    </w:p>
    <w:tbl>
      <w:tblPr>
        <w:tblW w:w="2313" w:type="dxa"/>
        <w:jc w:val="left"/>
        <w:tblInd w:w="0" w:type="dxa"/>
        <w:tblLayout w:type="fixed"/>
        <w:tblCellMar>
          <w:top w:w="0" w:type="dxa"/>
          <w:left w:w="0" w:type="dxa"/>
          <w:bottom w:w="0" w:type="dxa"/>
          <w:right w:w="0" w:type="dxa"/>
        </w:tblCellMar>
      </w:tblPr>
      <w:tblGrid>
        <w:gridCol w:w="23"/>
        <w:gridCol w:w="230"/>
        <w:gridCol w:w="206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(a)</w:t>
            </w:r>
          </w:p>
        </w:tc>
        <w:tc>
          <w:tcPr>
            <w:tcW w:w="206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administrative sanctions;</w:t>
            </w:r>
          </w:p>
        </w:tc>
      </w:tr>
    </w:tbl>
    <w:tbl>
      <w:tblPr>
        <w:tblW w:w="5793" w:type="dxa"/>
        <w:jc w:val="left"/>
        <w:tblInd w:w="0" w:type="dxa"/>
        <w:tblLayout w:type="fixed"/>
        <w:tblCellMar>
          <w:top w:w="0" w:type="dxa"/>
          <w:left w:w="0" w:type="dxa"/>
          <w:bottom w:w="0" w:type="dxa"/>
          <w:right w:w="0" w:type="dxa"/>
        </w:tblCellMar>
      </w:tblPr>
      <w:tblGrid>
        <w:gridCol w:w="23"/>
        <w:gridCol w:w="245"/>
        <w:gridCol w:w="552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(b)</w:t>
            </w:r>
          </w:p>
        </w:tc>
        <w:tc>
          <w:tcPr>
            <w:tcW w:w="55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sanctions by self-regulatory organizations in the securities industry;</w:t>
            </w:r>
          </w:p>
        </w:tc>
      </w:tr>
    </w:tbl>
    <w:tbl>
      <w:tblPr>
        <w:tblW w:w="1683" w:type="dxa"/>
        <w:jc w:val="left"/>
        <w:tblInd w:w="0" w:type="dxa"/>
        <w:tblLayout w:type="fixed"/>
        <w:tblCellMar>
          <w:top w:w="0" w:type="dxa"/>
          <w:left w:w="0" w:type="dxa"/>
          <w:bottom w:w="0" w:type="dxa"/>
          <w:right w:w="0" w:type="dxa"/>
        </w:tblCellMar>
      </w:tblPr>
      <w:tblGrid>
        <w:gridCol w:w="23"/>
        <w:gridCol w:w="230"/>
        <w:gridCol w:w="143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w:t>
            </w:r>
          </w:p>
        </w:tc>
        <w:tc>
          <w:tcPr>
            <w:tcW w:w="14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civil injunctions;</w:t>
            </w:r>
          </w:p>
        </w:tc>
      </w:tr>
    </w:tbl>
    <w:tbl>
      <w:tblPr>
        <w:tblW w:w="3183" w:type="dxa"/>
        <w:jc w:val="left"/>
        <w:tblInd w:w="0" w:type="dxa"/>
        <w:tblLayout w:type="fixed"/>
        <w:tblCellMar>
          <w:top w:w="0" w:type="dxa"/>
          <w:left w:w="0" w:type="dxa"/>
          <w:bottom w:w="0" w:type="dxa"/>
          <w:right w:w="0" w:type="dxa"/>
        </w:tblCellMar>
      </w:tblPr>
      <w:tblGrid>
        <w:gridCol w:w="23"/>
        <w:gridCol w:w="245"/>
        <w:gridCol w:w="291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(d)</w:t>
            </w:r>
          </w:p>
        </w:tc>
        <w:tc>
          <w:tcPr>
            <w:tcW w:w="291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damage awards to private plaintiffs;</w:t>
            </w:r>
          </w:p>
        </w:tc>
      </w:tr>
    </w:tbl>
    <w:tbl>
      <w:tblPr>
        <w:tblW w:w="4068" w:type="dxa"/>
        <w:jc w:val="left"/>
        <w:tblInd w:w="0" w:type="dxa"/>
        <w:tblLayout w:type="fixed"/>
        <w:tblCellMar>
          <w:top w:w="0" w:type="dxa"/>
          <w:left w:w="0" w:type="dxa"/>
          <w:bottom w:w="0" w:type="dxa"/>
          <w:right w:w="0" w:type="dxa"/>
        </w:tblCellMar>
      </w:tblPr>
      <w:tblGrid>
        <w:gridCol w:w="23"/>
        <w:gridCol w:w="230"/>
        <w:gridCol w:w="381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(e)</w:t>
            </w:r>
          </w:p>
        </w:tc>
        <w:tc>
          <w:tcPr>
            <w:tcW w:w="381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disgorgement of profits gained by the violator;</w:t>
            </w:r>
          </w:p>
        </w:tc>
      </w:tr>
    </w:tbl>
    <w:tbl>
      <w:tblPr>
        <w:tblW w:w="8763" w:type="dxa"/>
        <w:jc w:val="left"/>
        <w:tblInd w:w="0" w:type="dxa"/>
        <w:tblLayout w:type="fixed"/>
        <w:tblCellMar>
          <w:top w:w="0" w:type="dxa"/>
          <w:left w:w="0" w:type="dxa"/>
          <w:bottom w:w="0" w:type="dxa"/>
          <w:right w:w="0" w:type="dxa"/>
        </w:tblCellMar>
      </w:tblPr>
      <w:tblGrid>
        <w:gridCol w:w="23"/>
        <w:gridCol w:w="200"/>
        <w:gridCol w:w="854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(f)</w:t>
            </w:r>
          </w:p>
        </w:tc>
        <w:tc>
          <w:tcPr>
            <w:tcW w:w="854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civil fines for the violator of up to three times the amount of profit gained or loss avoided by the violator;</w:t>
            </w:r>
          </w:p>
        </w:tc>
      </w:tr>
    </w:tbl>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(g)</w:t>
            </w:r>
          </w:p>
        </w:tc>
        <w:tc>
          <w:tcPr>
            <w:tcW w:w="9971"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civil fines for the employer or other controlling person of a violator (i.e., where the violator is an employee or other controlled person) of up to the greater of approximately US$2,500,000 or three times the amount of profit gained or loss avoided by the violator;</w:t>
            </w:r>
          </w:p>
        </w:tc>
      </w:tr>
    </w:tbl>
    <w:tbl>
      <w:tblPr>
        <w:tblW w:w="8103" w:type="dxa"/>
        <w:jc w:val="left"/>
        <w:tblInd w:w="0" w:type="dxa"/>
        <w:tblLayout w:type="fixed"/>
        <w:tblCellMar>
          <w:top w:w="0" w:type="dxa"/>
          <w:left w:w="0" w:type="dxa"/>
          <w:bottom w:w="0" w:type="dxa"/>
          <w:right w:w="0" w:type="dxa"/>
        </w:tblCellMar>
      </w:tblPr>
      <w:tblGrid>
        <w:gridCol w:w="23"/>
        <w:gridCol w:w="245"/>
        <w:gridCol w:w="783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(h)</w:t>
            </w:r>
          </w:p>
        </w:tc>
        <w:tc>
          <w:tcPr>
            <w:tcW w:w="783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criminal fines for individual violators of up to US$5,000,000 (US$25,000,000 for an entity); and</w:t>
            </w:r>
          </w:p>
        </w:tc>
      </w:tr>
    </w:tbl>
    <w:tbl>
      <w:tblPr>
        <w:tblW w:w="2778" w:type="dxa"/>
        <w:jc w:val="left"/>
        <w:tblInd w:w="0" w:type="dxa"/>
        <w:tblLayout w:type="fixed"/>
        <w:tblCellMar>
          <w:top w:w="0" w:type="dxa"/>
          <w:left w:w="0" w:type="dxa"/>
          <w:bottom w:w="0" w:type="dxa"/>
          <w:right w:w="0" w:type="dxa"/>
        </w:tblCellMar>
      </w:tblPr>
      <w:tblGrid>
        <w:gridCol w:w="23"/>
        <w:gridCol w:w="200"/>
        <w:gridCol w:w="255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(i)</w:t>
            </w:r>
          </w:p>
        </w:tc>
        <w:tc>
          <w:tcPr>
            <w:tcW w:w="255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jail sentences of up to 20 years.</w:t>
            </w:r>
          </w:p>
        </w:tc>
      </w:tr>
    </w:tbl>
    <w:p>
      <w:pPr>
        <w:pStyle w:val="TextBody"/>
        <w:bidi w:val="0"/>
        <w:spacing w:before="0" w:after="240"/>
        <w:ind w:left="475" w:right="0" w:hanging="0"/>
        <w:jc w:val="both"/>
        <w:rPr>
          <w:rFonts w:ascii="Times New Roman;Times;serif" w:hAnsi="Times New Roman;Times;serif"/>
          <w:sz w:val="20"/>
        </w:rPr>
      </w:pPr>
      <w:r>
        <w:rPr>
          <w:rFonts w:ascii="Times New Roman;Times;serif" w:hAnsi="Times New Roman;Times;serif"/>
          <w:sz w:val="20"/>
        </w:rPr>
        <w:t>In addition, insider trading could result in serious sanctions by the Company, including immediate dismissal. Insider trading violations are not limited to violations of the U.S. federal securities laws. Other U.S. federal and state civil or criminal laws, such as the laws prohibiting mail and wire fraud and the Racketeer Influenced and Corrupt Organizations Act (RICO), also may be violated upon the occurrence of insider trading.</w:t>
      </w:r>
    </w:p>
    <w:p>
      <w:pPr>
        <w:pStyle w:val="TextBody"/>
        <w:pBdr/>
        <w:bidi w:val="0"/>
        <w:spacing w:before="0" w:after="240"/>
        <w:ind w:left="567"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3.5.2.</w:t>
      </w:r>
      <w:r>
        <w:rPr>
          <w:rFonts w:ascii="Times New Roman;Times;serif" w:hAnsi="Times New Roman;Times;serif"/>
          <w:sz w:val="20"/>
        </w:rPr>
        <w:t>Penalties under the Hong Kong Laws</w:t>
      </w:r>
    </w:p>
    <w:p>
      <w:pPr>
        <w:pStyle w:val="TextBody"/>
        <w:bidi w:val="0"/>
        <w:spacing w:before="0" w:after="240"/>
        <w:ind w:left="475" w:right="0" w:hanging="0"/>
        <w:jc w:val="both"/>
        <w:rPr>
          <w:rFonts w:ascii="Times New Roman;Times;serif" w:hAnsi="Times New Roman;Times;serif"/>
          <w:sz w:val="20"/>
        </w:rPr>
      </w:pPr>
      <w:r>
        <w:rPr>
          <w:rFonts w:ascii="Times New Roman;Times;serif" w:hAnsi="Times New Roman;Times;serif"/>
          <w:sz w:val="20"/>
        </w:rPr>
        <w:t>Insider trading is regulated by the Hong Kong Securities and Futures Ordinance (Chapter 571 of the Laws of Hong Kong) (the “SFO”), which creates dual civil and criminal insider trading regimes. The Market Misconduct Tribunal, an independent body established under the SFO and chaired by a judge or former judge of the High Court of Hong Kong with two other members, conducts civil proceedings and, where appropriate, imposes civil sanctions against those it determines to be wrongdoers. Though The Market Misconduct Tribunal has no power to order the imprisonment of anyone found liable, the reputational and financial consequences of a finding of liability for mishandling material non-public information might be significant. A finding of liability by the Market Misconduct Tribunal is typically followed by orders which can include the following:</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(a)</w:t>
            </w:r>
          </w:p>
        </w:tc>
        <w:tc>
          <w:tcPr>
            <w:tcW w:w="9977"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Fines: listed companies and their directors found liable by the Market Misconduct Tribunal for failing to disclose insider information on a timely basis may be subjected to fines of up to HK$8,000,000.</w:t>
            </w:r>
          </w:p>
        </w:tc>
      </w:tr>
    </w:tbl>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(b)</w:t>
            </w:r>
          </w:p>
        </w:tc>
        <w:tc>
          <w:tcPr>
            <w:tcW w:w="994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Disgorgement: market participants may be required to disgorge any profit made or loss avoided as a result of the insider trading.</w:t>
            </w:r>
          </w:p>
        </w:tc>
      </w:tr>
    </w:tbl>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w:t>
            </w:r>
          </w:p>
        </w:tc>
        <w:tc>
          <w:tcPr>
            <w:tcW w:w="9971"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Disqualification: market participants may be disqualified from being a director of a company or otherwise taking part in the management of a company for up to five years.</w:t>
            </w:r>
          </w:p>
        </w:tc>
      </w:tr>
    </w:tbl>
    <w:tbl>
      <w:tblPr>
        <w:tblW w:w="10205" w:type="dxa"/>
        <w:jc w:val="left"/>
        <w:tblInd w:w="0" w:type="dxa"/>
        <w:tblLayout w:type="fixed"/>
        <w:tblCellMar>
          <w:top w:w="0" w:type="dxa"/>
          <w:left w:w="0" w:type="dxa"/>
          <w:bottom w:w="0" w:type="dxa"/>
          <w:right w:w="0" w:type="dxa"/>
        </w:tblCellMar>
      </w:tblPr>
      <w:tblGrid>
        <w:gridCol w:w="23"/>
        <w:gridCol w:w="241"/>
        <w:gridCol w:w="9941"/>
      </w:tblGrid>
      <w:tr>
        <w:trPr/>
        <w:tc>
          <w:tcPr>
            <w:tcW w:w="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Cold Shoulder: market participants may be barred from dealing in Hong Kong in securities or futures contracts for up to five years.</w:t>
            </w:r>
          </w:p>
        </w:tc>
      </w:tr>
    </w:tbl>
    <w:tbl>
      <w:tblPr>
        <w:tblW w:w="10205" w:type="dxa"/>
        <w:jc w:val="left"/>
        <w:tblInd w:w="0" w:type="dxa"/>
        <w:tblLayout w:type="fixed"/>
        <w:tblCellMar>
          <w:top w:w="0" w:type="dxa"/>
          <w:left w:w="0" w:type="dxa"/>
          <w:bottom w:w="0" w:type="dxa"/>
          <w:right w:w="0" w:type="dxa"/>
        </w:tblCellMar>
      </w:tblPr>
      <w:tblGrid>
        <w:gridCol w:w="23"/>
        <w:gridCol w:w="187"/>
        <w:gridCol w:w="9995"/>
      </w:tblGrid>
      <w:tr>
        <w:trPr/>
        <w:tc>
          <w:tcPr>
            <w:tcW w:w="2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(e)</w:t>
            </w:r>
          </w:p>
        </w:tc>
        <w:tc>
          <w:tcPr>
            <w:tcW w:w="999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Costs: market participants may be liable to pay the Hong Kong Government its costs and expenses in relation to the Market Misconduct Tribunal proceedings and to pay up to the Securities and Futures Commission its costs and expenses in relation to its participation in the proceedings as well as its investigations of the conduct of such participants before or for the purpose of those proceedings.</w:t>
            </w:r>
          </w:p>
        </w:tc>
      </w:tr>
    </w:tbl>
    <w:p>
      <w:pPr>
        <w:pStyle w:val="TextBody"/>
        <w:bidi w:val="0"/>
        <w:spacing w:before="0" w:after="240"/>
        <w:ind w:left="475" w:right="0" w:hanging="0"/>
        <w:jc w:val="both"/>
        <w:rPr>
          <w:rFonts w:ascii="Times New Roman;Times;serif" w:hAnsi="Times New Roman;Times;serif"/>
          <w:sz w:val="20"/>
        </w:rPr>
      </w:pPr>
      <w:r>
        <w:rPr>
          <w:rFonts w:ascii="Times New Roman;Times;serif" w:hAnsi="Times New Roman;Times;serif"/>
          <w:sz w:val="20"/>
        </w:rPr>
        <w:t>The maximum criminal sanctions under the SFO for insider trading offense is 10 years and fines of up to HK$10,000,000. In addition, the Hong Kong court may make disqualification, could shoulder and disciplinary referral orders. Failure to comply with a disqualification or cold shoulder order is an offense liable to maximum fines of HK$1,000,000 and up to two years’ imprisonment.</w:t>
      </w:r>
    </w:p>
    <w:p>
      <w:pPr>
        <w:pStyle w:val="TextBody"/>
        <w:bidi w:val="0"/>
        <w:spacing w:before="0" w:after="240"/>
        <w:ind w:left="475" w:right="0" w:hanging="0"/>
        <w:jc w:val="both"/>
        <w:rPr>
          <w:rFonts w:ascii="Times New Roman;Times;serif" w:hAnsi="Times New Roman;Times;serif"/>
          <w:sz w:val="20"/>
        </w:rPr>
      </w:pPr>
      <w:r>
        <w:rPr>
          <w:rFonts w:ascii="Times New Roman;Times;serif" w:hAnsi="Times New Roman;Times;serif"/>
          <w:sz w:val="20"/>
        </w:rPr>
        <w:t>Additionally, the SFO provides a private right of civil action against any person who has committed insider trading in favor of anyone who has suffered a pecuniary loss as a result, unless it is fair, just and reasonable that the perpetrator should not be liable.</w:t>
      </w:r>
    </w:p>
    <w:p>
      <w:pPr>
        <w:pStyle w:val="TextBody"/>
        <w:pBdr/>
        <w:bidi w:val="0"/>
        <w:spacing w:before="0" w:after="240"/>
        <w:ind w:left="567"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3.5.3.</w:t>
      </w:r>
      <w:r>
        <w:rPr>
          <w:rFonts w:ascii="Times New Roman;Times;serif" w:hAnsi="Times New Roman;Times;serif"/>
          <w:sz w:val="20"/>
        </w:rPr>
        <w:t>Penalties under Singapore Laws</w:t>
      </w:r>
    </w:p>
    <w:p>
      <w:pPr>
        <w:pStyle w:val="TextBody"/>
        <w:bidi w:val="0"/>
        <w:spacing w:before="0" w:after="240"/>
        <w:ind w:left="475" w:right="0" w:hanging="0"/>
        <w:jc w:val="both"/>
        <w:rPr>
          <w:rFonts w:ascii="Times New Roman;Times;serif" w:hAnsi="Times New Roman;Times;serif"/>
          <w:sz w:val="20"/>
        </w:rPr>
      </w:pPr>
      <w:r>
        <w:rPr>
          <w:rFonts w:ascii="Times New Roman;Times;serif" w:hAnsi="Times New Roman;Times;serif"/>
          <w:sz w:val="20"/>
        </w:rPr>
        <w:t>Insider trading is generally regulated under the Singapore Securities and Futures Act 2001 (the “SFA”). Any person who contravenes the insider trading prohibitions under the SFA may face either criminal prosecution, civil penalties imposed by the Monetary Authority of Singapore, or civil liabilities. These are summarized below:</w:t>
      </w:r>
    </w:p>
    <w:tbl>
      <w:tblPr>
        <w:tblW w:w="10205" w:type="dxa"/>
        <w:jc w:val="left"/>
        <w:tblInd w:w="0" w:type="dxa"/>
        <w:tblLayout w:type="fixed"/>
        <w:tblCellMar>
          <w:top w:w="0" w:type="dxa"/>
          <w:left w:w="0" w:type="dxa"/>
          <w:bottom w:w="0" w:type="dxa"/>
          <w:right w:w="0" w:type="dxa"/>
        </w:tblCellMar>
      </w:tblPr>
      <w:tblGrid>
        <w:gridCol w:w="23"/>
        <w:gridCol w:w="186"/>
        <w:gridCol w:w="9996"/>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Criminal penalty: a contravening party shall be guilty of an offence and shall be liable on conviction to a fine not exceeding S$250,000 or to imprisonment for a term not exceeding seven years or to both. A corporation shall be liable on conviction to a fine not exceeding S$500,000. Criminal penalties will only apply if no civil penalty (as described below) has been ordered against a contravening party;</w:t>
            </w:r>
          </w:p>
        </w:tc>
      </w:tr>
    </w:tbl>
    <w:tbl>
      <w:tblPr>
        <w:tblW w:w="10205" w:type="dxa"/>
        <w:jc w:val="left"/>
        <w:tblInd w:w="0" w:type="dxa"/>
        <w:tblLayout w:type="fixed"/>
        <w:tblCellMar>
          <w:top w:w="0" w:type="dxa"/>
          <w:left w:w="0" w:type="dxa"/>
          <w:bottom w:w="0" w:type="dxa"/>
          <w:right w:w="0" w:type="dxa"/>
        </w:tblCellMar>
      </w:tblPr>
      <w:tblGrid>
        <w:gridCol w:w="23"/>
        <w:gridCol w:w="202"/>
        <w:gridCol w:w="9980"/>
      </w:tblGrid>
      <w:tr>
        <w:trPr/>
        <w:tc>
          <w:tcPr>
            <w:tcW w:w="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Civil penalty: a contravening party may be liable for a civil penalty ordered by the court or agreed with the MAS. a sum not exceeding the greater of (a) 3 times the amount of profit gained or amount of loss avoided, as a result of the contravention; or (b) S$2,000,000. Such amount must not be less than S$100,000 in the case of a corporation, and S$50,000 in any other case; or</w:t>
            </w:r>
          </w:p>
        </w:tc>
      </w:tr>
    </w:tbl>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Civil liability: a person who commits insider trading and gains a profit or avoids a loss in the process, shall be liable to pay compensation to any person who has suffered loss</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920" w:right="0" w:hanging="0"/>
        <w:jc w:val="both"/>
        <w:rPr>
          <w:rFonts w:ascii="Times New Roman;Times;serif" w:hAnsi="Times New Roman;Times;serif"/>
          <w:sz w:val="20"/>
        </w:rPr>
      </w:pPr>
      <w:r>
        <w:rPr>
          <w:rFonts w:ascii="Times New Roman;Times;serif" w:hAnsi="Times New Roman;Times;serif"/>
          <w:sz w:val="20"/>
        </w:rPr>
        <w:t>while trading contemporaneously with the contravening person, regardless of whether the contravening person has been convicted or has had a civil penalty imposed on him in respect of the contravention.</w:t>
      </w:r>
    </w:p>
    <w:p>
      <w:pPr>
        <w:pStyle w:val="TextBody"/>
        <w:bidi w:val="0"/>
        <w:spacing w:before="0" w:after="240"/>
        <w:ind w:left="400" w:right="0" w:hanging="0"/>
        <w:jc w:val="both"/>
        <w:rPr>
          <w:rFonts w:ascii="Times New Roman;Times;serif" w:hAnsi="Times New Roman;Times;serif"/>
          <w:sz w:val="20"/>
        </w:rPr>
      </w:pPr>
      <w:r>
        <w:rPr>
          <w:rFonts w:ascii="Times New Roman;Times;serif" w:hAnsi="Times New Roman;Times;serif"/>
          <w:sz w:val="20"/>
        </w:rPr>
        <w:t>An officer or agent of a company who commits insider trading may also face sanctions under the Singapore Companies Act 1967. He/she may be prosecuted for improper use of insider information to gain an advantage for himself/herself or for any other person or to cause detriment to the company. Upon conviction, such person will be liable to the company for any profit made by him/her or for any damage suffered by the company as a result of the breach of the provision and to a fine not exceeding S$5,000 or to an imprisonment term of up to 12 months.</w:t>
      </w:r>
    </w:p>
    <w:tbl>
      <w:tblPr>
        <w:tblW w:w="5365" w:type="dxa"/>
        <w:jc w:val="left"/>
        <w:tblInd w:w="0" w:type="dxa"/>
        <w:tblLayout w:type="fixed"/>
        <w:tblCellMar>
          <w:top w:w="0" w:type="dxa"/>
          <w:left w:w="0" w:type="dxa"/>
          <w:bottom w:w="0" w:type="dxa"/>
          <w:right w:w="0" w:type="dxa"/>
        </w:tblCellMar>
      </w:tblPr>
      <w:tblGrid>
        <w:gridCol w:w="320"/>
        <w:gridCol w:w="5045"/>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3.6.</w:t>
            </w:r>
          </w:p>
        </w:tc>
        <w:tc>
          <w:tcPr>
            <w:tcW w:w="50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Material Non-public Information Regarding Other Companies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Policy and the guidelines described herein also apply to material non-public information relating to other companies, including the Company’s customers, vendors and suppliers (“Business Partners”), particularly when that information is obtained in the course of employment with, or other services performed by, or on behalf of, the Company. Civil and criminal penalties, and discipline, including termination of employment for cause, may result from trading on material non-public information regarding the Company’s Business Partners. Each individual should treat material non-public information about the Company’s Business Partners with the same care required with respect to information related directly to the Company.</w:t>
      </w:r>
    </w:p>
    <w:tbl>
      <w:tblPr>
        <w:tblW w:w="2440" w:type="dxa"/>
        <w:jc w:val="left"/>
        <w:tblInd w:w="0" w:type="dxa"/>
        <w:tblLayout w:type="fixed"/>
        <w:tblCellMar>
          <w:top w:w="0" w:type="dxa"/>
          <w:left w:w="0" w:type="dxa"/>
          <w:bottom w:w="0" w:type="dxa"/>
          <w:right w:w="0" w:type="dxa"/>
        </w:tblCellMar>
      </w:tblPr>
      <w:tblGrid>
        <w:gridCol w:w="320"/>
        <w:gridCol w:w="2120"/>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3.7.</w:t>
            </w:r>
          </w:p>
        </w:tc>
        <w:tc>
          <w:tcPr>
            <w:tcW w:w="21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Individual Responsibility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person subject to this Policy is individually responsible for complying with this Policy and ensuring the compliance of any family members, such as spouses, minor children, adult family members who share the same household, and any other person or entity whose securities trading decisions are influenced or controlled by the person whose transactions are subject to this Policy. Accordingly, you should make your family and household members aware of the need to confer with you before they trade in the Company’s securities, and you should treat all such transactions for the purposes of this Policy and applicable securities laws concerning trading while in possession of material non-public information as if the transactions were for your own account.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337" w:name="nio-20241231xex12d1.htm"/>
      <w:bookmarkStart w:id="2338" w:name="ksnio20241231xex12d1"/>
      <w:bookmarkEnd w:id="2337"/>
      <w:bookmarkEnd w:id="2338"/>
      <w:r>
        <w:rPr>
          <w:rFonts w:ascii="Times New Roman;Times;serif" w:hAnsi="Times New Roman;Times;serif"/>
          <w:b/>
          <w:sz w:val="20"/>
        </w:rPr>
        <w:t>Exhibit 12.1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Bin Li, certify that:</w:t>
      </w:r>
    </w:p>
    <w:tbl>
      <w:tblPr>
        <w:tblW w:w="6505" w:type="dxa"/>
        <w:jc w:val="left"/>
        <w:tblInd w:w="0" w:type="dxa"/>
        <w:tblLayout w:type="fixed"/>
        <w:tblCellMar>
          <w:top w:w="0" w:type="dxa"/>
          <w:left w:w="0" w:type="dxa"/>
          <w:bottom w:w="0" w:type="dxa"/>
          <w:right w:w="0" w:type="dxa"/>
        </w:tblCellMar>
      </w:tblPr>
      <w:tblGrid>
        <w:gridCol w:w="170"/>
        <w:gridCol w:w="633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3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annual report on Form 20-F of NIO Inc. (the “Company”);</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pBdr/>
        <w:bidi w:val="0"/>
        <w:spacing w:before="0" w:after="0"/>
        <w:ind w:left="360" w:right="0" w:hanging="720"/>
        <w:jc w:val="left"/>
        <w:rPr/>
      </w:pPr>
      <w:r>
        <w:rPr/>
        <w:t>​</w:t>
      </w:r>
    </w:p>
    <w:tbl>
      <w:tblPr>
        <w:tblW w:w="2826" w:type="dxa"/>
        <w:jc w:val="center"/>
        <w:tblInd w:w="0" w:type="dxa"/>
        <w:tblLayout w:type="fixed"/>
        <w:tblCellMar>
          <w:top w:w="0" w:type="dxa"/>
          <w:left w:w="0" w:type="dxa"/>
          <w:bottom w:w="0" w:type="dxa"/>
          <w:right w:w="0" w:type="dxa"/>
        </w:tblCellMar>
      </w:tblPr>
      <w:tblGrid>
        <w:gridCol w:w="646"/>
        <w:gridCol w:w="2026"/>
        <w:gridCol w:w="154"/>
      </w:tblGrid>
      <w:tr>
        <w:trPr/>
        <w:tc>
          <w:tcPr>
            <w:tcW w:w="267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8, 2025</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Bin Li</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Bin Li</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339" w:name="nio-20241231xex12d2.htm"/>
      <w:bookmarkStart w:id="2340" w:name="ksnio20241231xex12d2"/>
      <w:bookmarkEnd w:id="2339"/>
      <w:bookmarkEnd w:id="2340"/>
      <w:r>
        <w:rPr>
          <w:rFonts w:ascii="Times New Roman;Times;serif" w:hAnsi="Times New Roman;Times;serif"/>
          <w:b/>
          <w:sz w:val="20"/>
        </w:rPr>
        <w:t>Exhibit 12.2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Chief Financial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Yu Qu, certify that:</w:t>
      </w:r>
    </w:p>
    <w:tbl>
      <w:tblPr>
        <w:tblW w:w="6505" w:type="dxa"/>
        <w:jc w:val="left"/>
        <w:tblInd w:w="0" w:type="dxa"/>
        <w:tblLayout w:type="fixed"/>
        <w:tblCellMar>
          <w:top w:w="0" w:type="dxa"/>
          <w:left w:w="0" w:type="dxa"/>
          <w:bottom w:w="0" w:type="dxa"/>
          <w:right w:w="0" w:type="dxa"/>
        </w:tblCellMar>
      </w:tblPr>
      <w:tblGrid>
        <w:gridCol w:w="170"/>
        <w:gridCol w:w="633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3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annual report on Form 20-F of NIO Inc. (the “Company”);</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pPr>
      <w:r>
        <w:rPr/>
        <w:t>​</w:t>
      </w:r>
    </w:p>
    <w:tbl>
      <w:tblPr>
        <w:tblW w:w="2766" w:type="dxa"/>
        <w:jc w:val="center"/>
        <w:tblInd w:w="0" w:type="dxa"/>
        <w:tblLayout w:type="fixed"/>
        <w:tblCellMar>
          <w:top w:w="0" w:type="dxa"/>
          <w:left w:w="0" w:type="dxa"/>
          <w:bottom w:w="0" w:type="dxa"/>
          <w:right w:w="0" w:type="dxa"/>
        </w:tblCellMar>
      </w:tblPr>
      <w:tblGrid>
        <w:gridCol w:w="646"/>
        <w:gridCol w:w="1966"/>
        <w:gridCol w:w="154"/>
      </w:tblGrid>
      <w:tr>
        <w:trPr/>
        <w:tc>
          <w:tcPr>
            <w:tcW w:w="261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8, 2025</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Yu Qu</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9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Yu Qu</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341" w:name="nio-20241231xex13d1.htm"/>
      <w:bookmarkStart w:id="2342" w:name="ksnio20241231xex13d1"/>
      <w:bookmarkEnd w:id="2341"/>
      <w:bookmarkEnd w:id="2342"/>
      <w:r>
        <w:rPr>
          <w:rFonts w:ascii="Times New Roman;Times;serif" w:hAnsi="Times New Roman;Times;serif"/>
          <w:b/>
          <w:sz w:val="20"/>
        </w:rPr>
        <w:t>Exhibit 13.1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In connection with the Annual Report of NIO Inc. (the “Company”) on Form 20-F for the fiscal year ended December 31, 2024 as filed with the Securities and Exchange Commission on the date hereof (the “Report”), I, Bin Li, Chief Executive Officer of the Company, certify, pursuant to 18 U.S.C. Section 1350, as adopted pursuant to Section 906 of the Sarbanes-Oxley Act of 2002, that to my knowledge: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as amended; and</w:t>
      </w:r>
    </w:p>
    <w:p>
      <w:pPr>
        <w:pStyle w:val="TextBody"/>
        <w:bidi w:val="0"/>
        <w:spacing w:before="0" w:after="0"/>
        <w:ind w:left="0" w:right="0" w:firstLine="144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2826" w:type="dxa"/>
        <w:jc w:val="center"/>
        <w:tblInd w:w="0" w:type="dxa"/>
        <w:tblLayout w:type="fixed"/>
        <w:tblCellMar>
          <w:top w:w="0" w:type="dxa"/>
          <w:left w:w="0" w:type="dxa"/>
          <w:bottom w:w="0" w:type="dxa"/>
          <w:right w:w="0" w:type="dxa"/>
        </w:tblCellMar>
      </w:tblPr>
      <w:tblGrid>
        <w:gridCol w:w="646"/>
        <w:gridCol w:w="2026"/>
        <w:gridCol w:w="154"/>
      </w:tblGrid>
      <w:tr>
        <w:trPr/>
        <w:tc>
          <w:tcPr>
            <w:tcW w:w="267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8, 2025</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Bin Li</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Bin Li</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343" w:name="nio-20241231xex13d2.htm"/>
      <w:bookmarkStart w:id="2344" w:name="ksnio20241231xex13d2"/>
      <w:bookmarkEnd w:id="2343"/>
      <w:bookmarkEnd w:id="2344"/>
      <w:r>
        <w:rPr>
          <w:rFonts w:ascii="Times New Roman;Times;serif" w:hAnsi="Times New Roman;Times;serif"/>
          <w:b/>
          <w:sz w:val="20"/>
        </w:rPr>
        <w:t>Exhibit 13.2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Chief Financial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In connection with the Annual Report of NIO Inc. (the “Company”) on Form 20-F for the fiscal year ended December 31, 2024 as filed with the Securities and Exchange Commission on the date hereof (the “Report”), I, Yu Qu, Chief Financial Officer of the Company, certify, pursuant to 18 U.S.C. Section 1350, as adopted pursuant to Section 906 of the Sarbanes-Oxley Act of 2002, that to my knowledge: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as amended; and</w:t>
      </w:r>
    </w:p>
    <w:p>
      <w:pPr>
        <w:pStyle w:val="TextBody"/>
        <w:bidi w:val="0"/>
        <w:spacing w:before="0" w:after="0"/>
        <w:ind w:left="0" w:right="0" w:firstLine="144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2766" w:type="dxa"/>
        <w:jc w:val="center"/>
        <w:tblInd w:w="0" w:type="dxa"/>
        <w:tblLayout w:type="fixed"/>
        <w:tblCellMar>
          <w:top w:w="0" w:type="dxa"/>
          <w:left w:w="0" w:type="dxa"/>
          <w:bottom w:w="0" w:type="dxa"/>
          <w:right w:w="0" w:type="dxa"/>
        </w:tblCellMar>
      </w:tblPr>
      <w:tblGrid>
        <w:gridCol w:w="646"/>
        <w:gridCol w:w="1966"/>
        <w:gridCol w:w="154"/>
      </w:tblGrid>
      <w:tr>
        <w:trPr/>
        <w:tc>
          <w:tcPr>
            <w:tcW w:w="261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8, 2025</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Yu Qu</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9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Yu Qu</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345" w:name="nio-20241231xex15d1.htm"/>
      <w:bookmarkStart w:id="2346" w:name="ksnio20241231xex15d1"/>
      <w:bookmarkEnd w:id="2345"/>
      <w:bookmarkEnd w:id="2346"/>
      <w:r>
        <w:rPr>
          <w:rFonts w:ascii="Times New Roman;Times;serif" w:hAnsi="Times New Roman;Times;serif"/>
          <w:b/>
          <w:sz w:val="20"/>
        </w:rPr>
        <w:t>Exhibit 15.1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hereby consent to the incorporation by reference in the Registration Statements on Form S-8 (No. 333-229952, No. 333-272537 and No. 333-280728) and Form F-3 (No. 333-279584) of NIO Inc. of our report dated April 8, 2025 relating to the financial statements and the effectiveness of internal control over financial reporting, which appears in this Form 20-F.</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PricewaterhouseCoopers Zhong Tian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the People’s Republic of China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8, 2025</w:t>
      </w:r>
    </w:p>
    <w:p>
      <w:pPr>
        <w:pStyle w:val="HorizontalLine"/>
        <w:pBdr>
          <w:bottom w:val="double" w:sz="2" w:space="0" w:color="808080"/>
        </w:pBdr>
        <w:bidi w:val="0"/>
        <w:spacing w:before="0" w:after="283"/>
        <w:jc w:val="left"/>
        <w:rPr/>
      </w:pPr>
      <w:r>
        <w:rPr/>
      </w:r>
    </w:p>
    <w:p>
      <w:pPr>
        <w:pStyle w:val="TextBody"/>
        <w:bidi w:val="0"/>
        <w:spacing w:before="0" w:after="36"/>
        <w:ind w:left="0" w:right="0" w:hanging="0"/>
        <w:jc w:val="right"/>
        <w:rPr>
          <w:rFonts w:ascii="Times New Roman;Times;serif" w:hAnsi="Times New Roman;Times;serif"/>
          <w:b/>
          <w:sz w:val="20"/>
        </w:rPr>
      </w:pPr>
      <w:bookmarkStart w:id="2347" w:name="nio-20241231xex15d2.htm"/>
      <w:bookmarkStart w:id="2348" w:name="ksnio20241231xex15d2"/>
      <w:bookmarkEnd w:id="2347"/>
      <w:bookmarkEnd w:id="2348"/>
      <w:r>
        <w:rPr>
          <w:rFonts w:ascii="Times New Roman;Times;serif" w:hAnsi="Times New Roman;Times;serif"/>
          <w:b/>
          <w:sz w:val="20"/>
        </w:rPr>
        <w:t>Exhibit 15.2</w:t>
      </w:r>
      <w:r>
        <w:br w:type="page"/>
      </w:r>
    </w:p>
    <w:p>
      <w:pPr>
        <w:pStyle w:val="TextBody"/>
        <w:bidi w:val="0"/>
        <w:spacing w:before="0" w:after="36"/>
        <w:ind w:left="0" w:right="0" w:hanging="0"/>
        <w:jc w:val="right"/>
        <w:rPr/>
      </w:pPr>
      <w:r>
        <w:rPr/>
        <w:t>​</w:t>
      </w:r>
    </w:p>
    <w:tbl>
      <w:tblPr>
        <w:tblW w:w="8969" w:type="dxa"/>
        <w:jc w:val="left"/>
        <w:tblInd w:w="0" w:type="dxa"/>
        <w:tblLayout w:type="fixed"/>
        <w:tblCellMar>
          <w:top w:w="0" w:type="dxa"/>
          <w:left w:w="0" w:type="dxa"/>
          <w:bottom w:w="0" w:type="dxa"/>
          <w:right w:w="0" w:type="dxa"/>
        </w:tblCellMar>
      </w:tblPr>
      <w:tblGrid>
        <w:gridCol w:w="7006"/>
        <w:gridCol w:w="1809"/>
        <w:gridCol w:w="154"/>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9/F, Office Tower C1, Oriental Plaza, 1 East Chang An Ave., Dongcheng District</w:t>
            </w:r>
          </w:p>
        </w:tc>
        <w:tc>
          <w:tcPr>
            <w:tcW w:w="1809" w:type="dxa"/>
            <w:vMerge w:val="restart"/>
            <w:tcBorders/>
            <w:vAlign w:val="center"/>
          </w:tcPr>
          <w:p>
            <w:pPr>
              <w:pStyle w:val="TableContents"/>
              <w:bidi w:val="0"/>
              <w:spacing w:before="0" w:after="36"/>
              <w:ind w:left="0" w:right="0" w:hanging="0"/>
              <w:jc w:val="right"/>
              <w:rPr/>
            </w:pPr>
            <w:r>
              <w:rPr/>
              <w:drawing>
                <wp:inline distT="0" distB="0" distL="0" distR="0">
                  <wp:extent cx="1094105" cy="520700"/>
                  <wp:effectExtent l="0" t="0" r="0" b="0"/>
                  <wp:docPr id="7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 name="Image10" descr=""/>
                          <pic:cNvPicPr>
                            <a:picLocks noChangeAspect="1" noChangeArrowheads="1"/>
                          </pic:cNvPicPr>
                        </pic:nvPicPr>
                        <pic:blipFill>
                          <a:blip r:embed="rId65"/>
                          <a:stretch>
                            <a:fillRect/>
                          </a:stretch>
                        </pic:blipFill>
                        <pic:spPr bwMode="auto">
                          <a:xfrm>
                            <a:off x="0" y="0"/>
                            <a:ext cx="1094105" cy="520700"/>
                          </a:xfrm>
                          <a:prstGeom prst="rect">
                            <a:avLst/>
                          </a:prstGeom>
                        </pic:spPr>
                      </pic:pic>
                    </a:graphicData>
                  </a:graphic>
                </wp:inline>
              </w:drawing>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100738, PRC</w:t>
            </w:r>
          </w:p>
        </w:tc>
        <w:tc>
          <w:tcPr>
            <w:tcW w:w="1809"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36"/>
              <w:ind w:left="0" w:right="0" w:hanging="0"/>
              <w:jc w:val="right"/>
              <w:rPr/>
            </w:pPr>
            <w:r>
              <w:rPr/>
              <w:t>​</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 +86 10 8525 5500 Fax: +86 10 8525 5511 / 8525 5522</w:t>
            </w:r>
          </w:p>
        </w:tc>
        <w:tc>
          <w:tcPr>
            <w:tcW w:w="1809"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36"/>
              <w:ind w:left="0" w:right="0" w:hanging="0"/>
              <w:jc w:val="right"/>
              <w:rPr/>
            </w:pPr>
            <w:r>
              <w:rPr/>
              <w:t>​</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Beijing </w:t>
            </w:r>
            <w:r>
              <w:rPr>
                <w:rFonts w:ascii="Times New Roman;Times;serif" w:hAnsi="Times New Roman;Times;serif"/>
                <w:sz w:val="15"/>
              </w:rPr>
              <w:t>.</w:t>
            </w:r>
            <w:r>
              <w:rPr>
                <w:rFonts w:ascii="Times New Roman;Times;serif" w:hAnsi="Times New Roman;Times;serif"/>
                <w:sz w:val="20"/>
              </w:rPr>
              <w:t xml:space="preserve"> Shanghai </w:t>
            </w:r>
            <w:r>
              <w:rPr>
                <w:rFonts w:ascii="Times New Roman;Times;serif" w:hAnsi="Times New Roman;Times;serif"/>
                <w:sz w:val="15"/>
              </w:rPr>
              <w:t>.</w:t>
            </w:r>
            <w:r>
              <w:rPr>
                <w:rFonts w:ascii="Times New Roman;Times;serif" w:hAnsi="Times New Roman;Times;serif"/>
                <w:sz w:val="20"/>
              </w:rPr>
              <w:t xml:space="preserve"> Shenzhen </w:t>
            </w:r>
            <w:r>
              <w:rPr>
                <w:rFonts w:ascii="Times New Roman;Times;serif" w:hAnsi="Times New Roman;Times;serif"/>
                <w:sz w:val="15"/>
              </w:rPr>
              <w:t>.</w:t>
            </w:r>
            <w:r>
              <w:rPr>
                <w:rFonts w:ascii="Times New Roman;Times;serif" w:hAnsi="Times New Roman;Times;serif"/>
                <w:sz w:val="20"/>
              </w:rPr>
              <w:t xml:space="preserve"> Hong Kong </w:t>
            </w:r>
            <w:r>
              <w:rPr>
                <w:rFonts w:ascii="Times New Roman;Times;serif" w:hAnsi="Times New Roman;Times;serif"/>
                <w:sz w:val="15"/>
              </w:rPr>
              <w:t>.</w:t>
            </w:r>
            <w:r>
              <w:rPr>
                <w:rFonts w:ascii="Times New Roman;Times;serif" w:hAnsi="Times New Roman;Times;serif"/>
                <w:sz w:val="20"/>
              </w:rPr>
              <w:t xml:space="preserve"> Haikou </w:t>
            </w:r>
            <w:r>
              <w:rPr>
                <w:rFonts w:ascii="Times New Roman;Times;serif" w:hAnsi="Times New Roman;Times;serif"/>
                <w:sz w:val="15"/>
              </w:rPr>
              <w:t>.</w:t>
            </w:r>
            <w:r>
              <w:rPr>
                <w:rFonts w:ascii="Times New Roman;Times;serif" w:hAnsi="Times New Roman;Times;serif"/>
                <w:sz w:val="20"/>
              </w:rPr>
              <w:t xml:space="preserve"> Wuhan </w:t>
            </w:r>
            <w:r>
              <w:rPr>
                <w:rFonts w:ascii="Times New Roman;Times;serif" w:hAnsi="Times New Roman;Times;serif"/>
                <w:sz w:val="15"/>
              </w:rPr>
              <w:t>.</w:t>
            </w:r>
            <w:r>
              <w:rPr>
                <w:rFonts w:ascii="Times New Roman;Times;serif" w:hAnsi="Times New Roman;Times;serif"/>
                <w:sz w:val="20"/>
              </w:rPr>
              <w:t xml:space="preserve"> Singapore </w:t>
            </w:r>
            <w:r>
              <w:rPr>
                <w:rFonts w:ascii="Times New Roman;Times;serif" w:hAnsi="Times New Roman;Times;serif"/>
                <w:sz w:val="15"/>
              </w:rPr>
              <w:t>.</w:t>
            </w:r>
            <w:r>
              <w:rPr>
                <w:rFonts w:ascii="Times New Roman;Times;serif" w:hAnsi="Times New Roman;Times;serif"/>
                <w:sz w:val="20"/>
              </w:rPr>
              <w:t xml:space="preserve"> New York</w:t>
            </w:r>
          </w:p>
        </w:tc>
        <w:tc>
          <w:tcPr>
            <w:tcW w:w="1809"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36"/>
              <w:ind w:left="0" w:right="0" w:hanging="0"/>
              <w:jc w:val="right"/>
              <w:rPr/>
            </w:pPr>
            <w:r>
              <w:rPr/>
              <w:t>​</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www.hankunlaw.com</w:t>
            </w:r>
          </w:p>
        </w:tc>
        <w:tc>
          <w:tcPr>
            <w:tcW w:w="1809"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36"/>
              <w:ind w:left="0" w:right="0" w:hanging="0"/>
              <w:jc w:val="right"/>
              <w:rPr/>
            </w:pPr>
            <w:r>
              <w:rPr/>
              <w:t>​</w:t>
            </w:r>
          </w:p>
        </w:tc>
      </w:tr>
    </w:tbl>
    <w:p>
      <w:pPr>
        <w:pStyle w:val="TextBody"/>
        <w:bidi w:val="0"/>
        <w:spacing w:before="0" w:after="0"/>
        <w:ind w:left="0" w:right="0" w:hanging="0"/>
        <w:jc w:val="righ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April 8,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 19, No. 1355, Caobao Road, Minhang District Shanghai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People’s Republic of China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Dear Sir/Madam: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hereby consent to the reference of our name under the headings “Item 3. Key Information—D. Risk Factors—Risks Related to Our Corporate Structure” and “Item 4. Information on the Company—C. Organizational Structure” in NIO Inc.’s Annual Report on Form 20-F for the year ended December 31, 2024 (the “</w:t>
      </w:r>
      <w:r>
        <w:rPr>
          <w:rFonts w:ascii="Times New Roman;Times;serif" w:hAnsi="Times New Roman;Times;serif"/>
          <w:b/>
          <w:sz w:val="20"/>
        </w:rPr>
        <w:t>Annual Report</w:t>
      </w:r>
      <w:r>
        <w:rPr>
          <w:rFonts w:ascii="Times New Roman;Times;serif" w:hAnsi="Times New Roman;Times;serif"/>
          <w:sz w:val="20"/>
        </w:rPr>
        <w:t>”), which will be filed with the Securities and Exchange Commission (the “</w:t>
      </w:r>
      <w:r>
        <w:rPr>
          <w:rFonts w:ascii="Times New Roman;Times;serif" w:hAnsi="Times New Roman;Times;serif"/>
          <w:b/>
          <w:sz w:val="20"/>
        </w:rPr>
        <w:t>SEC</w:t>
      </w:r>
      <w:r>
        <w:rPr>
          <w:rFonts w:ascii="Times New Roman;Times;serif" w:hAnsi="Times New Roman;Times;serif"/>
          <w:sz w:val="20"/>
        </w:rPr>
        <w:t>”) on the date hereof, and further consent to the incorporation by reference, in NIO Inc.’s registration statements on Form S-8 (File No. 333-229952), Form S-8 (File No. 333-272537), Form S-8 (File No. 333-280728) and Form F-3 (File No. 333-279584), of the summary of our opinion under the headings “Item 3. Key Information—D. Risk Factors—Risks Related to Our Corporate Structure” and “Item 4. Information on the Company—C. Organizational Structure” in the Annual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consent to the filing of this consent letter with the SEC as an exhibit to the Annual Report.</w:t>
      </w:r>
    </w:p>
    <w:p>
      <w:pPr>
        <w:pStyle w:val="TextBody"/>
        <w:bidi w:val="0"/>
        <w:spacing w:before="0" w:after="480"/>
        <w:ind w:left="0" w:right="0" w:hanging="0"/>
        <w:jc w:val="both"/>
        <w:rPr>
          <w:rFonts w:ascii="Times New Roman;Times;serif" w:hAnsi="Times New Roman;Times;serif"/>
          <w:sz w:val="20"/>
        </w:rPr>
      </w:pPr>
      <w:r>
        <w:rPr>
          <w:rFonts w:ascii="Times New Roman;Times;serif" w:hAnsi="Times New Roman;Times;serif"/>
          <w:sz w:val="20"/>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spacing w:before="0" w:after="480"/>
        <w:ind w:left="0" w:right="0" w:hanging="0"/>
        <w:jc w:val="both"/>
        <w:rPr>
          <w:rFonts w:ascii="Times New Roman;Times;serif" w:hAnsi="Times New Roman;Times;serif"/>
          <w:sz w:val="20"/>
        </w:rPr>
      </w:pPr>
      <w:r>
        <w:rPr>
          <w:rFonts w:ascii="Times New Roman;Times;serif" w:hAnsi="Times New Roman;Times;serif"/>
          <w:sz w:val="20"/>
        </w:rPr>
        <w:t>Very truly yours,</w:t>
      </w:r>
    </w:p>
    <w:tbl>
      <w:tblPr>
        <w:tblW w:w="2131" w:type="dxa"/>
        <w:jc w:val="left"/>
        <w:tblInd w:w="0" w:type="dxa"/>
        <w:tblLayout w:type="fixed"/>
        <w:tblCellMar>
          <w:top w:w="0" w:type="dxa"/>
          <w:left w:w="0" w:type="dxa"/>
          <w:bottom w:w="0" w:type="dxa"/>
          <w:right w:w="0" w:type="dxa"/>
        </w:tblCellMar>
      </w:tblPr>
      <w:tblGrid>
        <w:gridCol w:w="2131"/>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p>
        </w:tc>
      </w:tr>
      <w:tr>
        <w:trPr/>
        <w:tc>
          <w:tcPr>
            <w:tcW w:w="213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Han Kun Law Offices</w:t>
            </w:r>
          </w:p>
        </w:tc>
      </w:tr>
      <w:tr>
        <w:trPr/>
        <w:tc>
          <w:tcPr>
            <w:tcW w:w="2131" w:type="dxa"/>
            <w:tcBorders>
              <w:top w:val="single" w:sz="2" w:space="0" w:color="000000"/>
            </w:tcBorders>
            <w:tcMar>
              <w:top w:w="28" w:type="dxa"/>
            </w:tcMar>
            <w:vAlign w:val="center"/>
          </w:tcPr>
          <w:p>
            <w:pPr>
              <w:pStyle w:val="TableContents"/>
              <w:bidi w:val="0"/>
              <w:spacing w:before="0" w:after="0"/>
              <w:ind w:left="0" w:right="0" w:hanging="0"/>
              <w:jc w:val="both"/>
              <w:rPr/>
            </w:pPr>
            <w:r>
              <w:rPr/>
              <w:t>​</w:t>
            </w:r>
          </w:p>
        </w:tc>
      </w:tr>
      <w:tr>
        <w:trPr/>
        <w:tc>
          <w:tcPr>
            <w:tcW w:w="21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Han Kun Law Offices</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tbl>
      <w:tblPr>
        <w:tblW w:w="10205" w:type="dxa"/>
        <w:jc w:val="left"/>
        <w:tblInd w:w="0" w:type="dxa"/>
        <w:tblLayout w:type="fixed"/>
        <w:tblCellMar>
          <w:top w:w="28" w:type="dxa"/>
          <w:left w:w="0" w:type="dxa"/>
          <w:bottom w:w="0" w:type="dxa"/>
          <w:right w:w="0" w:type="dxa"/>
        </w:tblCellMar>
      </w:tblPr>
      <w:tblGrid>
        <w:gridCol w:w="10205"/>
      </w:tblGrid>
      <w:tr>
        <w:trPr/>
        <w:tc>
          <w:tcPr>
            <w:tcW w:w="10205" w:type="dxa"/>
            <w:tcBorders>
              <w:top w:val="single" w:sz="2" w:space="0" w:color="000000"/>
            </w:tcBorders>
            <w:vAlign w:val="center"/>
          </w:tcPr>
          <w:p>
            <w:pPr>
              <w:pStyle w:val="TableContents"/>
              <w:bidi w:val="0"/>
              <w:spacing w:before="0" w:after="0"/>
              <w:ind w:left="0" w:right="0" w:hanging="0"/>
              <w:jc w:val="both"/>
              <w:rPr/>
            </w:pPr>
            <w:r>
              <w:rPr/>
              <w:t>​</w:t>
            </w:r>
          </w:p>
        </w:tc>
      </w:tr>
      <w:tr>
        <w:trPr/>
        <w:tc>
          <w:tcPr>
            <w:tcW w:w="10205" w:type="dxa"/>
            <w:tcBorders/>
            <w:tcMar>
              <w:top w:w="0" w:type="dxa"/>
            </w:tcM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CONFIDENTIALITY.    This document contains confidential information which may be protected by privilege from disclosure. Unless you are the intended or authorised recipient, you shall not copy, print, use or distribute it or any part thereof or carry out any act pursuant thereto and shall advise Han Kun Law Offices immediately by telephone, e-mail or facsimile and return it promptly by mail. Thank you.</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hyperlink" Target="https://www.sec.gov/Archives/edgar/data/1736541/000110465922094174/tm2224340d1_ex3-1.htm" TargetMode="External"/><Relationship Id="rId6" Type="http://schemas.openxmlformats.org/officeDocument/2006/relationships/hyperlink" Target="https://www.sec.gov/Archives/edgar/data/1736541/000114420419011140/tv514874_ex4-3.htm" TargetMode="External"/><Relationship Id="rId7" Type="http://schemas.openxmlformats.org/officeDocument/2006/relationships/hyperlink" Target="https://www.sec.gov/Archives/edgar/data/1736541/000119312518260341/d560276dex42.htm" TargetMode="External"/><Relationship Id="rId8" Type="http://schemas.openxmlformats.org/officeDocument/2006/relationships/hyperlink" Target="https://www.sec.gov/Archives/edgar/data/1736541/000114420419011140/tv514874_ex4-3.htm" TargetMode="External"/><Relationship Id="rId9" Type="http://schemas.openxmlformats.org/officeDocument/2006/relationships/hyperlink" Target="https://www.sec.gov/Archives/edgar/data/1736541/000119312518247401/d560276dex44.htm" TargetMode="External"/><Relationship Id="rId10" Type="http://schemas.openxmlformats.org/officeDocument/2006/relationships/hyperlink" Target="https://www.sec.gov/Archives/edgar/data/1736541/000110465920061585/nio-20191231xex2d5.htm" TargetMode="External"/><Relationship Id="rId11" Type="http://schemas.openxmlformats.org/officeDocument/2006/relationships/hyperlink" Target="https://www.sec.gov/Archives/edgar/data/1736541/000110465920061585/nio-20191231xex2d6.htm" TargetMode="External"/><Relationship Id="rId12" Type="http://schemas.openxmlformats.org/officeDocument/2006/relationships/hyperlink" Target="https://www.sec.gov/Archives/edgar/data/1736541/000119312518247401/d560276dex101.htm" TargetMode="External"/><Relationship Id="rId13" Type="http://schemas.openxmlformats.org/officeDocument/2006/relationships/hyperlink" Target="https://www.sec.gov/Archives/edgar/data/1736541/000119312518247401/d560276dex102.htm" TargetMode="External"/><Relationship Id="rId14" Type="http://schemas.openxmlformats.org/officeDocument/2006/relationships/hyperlink" Target="https://www.sec.gov/Archives/edgar/data/1736541/000119312518247401/d560276dex103.htm" TargetMode="External"/><Relationship Id="rId15" Type="http://schemas.openxmlformats.org/officeDocument/2006/relationships/hyperlink" Target="https://www.sec.gov/Archives/edgar/data/1736541/000119312518247401/d560276dex104.htm" TargetMode="External"/><Relationship Id="rId16" Type="http://schemas.openxmlformats.org/officeDocument/2006/relationships/hyperlink" Target="https://www.sec.gov/Archives/edgar/data/1736541/000110465924011282/tm245316d1_ex99-1.htm" TargetMode="External"/><Relationship Id="rId17" Type="http://schemas.openxmlformats.org/officeDocument/2006/relationships/hyperlink" Target="https://www.sec.gov/Archives/edgar/data/1736541/000119312518247401/d560276dex105.htm" TargetMode="External"/><Relationship Id="rId18" Type="http://schemas.openxmlformats.org/officeDocument/2006/relationships/hyperlink" Target="https://www.sec.gov/Archives/edgar/data/1736541/000119312518247401/d560276dex106.htm" TargetMode="External"/><Relationship Id="rId19" Type="http://schemas.openxmlformats.org/officeDocument/2006/relationships/hyperlink" Target="https://www.sec.gov/Archives/edgar/data/1736541/000119312518247401/d560276dex107.htm" TargetMode="External"/><Relationship Id="rId20" Type="http://schemas.openxmlformats.org/officeDocument/2006/relationships/hyperlink" Target="https://www.sec.gov/Archives/edgar/data/1736541/000110465922052718/nio-20211231xex4d10.htm" TargetMode="External"/><Relationship Id="rId21" Type="http://schemas.openxmlformats.org/officeDocument/2006/relationships/hyperlink" Target="https://www.sec.gov/Archives/edgar/data/1736541/000110465922052718/nio-20211231xex4d11.htm" TargetMode="External"/><Relationship Id="rId22" Type="http://schemas.openxmlformats.org/officeDocument/2006/relationships/hyperlink" Target="https://www.sec.gov/Archives/edgar/data/1736541/000110465922052718/nio-20211231xex4d12.htm" TargetMode="External"/><Relationship Id="rId23" Type="http://schemas.openxmlformats.org/officeDocument/2006/relationships/hyperlink" Target="https://www.sec.gov/Archives/edgar/data/1736541/000110465922052718/nio-20211231xex4d13.htm" TargetMode="External"/><Relationship Id="rId24" Type="http://schemas.openxmlformats.org/officeDocument/2006/relationships/hyperlink" Target="https://www.sec.gov/Archives/edgar/data/1736541/000110465922052718/nio-20211231xex4d14.htm" TargetMode="External"/><Relationship Id="rId25" Type="http://schemas.openxmlformats.org/officeDocument/2006/relationships/hyperlink" Target="https://www.sec.gov/Archives/edgar/data/1736541/000110465922052718/nio-20211231xex4d15.htm" TargetMode="External"/><Relationship Id="rId26" Type="http://schemas.openxmlformats.org/officeDocument/2006/relationships/hyperlink" Target="https://www.sec.gov/Archives/edgar/data/1736541/000110465922052718/nio-20211231xex4d16.htm" TargetMode="External"/><Relationship Id="rId27" Type="http://schemas.openxmlformats.org/officeDocument/2006/relationships/hyperlink" Target="https://www.sec.gov/Archives/edgar/data/1736541/000114420419017601/tv515164_ex4-24.htm" TargetMode="External"/><Relationship Id="rId28" Type="http://schemas.openxmlformats.org/officeDocument/2006/relationships/hyperlink" Target="https://www.sec.gov/Archives/edgar/data/1736541/000110465920061585/nio-20191231xex4d35.htm" TargetMode="External"/><Relationship Id="rId29" Type="http://schemas.openxmlformats.org/officeDocument/2006/relationships/hyperlink" Target="https://www.sec.gov/Archives/edgar/data/1736541/000110465920071391/tm2022004d4_ex99-1.htm" TargetMode="External"/><Relationship Id="rId30" Type="http://schemas.openxmlformats.org/officeDocument/2006/relationships/hyperlink" Target="https://www.sec.gov/Archives/edgar/data/1736541/000110465920078389/tm2023631d2_ex99-1.htm" TargetMode="External"/><Relationship Id="rId31" Type="http://schemas.openxmlformats.org/officeDocument/2006/relationships/hyperlink" Target="https://www.sec.gov/Archives/edgar/data/1736541/000110465921046834/nio-20201231xex4d39.htm" TargetMode="External"/><Relationship Id="rId32" Type="http://schemas.openxmlformats.org/officeDocument/2006/relationships/hyperlink" Target="https://www.sec.gov/Archives/edgar/data/1736541/000110465921046834/nio-20201231xex4d39.htm" TargetMode="External"/><Relationship Id="rId33" Type="http://schemas.openxmlformats.org/officeDocument/2006/relationships/hyperlink" Target="https://www.sec.gov/Archives/edgar/data/1736541/000110465921046834/nio-20201231xex4d41.htm" TargetMode="External"/><Relationship Id="rId34" Type="http://schemas.openxmlformats.org/officeDocument/2006/relationships/hyperlink" Target="https://www.sec.gov/Archives/edgar/data/1736541/000110465921046834/nio-20201231xex4d41.htm" TargetMode="External"/><Relationship Id="rId35" Type="http://schemas.openxmlformats.org/officeDocument/2006/relationships/hyperlink" Target="https://www.sec.gov/Archives/edgar/data/1736541/000110465922052718/nio-20211231xex4d45.htm" TargetMode="External"/><Relationship Id="rId36" Type="http://schemas.openxmlformats.org/officeDocument/2006/relationships/hyperlink" Target="https://www.sec.gov/Archives/edgar/data/1736541/000110465923051990/nio-20221231xex4d46.htm" TargetMode="External"/><Relationship Id="rId37" Type="http://schemas.openxmlformats.org/officeDocument/2006/relationships/hyperlink" Target="https://www.sec.gov/Archives/edgar/data/1736541/000110465923051990/nio-20221231xex4d47.htm" TargetMode="External"/><Relationship Id="rId38" Type="http://schemas.openxmlformats.org/officeDocument/2006/relationships/hyperlink" Target="https://www.sec.gov/Archives/edgar/data/1736541/000110465923051990/nio-20221231xex4d48.htm" TargetMode="External"/><Relationship Id="rId39" Type="http://schemas.openxmlformats.org/officeDocument/2006/relationships/hyperlink" Target="https://www.sec.gov/Archives/edgar/data/1736541/000110465923051990/nio-20221231xex4d49.htm" TargetMode="External"/><Relationship Id="rId40" Type="http://schemas.openxmlformats.org/officeDocument/2006/relationships/hyperlink" Target="https://www.sec.gov/Archives/edgar/data/1736541/000110465923051990/nio-20221231xex4d50.htm" TargetMode="External"/><Relationship Id="rId41" Type="http://schemas.openxmlformats.org/officeDocument/2006/relationships/hyperlink" Target="https://www.sec.gov/Archives/edgar/data/1736541/000110465923051990/nio-20221231xex4d51.htm" TargetMode="External"/><Relationship Id="rId42" Type="http://schemas.openxmlformats.org/officeDocument/2006/relationships/hyperlink" Target="https://www.sec.gov/Archives/edgar/data/1736541/000110465923051990/nio-20221231xex4d52.htm" TargetMode="External"/><Relationship Id="rId43" Type="http://schemas.openxmlformats.org/officeDocument/2006/relationships/hyperlink" Target="https://www.sec.gov/Archives/edgar/data/1736541/000110465923051990/nio-20221231xex4d53.htm" TargetMode="External"/><Relationship Id="rId44" Type="http://schemas.openxmlformats.org/officeDocument/2006/relationships/hyperlink" Target="https://www.sec.gov/Archives/edgar/data/1736541/000110465923051990/nio-20221231xex4d54.htm" TargetMode="External"/><Relationship Id="rId45" Type="http://schemas.openxmlformats.org/officeDocument/2006/relationships/hyperlink" Target="https://www.sec.gov/Archives/edgar/data/1736541/000110465923051990/nio-20221231xex4d55.htm" TargetMode="External"/><Relationship Id="rId46" Type="http://schemas.openxmlformats.org/officeDocument/2006/relationships/hyperlink" Target="https://www.sec.gov/Archives/edgar/data/1736541/000110465923051990/nio-20221231xex4d56.htm" TargetMode="External"/><Relationship Id="rId47" Type="http://schemas.openxmlformats.org/officeDocument/2006/relationships/hyperlink" Target="https://www.sec.gov/Archives/edgar/data/1736541/000110465923051990/nio-20221231xex4d57.htm" TargetMode="External"/><Relationship Id="rId48" Type="http://schemas.openxmlformats.org/officeDocument/2006/relationships/hyperlink" Target="https://www.sec.gov/Archives/edgar/data/1736541/000110465923051990/nio-20221231xex4d58.htm" TargetMode="External"/><Relationship Id="rId49" Type="http://schemas.openxmlformats.org/officeDocument/2006/relationships/hyperlink" Target="https://www.sec.gov/Archives/edgar/data/1736541/000110465923051990/nio-20221231xex4d59.htm" TargetMode="External"/><Relationship Id="rId50" Type="http://schemas.openxmlformats.org/officeDocument/2006/relationships/hyperlink" Target="https://www.sec.gov/Archives/edgar/data/1736541/000110465923051990/nio-20221231xex4d60.htm" TargetMode="External"/><Relationship Id="rId51" Type="http://schemas.openxmlformats.org/officeDocument/2006/relationships/hyperlink" Target="https://www.sec.gov/Archives/edgar/data/1736541/000110465923051990/nio-20221231xex4d61.htm" TargetMode="External"/><Relationship Id="rId52" Type="http://schemas.openxmlformats.org/officeDocument/2006/relationships/hyperlink" Target="https://www.sec.gov/Archives/edgar/data/1736541/000110465924044923/nio-20231231xex4d44.htm" TargetMode="External"/><Relationship Id="rId53" Type="http://schemas.openxmlformats.org/officeDocument/2006/relationships/hyperlink" Target="https://www.sec.gov/Archives/edgar/data/1736541/000110465924044923/nio-20231231xex4d45.htm" TargetMode="External"/><Relationship Id="rId54" Type="http://schemas.openxmlformats.org/officeDocument/2006/relationships/hyperlink" Target="https://www.sec.gov/Archives/edgar/data/1736541/000110465924044923/nio-20231231xex4d46.htm" TargetMode="External"/><Relationship Id="rId55" Type="http://schemas.openxmlformats.org/officeDocument/2006/relationships/hyperlink" Target="https://www.sec.gov/Archives/edgar/data/1736541/000110465924044923/nio-20231231xex4d47.htm" TargetMode="External"/><Relationship Id="rId56" Type="http://schemas.openxmlformats.org/officeDocument/2006/relationships/hyperlink" Target="https://www.sec.gov/Archives/edgar/data/1736541/000110465924044923/nio-20231231xex4d48.htm" TargetMode="External"/><Relationship Id="rId57" Type="http://schemas.openxmlformats.org/officeDocument/2006/relationships/hyperlink" Target="https://www.sec.gov/Archives/edgar/data/1736541/000110465924044923/nio-20231231xex11d1.htm" TargetMode="External"/><Relationship Id="rId58" Type="http://schemas.openxmlformats.org/officeDocument/2006/relationships/hyperlink" Target="https://www.sec.gov/Archives/edgar/data/1736541/000110465924044923/nio-20231231xex97d1.htm" TargetMode="External"/><Relationship Id="rId59" Type="http://schemas.openxmlformats.org/officeDocument/2006/relationships/image" Target="media/image3.jpeg"/><Relationship Id="rId60" Type="http://schemas.openxmlformats.org/officeDocument/2006/relationships/image" Target="media/image4.jpeg"/><Relationship Id="rId61" Type="http://schemas.openxmlformats.org/officeDocument/2006/relationships/image" Target="media/image5.jpeg"/><Relationship Id="rId62" Type="http://schemas.openxmlformats.org/officeDocument/2006/relationships/image" Target="media/image6.jpeg"/><Relationship Id="rId63" Type="http://schemas.openxmlformats.org/officeDocument/2006/relationships/image" Target="media/image7.jpeg"/><Relationship Id="rId64" Type="http://schemas.openxmlformats.org/officeDocument/2006/relationships/image" Target="media/image8.jpeg"/><Relationship Id="rId65" Type="http://schemas.openxmlformats.org/officeDocument/2006/relationships/image" Target="media/image9.jpeg"/><Relationship Id="rId66" Type="http://schemas.openxmlformats.org/officeDocument/2006/relationships/fontTable" Target="fontTable.xml"/><Relationship Id="rId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Pages>
  <Words>358868</Words>
  <Characters>1922680</Characters>
  <CharactersWithSpaces>2279284</CharactersWithSpaces>
  <Paragraphs>23649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