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the month of March 2025</w:t>
      </w:r>
    </w:p>
    <w:p>
      <w:pPr>
        <w:spacing w:after="0" w:line="20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40" w:type="dxa"/>
            <w:vAlign w:val="bottom"/>
            <w:gridSpan w:val="3"/>
          </w:tcPr>
          <w:p>
            <w:pPr>
              <w:jc w:val="center"/>
              <w:ind w:right="52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0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EE"/>
              </w:rPr>
              <w:t>Announcement on The Stock Exchange of Hong Kong Limited Regarding Date of Board Meeting, dated March 11, 2025</w:t>
            </w:r>
          </w:p>
        </w:tc>
      </w:tr>
      <w:tr>
        <w:trPr>
          <w:trHeight w:val="696"/>
        </w:trPr>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7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7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231F20"/>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128270</wp:posOffset>
            </wp:positionV>
            <wp:extent cx="831850" cy="771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18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231F20"/>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DATE OF BOARD MEETING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The board of directors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NIO Inc.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will hold a Board meeting on Friday, March 21, 2025 (Beijing/Hong Kong/Singapore Time) for the purposes of, among other things, approving the Company’s unaudited financial results for the three months and full year ended December 31, 2024 (“</w:t>
      </w:r>
      <w:r>
        <w:rPr>
          <w:rFonts w:ascii="Times New Roman" w:cs="Times New Roman" w:eastAsia="Times New Roman" w:hAnsi="Times New Roman"/>
          <w:sz w:val="18"/>
          <w:szCs w:val="18"/>
          <w:b w:val="1"/>
          <w:bCs w:val="1"/>
          <w:color w:val="231F20"/>
        </w:rPr>
        <w:t>Q4 and FY2024 Results</w:t>
      </w:r>
      <w:r>
        <w:rPr>
          <w:rFonts w:ascii="Times New Roman" w:cs="Times New Roman" w:eastAsia="Times New Roman" w:hAnsi="Times New Roman"/>
          <w:sz w:val="18"/>
          <w:szCs w:val="18"/>
          <w:color w:val="231F20"/>
        </w:rPr>
        <w:t xml:space="preserve">”). The Company will publish its Q4 and FY2024 Results on Friday, March 21, 2025 (Beijing/Hong Kong/Singapore Time) on the website of The Stock Exchange of Hong Kong Limited at </w:t>
      </w:r>
      <w:r>
        <w:rPr>
          <w:rFonts w:ascii="Times New Roman" w:cs="Times New Roman" w:eastAsia="Times New Roman" w:hAnsi="Times New Roman"/>
          <w:sz w:val="18"/>
          <w:szCs w:val="18"/>
          <w:b w:val="1"/>
          <w:bCs w:val="1"/>
          <w:u w:val="single" w:color="auto"/>
          <w:color w:val="231F20"/>
        </w:rPr>
        <w:t>www.hkexnews.hk</w:t>
      </w:r>
      <w:r>
        <w:rPr>
          <w:rFonts w:ascii="Times New Roman" w:cs="Times New Roman" w:eastAsia="Times New Roman" w:hAnsi="Times New Roman"/>
          <w:sz w:val="18"/>
          <w:szCs w:val="18"/>
          <w:color w:val="231F20"/>
        </w:rPr>
        <w:t xml:space="preserve"> and the website of the Company at </w:t>
      </w:r>
      <w:r>
        <w:rPr>
          <w:rFonts w:ascii="Times New Roman" w:cs="Times New Roman" w:eastAsia="Times New Roman" w:hAnsi="Times New Roman"/>
          <w:sz w:val="18"/>
          <w:szCs w:val="18"/>
          <w:b w:val="1"/>
          <w:bCs w:val="1"/>
          <w:u w:val="single" w:color="auto"/>
          <w:color w:val="231F20"/>
        </w:rPr>
        <w:t>ir.nio.com</w:t>
      </w:r>
      <w:r>
        <w:rPr>
          <w:rFonts w:ascii="Times New Roman" w:cs="Times New Roman" w:eastAsia="Times New Roman" w:hAnsi="Times New Roman"/>
          <w:sz w:val="18"/>
          <w:szCs w:val="18"/>
          <w:color w:val="231F20"/>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Company’s management will host an earnings conference call at 8:00 p.m. Beijing/Hong Kong/Singapore Time on March 21, 2025 (8:00 a.m.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Eastern Time on March 21,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 live and archived webcast of the conference call will be available on the Company’s investor relations website at </w:t>
      </w:r>
      <w:r>
        <w:rPr>
          <w:rFonts w:ascii="Times New Roman" w:cs="Times New Roman" w:eastAsia="Times New Roman" w:hAnsi="Times New Roman"/>
          <w:sz w:val="18"/>
          <w:szCs w:val="18"/>
          <w:b w:val="1"/>
          <w:bCs w:val="1"/>
          <w:u w:val="single" w:color="auto"/>
          <w:color w:val="231F20"/>
        </w:rPr>
        <w:t>https://ir.nio.com/news-events/events</w:t>
      </w:r>
      <w:r>
        <w:rPr>
          <w:rFonts w:ascii="Times New Roman" w:cs="Times New Roman" w:eastAsia="Times New Roman" w:hAnsi="Times New Roman"/>
          <w:sz w:val="18"/>
          <w:szCs w:val="18"/>
          <w:color w:val="231F20"/>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31F20"/>
        </w:rPr>
        <w:t>https://s1.c-conf.com/diamondpass/10045556-h7fg45.html</w:t>
      </w:r>
    </w:p>
    <w:p>
      <w:pPr>
        <w:spacing w:after="0" w:line="2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NIO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231F20"/>
        </w:rPr>
        <w:t>Bin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231F20"/>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Hong Kong, March 11, 2025</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of the Company comprises Mr. Bin Li as the chairman, Mr. Lihong Qin, Mr. Eddy Georges Skaf and Mr. Nicholas Paul Collins as the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2025-03-11T05:22:45Z</dcterms:created>
  <dcterms:modified xsi:type="dcterms:W3CDTF">2025-03-11T05:22:45Z</dcterms:modified>
</cp:coreProperties>
</file>