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September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94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940" w:type="dxa"/>
            <w:vAlign w:val="bottom"/>
          </w:tcPr>
          <w:p>
            <w:pPr>
              <w:spacing w:after="0"/>
              <w:rPr>
                <w:sz w:val="24"/>
                <w:szCs w:val="24"/>
                <w:color w:val="auto"/>
              </w:rPr>
            </w:pPr>
          </w:p>
        </w:tc>
        <w:tc>
          <w:tcPr>
            <w:tcW w:w="7940" w:type="dxa"/>
            <w:vAlign w:val="bottom"/>
            <w:gridSpan w:val="2"/>
          </w:tcPr>
          <w:p>
            <w:pPr>
              <w:ind w:left="2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gridSpan w:val="3"/>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88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 xml:space="preserve">Press Release—NIO Inc. Announces Completion of </w:t>
            </w:r>
            <w:r>
              <w:rPr>
                <w:rFonts w:ascii="Times New Roman" w:cs="Times New Roman" w:eastAsia="Times New Roman" w:hAnsi="Times New Roman"/>
                <w:sz w:val="18"/>
                <w:szCs w:val="18"/>
                <w:u w:val="single" w:color="auto"/>
                <w:color w:val="0000EE"/>
              </w:rPr>
              <w:t>US$</w:t>
            </w:r>
            <w:r>
              <w:rPr>
                <w:rFonts w:ascii="Times New Roman" w:cs="Times New Roman" w:eastAsia="Times New Roman" w:hAnsi="Times New Roman"/>
                <w:sz w:val="18"/>
                <w:szCs w:val="18"/>
                <w:color w:val="0000EE"/>
              </w:rPr>
              <w:t>1.16 Billion Equity Offering and Full Exercise of Underwriters’ Option to</w:t>
            </w: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4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Purchase Additional ADSs</w:t>
            </w:r>
          </w:p>
        </w:tc>
        <w:tc>
          <w:tcPr>
            <w:tcW w:w="440" w:type="dxa"/>
            <w:vAlign w:val="bottom"/>
          </w:tcPr>
          <w:p>
            <w:pPr>
              <w:spacing w:after="0"/>
              <w:rPr>
                <w:sz w:val="17"/>
                <w:szCs w:val="17"/>
                <w:color w:val="auto"/>
              </w:rPr>
            </w:pPr>
          </w:p>
        </w:tc>
      </w:tr>
      <w:tr>
        <w:trPr>
          <w:trHeight w:val="696"/>
        </w:trPr>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top w:val="single" w:sz="8" w:color="0000EE"/>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4820" w:type="dxa"/>
            <w:vAlign w:val="bottom"/>
          </w:tcPr>
          <w:p>
            <w:pPr>
              <w:spacing w:after="0"/>
              <w:rPr>
                <w:sz w:val="20"/>
                <w:szCs w:val="20"/>
                <w:color w:val="auto"/>
              </w:rPr>
            </w:pP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 Announces Completion of US$1.16 Billion Equity Offering and Full Exercise of Underwriters’ Option to Purchase Additional ADSs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SHANGHAI, China, September 17, 2025 (GLOBE NEWSWIRE) — NIO Inc. (NYSE: NIO; HKEX: 9866; SGX: NIO) (“NIO” or the “Company”), a pioneer and a leading company in the global smart electric vehicle market, today announced the completion of its US$1.16 billion offering (the “Equity Offering”) relating to a total of 209,090,918 Class A ordinary shares of the Company, which consists of (i) an offering of 160,823,190 American depositary shares (“ADSs”), each representing one Class A ordinary share of the Company, (ii) an offering of 20,995,000 Class A ordinary shares of the Company, and (iii) an offering of 27,272,728 ADSs pursuant to the underwriters’ full exercise of their option to purchase additional ADSs on September 10, 2025.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ADSs have been sold at a public offering price of US$5.57 per ADS. The Class A ordinary shares have been sold at an offering price of HK$43.36 per Class A ordinary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plans to use the net proceeds from the Equity Offering to invest in the research and development of core technologies for smart electric vehicles, develop future technology platforms and vehicle models across its brands, expand its battery swapping and charging network, further strengthen its balance sheet, and for general corporate purposes.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Morgan Stanley Asia Limited, UBS Securities LLC, UBS AG Hong Kong Branch and Deutsche Bank AG, Hong Kong Branch acted as representatives for the underwriters for the Equity Offering.</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ADSs and Class A ordinary shares have been sold under the Company’s shelf registration statement on Form F-3 which was filed with the Securities and Exchange Commission (the “SEC”) and automatically became effective on May 21, 2024. A prospectus supplement related to the proposed Equity Offering has been filed with the SEC. The registration statement on Form F-3 and the prospectus supplement are available at the SEC website at: http://www.sec.gov. Copies of the prospectus supplement and the accompanying prospectus may be obtained from (1) Morgan Stanley Asia Limited, c/o Morgan Stanley &amp; Co. LLC, 180 Varick Street, New York, New York 10014, Attention: Prospectus Department; (2) UBS Securities LLC, 1285 Avenue of the Americas, New York, NY 10019, Attention: Prospectus Department; and (3) Deutsche Bank AG, Hong Kong Branch, Level 60, International Commerce Centre, 1 Austin Road West, Kowloon, Hong Kong.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purchase any securities, nor shall there be a sale of the securities in any state or jurisdiction in which such an offer, solicitation or sale would be unlawful prior to registration or qualification under the securities laws of any such state or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NIO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family-oriented smart electric vehicles through the ONVO brand, and small smart high-end electric cars with the FIREFLY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expectations, the proposed offering and intended use of proceeds,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global.press@nio.com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2025-09-17T05:26:58Z</dcterms:created>
  <dcterms:modified xsi:type="dcterms:W3CDTF">2025-09-17T05:26:58Z</dcterms:modified>
</cp:coreProperties>
</file>