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9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120" w:type="dxa"/>
            <w:vAlign w:val="bottom"/>
            <w:gridSpan w:val="2"/>
          </w:tcPr>
          <w:p>
            <w:pPr>
              <w:ind w:left="2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6"/>
        </w:trPr>
        <w:tc>
          <w:tcPr>
            <w:tcW w:w="17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380" w:type="dxa"/>
            <w:vAlign w:val="bottom"/>
          </w:tcPr>
          <w:p>
            <w:pPr>
              <w:spacing w:after="0"/>
              <w:rPr>
                <w:sz w:val="24"/>
                <w:szCs w:val="24"/>
                <w:color w:val="auto"/>
              </w:rPr>
            </w:pPr>
          </w:p>
        </w:tc>
        <w:tc>
          <w:tcPr>
            <w:tcW w:w="9120" w:type="dxa"/>
            <w:vAlign w:val="bottom"/>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740" w:type="dxa"/>
            <w:vAlign w:val="bottom"/>
            <w:gridSpan w:val="3"/>
          </w:tcPr>
          <w:p>
            <w:pPr>
              <w:jc w:val="center"/>
              <w:ind w:right="640"/>
              <w:spacing w:after="0" w:line="202"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500" w:type="dxa"/>
            <w:vAlign w:val="bottom"/>
            <w:gridSpan w:val="3"/>
          </w:tcPr>
          <w:p>
            <w:pPr>
              <w:ind w:left="380"/>
              <w:spacing w:after="0" w:line="202" w:lineRule="exact"/>
              <w:rPr>
                <w:sz w:val="20"/>
                <w:szCs w:val="20"/>
                <w:color w:val="auto"/>
              </w:rPr>
            </w:pPr>
            <w:r>
              <w:rPr>
                <w:rFonts w:ascii="Times New Roman" w:cs="Times New Roman" w:eastAsia="Times New Roman" w:hAnsi="Times New Roman"/>
                <w:sz w:val="18"/>
                <w:szCs w:val="18"/>
                <w:color w:val="0000EE"/>
              </w:rPr>
              <w:t>Announcement on The Stock Exchange of Hong Kong Limited Regarding Date of Board Meeting, dated February 26, 2026</w:t>
            </w:r>
          </w:p>
        </w:tc>
      </w:tr>
      <w:tr>
        <w:trPr>
          <w:trHeight w:val="709"/>
        </w:trPr>
        <w:tc>
          <w:tcPr>
            <w:tcW w:w="76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90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62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Under our weighted voting rights structure, our share capital comprises Class A ordinary shares and Class C ordinary shares. Each Class A ordinary share entitles the holder to exercise one vote, and each Class C ordinary share entitles the holder to exercise eight votes, respectively, on any resolution tabled at our general meetings, except as may otherwise be required by law or by the Rules Governing the Listing of Securities on The Stock Exchange of Hong Kong Limited or provided for in our memorandum and articles of association. Shareholders and prospective investors should be aware of the potential risks of investing in a company with a weighted voting rights structure. Our American depositary shares, each representing one of our Class A ordinary shares, are listed on the New York Stock Exchange in the United States under the symbol 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128270</wp:posOffset>
            </wp:positionV>
            <wp:extent cx="1028700" cy="908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9866)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of directors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NIO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hold a Board meeting on Tuesday, March 10, 2026 (Beijing/Hong Kong/Singapore Time) for the purposes of, among other things, approving the Company’s unaudited financial results for the three months and full year ended December 31, 2025 (“</w:t>
      </w:r>
      <w:r>
        <w:rPr>
          <w:rFonts w:ascii="Times New Roman" w:cs="Times New Roman" w:eastAsia="Times New Roman" w:hAnsi="Times New Roman"/>
          <w:sz w:val="18"/>
          <w:szCs w:val="18"/>
          <w:b w:val="1"/>
          <w:bCs w:val="1"/>
          <w:color w:val="auto"/>
        </w:rPr>
        <w:t>Q4 and FY2025 Results</w:t>
      </w:r>
      <w:r>
        <w:rPr>
          <w:rFonts w:ascii="Times New Roman" w:cs="Times New Roman" w:eastAsia="Times New Roman" w:hAnsi="Times New Roman"/>
          <w:sz w:val="18"/>
          <w:szCs w:val="18"/>
          <w:color w:val="auto"/>
        </w:rPr>
        <w:t xml:space="preserve">”). The Company will publish its Q4 and FY2025 Results on Tuesday, March 10, 2026 (Beijing/Hong Kong/Singapore Time) on the website of The Stock Exchange of Hong Kong Limited at </w:t>
      </w:r>
      <w:r>
        <w:rPr>
          <w:rFonts w:ascii="Times New Roman" w:cs="Times New Roman" w:eastAsia="Times New Roman" w:hAnsi="Times New Roman"/>
          <w:sz w:val="18"/>
          <w:szCs w:val="18"/>
          <w:b w:val="1"/>
          <w:bCs w:val="1"/>
          <w:u w:val="single" w:color="auto"/>
          <w:color w:val="auto"/>
        </w:rPr>
        <w:t>www.hkexnews.hk</w:t>
      </w:r>
      <w:r>
        <w:rPr>
          <w:rFonts w:ascii="Times New Roman" w:cs="Times New Roman" w:eastAsia="Times New Roman" w:hAnsi="Times New Roman"/>
          <w:sz w:val="18"/>
          <w:szCs w:val="18"/>
          <w:color w:val="auto"/>
        </w:rPr>
        <w:t xml:space="preserve"> and the website of the Company at </w:t>
      </w:r>
      <w:r>
        <w:rPr>
          <w:rFonts w:ascii="Times New Roman" w:cs="Times New Roman" w:eastAsia="Times New Roman" w:hAnsi="Times New Roman"/>
          <w:sz w:val="18"/>
          <w:szCs w:val="18"/>
          <w:b w:val="1"/>
          <w:bCs w:val="1"/>
          <w:u w:val="single" w:color="auto"/>
          <w:color w:val="auto"/>
        </w:rPr>
        <w:t>ir.nio.com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management will host an earnings conference call at 8:00 p.m. Beijing/Hong Kong/Singapore Time on March 10, 2026 (8:00 a.m.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Eastern Time on March 10,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be available on the Company’s investor relations website at </w:t>
      </w:r>
      <w:r>
        <w:rPr>
          <w:rFonts w:ascii="Times New Roman" w:cs="Times New Roman" w:eastAsia="Times New Roman" w:hAnsi="Times New Roman"/>
          <w:sz w:val="18"/>
          <w:szCs w:val="18"/>
          <w:b w:val="1"/>
          <w:bCs w:val="1"/>
          <w:u w:val="single" w:color="auto"/>
          <w:color w:val="auto"/>
        </w:rPr>
        <w:t>https://ir.nio.com/news-events/events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participants who wish to join the conference using dial-in numbers, please register in advance using the link provided below and dial in 10 minutes prior to the call. Dial-in numbers, passcode and unique access PIN would be provided upon registering.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https://s1.c-conf.com/diamondpass/10053467-woqvpz.html</w:t>
      </w:r>
    </w:p>
    <w:p>
      <w:pPr>
        <w:spacing w:after="0" w:line="229"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9"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Bin Li</w:t>
      </w:r>
    </w:p>
    <w:p>
      <w:pPr>
        <w:spacing w:after="0" w:line="9"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i w:val="1"/>
          <w:iCs w:val="1"/>
          <w:color w:val="auto"/>
        </w:rPr>
        <w:t>Founder, 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February 26,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of the date of this announcement, the board of directors of the Company comprises Mr. Bin Li as the chairman, Mr. Lihong Qin as the director, Mr. Eddy Georges Skaf and Mr. Nicholas Paul Collins as the non-executive directors, and Mr. Hai Wu, Mr. Denny Ting Bun Lee, Ms. Yu Long and Mr. Yonggang Wen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2026-02-26T05:49:13Z</dcterms:created>
  <dcterms:modified xsi:type="dcterms:W3CDTF">2026-02-26T05:49:13Z</dcterms:modified>
</cp:coreProperties>
</file>