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September 2020</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20, 56 Antuo Road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Jiading District, Shanghai 201804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NIO to Subscribe for Additional Registered Capital in NIO China</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September 25, 2020, NIO Inc. (“NIO” or the “Company”), through its wholly owned subsidiary, entered into a definitive agreement to subscribe for newly increased registered capital of NIO (Anhui) Holding Co., Ltd. (“NIO Anhui”), the legal entity of NIO China, at a subscription price of US$600 million (the “Capital Subscription”). Upon the completion of this Capital Subscription and the previously announced share redemption, the Company will hold an aggregate of 86.5% controlling equity interests in NIO China. The Company will apply a portion of the proceeds from its offering of American depositary shares in August 2020 to pay for the Capital Subscription.</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April 2020, the Company entered into definitive agreements with a group of investors in Hefei (collectively, the “Hefei Strategic Investors”) in connection with the strategic investments into NIO China. Under these definitive agreements, as amended and supplemented, before December 31, 2021, the Company and its designated affiliates have the right to unilaterally subscribe for up to US$600 million of the then newly increased registered capital of NIO Anhui, which subscription price is the same as the price of investments by the Hefei Strategic Investors in NIO Anhui. In connection with full exercise of this right in the Capital Subscription, the Hefei Strategic Investors have duly waived their pre-emptive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420" w:type="dxa"/>
        <w:tblCellMar>
          <w:top w:w="0" w:type="dxa"/>
          <w:left w:w="0" w:type="dxa"/>
          <w:bottom w:w="0" w:type="dxa"/>
          <w:right w:w="0" w:type="dxa"/>
        </w:tblCellMar>
      </w:tblPr>
      <w:tr>
        <w:trPr>
          <w:trHeight w:val="2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3920" w:type="dxa"/>
            <w:vAlign w:val="bottom"/>
          </w:tcPr>
          <w:p>
            <w:pPr>
              <w:spacing w:after="0"/>
              <w:rPr>
                <w:sz w:val="20"/>
                <w:szCs w:val="20"/>
                <w:color w:val="auto"/>
              </w:rPr>
            </w:pPr>
          </w:p>
        </w:tc>
      </w:tr>
      <w:tr>
        <w:trPr>
          <w:trHeight w:val="64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Wei Feng</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Wei Feng</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2020-09-28T05:33:12Z</dcterms:created>
  <dcterms:modified xsi:type="dcterms:W3CDTF">2020-09-28T05:33:12Z</dcterms:modified>
</cp:coreProperties>
</file>