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Announcement on The Stock Exchange of Hong Kong Limited Regarding Date of Board Meeting, dated August 22, 2024</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78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128270</wp:posOffset>
            </wp:positionV>
            <wp:extent cx="848360" cy="831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836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Thursday, September 5, 2024 (Beijing/Hong Kong/Singapore Time) for the purposes of, among other things, approving the Company’s unaudited financial results and announcement for the three months and six months ended June 30, 2024 (“</w:t>
      </w:r>
      <w:r>
        <w:rPr>
          <w:rFonts w:ascii="Times New Roman" w:cs="Times New Roman" w:eastAsia="Times New Roman" w:hAnsi="Times New Roman"/>
          <w:sz w:val="18"/>
          <w:szCs w:val="18"/>
          <w:b w:val="1"/>
          <w:bCs w:val="1"/>
          <w:color w:val="auto"/>
        </w:rPr>
        <w:t>Q2 2024 Results</w:t>
      </w:r>
      <w:r>
        <w:rPr>
          <w:rFonts w:ascii="Times New Roman" w:cs="Times New Roman" w:eastAsia="Times New Roman" w:hAnsi="Times New Roman"/>
          <w:sz w:val="18"/>
          <w:szCs w:val="18"/>
          <w:color w:val="auto"/>
        </w:rPr>
        <w:t xml:space="preserve">”). The Company will publish its Q2 2024 Results on Thursday, September 5, 2024 (Beijing/Hong Kong/Singapore Time) on the website of The Stock Exchange of Hong Kong Limited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 xml:space="preserve"> and the website of the Company at </w:t>
      </w:r>
      <w:r>
        <w:rPr>
          <w:rFonts w:ascii="Times New Roman" w:cs="Times New Roman" w:eastAsia="Times New Roman" w:hAnsi="Times New Roman"/>
          <w:sz w:val="18"/>
          <w:szCs w:val="18"/>
          <w:b w:val="1"/>
          <w:bCs w:val="1"/>
          <w:u w:val="single" w:color="auto"/>
          <w:color w:val="auto"/>
        </w:rPr>
        <w:t>ir.nio.com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host an earnings conference call at 8:00 p.m. Beijing/Hong Kong/Singapore Time on September 5, 2024 (8:00 a.m.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September 5,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b w:val="1"/>
          <w:bCs w:val="1"/>
          <w:u w:val="single" w:color="auto"/>
          <w:color w:val="auto"/>
        </w:rPr>
        <w:t>https://ir.nio.com/news-events/events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https://s1.c-conf.com/diamondpass/10041542-rfivqj.html</w:t>
      </w:r>
    </w:p>
    <w:p>
      <w:pPr>
        <w:spacing w:after="0" w:line="22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August 22, 2024</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the Company comprises Mr. Bin Li as the chairman, Mr. Lihong Qin, Mr. Eddy Georges Skaf and Mr. Nicholas Paul Collins as the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2024-08-22T05:12:31Z</dcterms:created>
  <dcterms:modified xsi:type="dcterms:W3CDTF">2024-08-22T05:12:31Z</dcterms:modified>
</cp:coreProperties>
</file>