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6448d1_6k.htm"/>
      <w:bookmarkStart w:id="1" w:name="kstm2626448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9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2644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9150" w:type="dxa"/>
            <w:tcBorders/>
            <w:vAlign w:val="center"/>
          </w:tcPr>
          <w:p>
            <w:pPr>
              <w:pStyle w:val="TableContents"/>
              <w:bidi w:val="0"/>
              <w:spacing w:before="0" w:after="283"/>
              <w:jc w:val="both"/>
              <w:rPr/>
            </w:pPr>
            <w:hyperlink w:anchor="tm2626448d1_ex99-1.htm">
              <w:r>
                <w:rPr>
                  <w:rStyle w:val="InternetLink"/>
                  <w:rFonts w:ascii="Times New Roman;Times;Serif" w:hAnsi="Times New Roman;Times;Serif"/>
                  <w:sz w:val="20"/>
                </w:rPr>
                <w:t>NIO Announces Definitive Agreements for Strategic Transaction with Geely Holding Group in Battery Swapping and Charging Businesses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bottom w:val="single" w:sz="8" w:space="0" w:color="000000"/>
            </w:tcBorders>
            <w:tcMar>
              <w:bottom w:w="28" w:type="dxa"/>
            </w:tcMar>
            <w:vAlign w:val="center"/>
          </w:tcPr>
          <w:p>
            <w:pPr>
              <w:pStyle w:val="TableContents"/>
              <w:bidi w:val="0"/>
              <w:spacing w:before="0" w:after="283"/>
              <w:jc w:val="left"/>
              <w:rPr/>
            </w:pPr>
            <w:r>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2" w:name="tm2626448d1_ex99-1.htm"/>
      <w:bookmarkStart w:id="3" w:name="kstm2626448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NIO Announces Definitive Agreements for Strategic Transaction with Geely Holding Group in Battery Swapping and Charging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September 28, 2026 -- (GLOBE NEWSWIRE) -- NIO Inc. (NYSE: NIO; HKEX: 9866; SGX: NIO) (“NIO” or the “Company”), a pioneer and a leading company in the global smart electric vehicle market, today announced the entry into definitive agreements with certain subsidiaries of Zhejiang Geely Holding Group Co., Ltd. (“Geely Holding Group”) in connection with a strategic transaction in battery swapping and charging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definitive agreements, subject to regulatory clearances and other customary closing conditions, a subsidiary of Geely Holding Group will use (i) its holding of 100% of the equity interest of Yiyi Internet Technology (Chongqing) Co., Ltd., a subsidiary of Geely Holding Group that provides battery swapping services for the commercial mobility market, plus (ii) RMB640 million in cash as consideration to subscribe for newly issued equity interest of NIO Energy Investment (Hubei) Co., Ltd. (“NIO Power”), a subsidiary of NIO that operates battery swapping and charging businesses. Upon completion of the transaction, the Geely Holding Group subsidiary will hold 30.0% of NIO Power’s total equity interest, NIO Holding Co., Ltd. (“NIO China”), a subsidiary of NIO, will continue to hold a controlling equity interest of 63.6%, and an existing investor, Wuhan Guangchuang Emerging Technology Phase I Venture Capital Fund Partnership (Limited Partnership), will hold the remaining 6.4%. The transaction values NIO Power at a post-money valuation of approximately RMB16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interest held by the subsidiary of Geely Holding Group is subject to post-closing adjustments tied to certain operational milestones, pursuant to which the equity interest may be reduced to no less than 20% in the event of underperformance. The subsidiary was also granted an option, exercisable within the earlier of two years following closing of this transaction and the date when NIO Power enters into binding agreements for a new round of financing, to make a further cash investment of RMB640 million into NIO Power which, without considering any post-closing adjustment, would result in its equity interest in NIO Power being 34.0% and NIO China’s controlling equity interest being 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NIO Power transaction, subject to regulatory clearances and other customary closing conditions, NIO China has agreed to subscribe for newly issued equity interest of Zhejiang Haohan Energy Technology Co., Ltd. (“Haohan Energy”), a subsidiary of Geely Holding Group that operates a battery charging business, with cash consideration which will be used to purchase certain charging assets from NIO. Upon completion of the transaction, NIO China will hold 10.0% of Haohan Energy’s total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NIO and Geely Holding Group have made preliminary plans for the adoption of battery swapping technology and provision of related services for both consumer-facing vehicle models and commercial mobility businesses from Geely Holding Group’s related entities. The finalization and implementation of these plans are subject to further discussions between the relevant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and initiatives outlined above reflect industry recognition of NIO’s battery swapping technologies, network and operational capabilities. Through strategic collaboration with industry players, NIO expects to further promote the adoption of battery swapping, continuously enhance user experience, accelerate the growth of electric vehicle penetration and further unlock the long-term value of battery swapping.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high-end smart electric compact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br/>
      </w: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br/>
      </w: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1253</Words>
  <Characters>7328</Characters>
  <CharactersWithSpaces>8605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