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24" w:type="dxa"/>
        <w:tblCellMar>
          <w:top w:w="0" w:type="dxa"/>
          <w:left w:w="0" w:type="dxa"/>
          <w:bottom w:w="0" w:type="dxa"/>
          <w:right w:w="0" w:type="dxa"/>
        </w:tblCellMar>
      </w:tblPr>
      <w:tr>
        <w:trPr>
          <w:trHeight w:val="66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FF665B"/>
              </w:rPr>
              <w:t>not offers</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Georgia" w:cs="Georgia" w:eastAsia="Georgia" w:hAnsi="Georgia"/>
          <w:sz w:val="17"/>
          <w:szCs w:val="17"/>
          <w:b w:val="1"/>
          <w:bCs w:val="1"/>
          <w:i w:val="1"/>
          <w:iCs w:val="1"/>
          <w:color w:val="FF665B"/>
        </w:rPr>
        <w:t>Subject to Completion. Dated September 10, 2025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jc w:val="right"/>
        <w:spacing w:after="0" w:line="239" w:lineRule="auto"/>
        <w:rPr>
          <w:sz w:val="20"/>
          <w:szCs w:val="20"/>
          <w:color w:val="auto"/>
        </w:rPr>
      </w:pPr>
      <w:r>
        <w:rPr>
          <w:rFonts w:ascii="Times New Roman" w:cs="Times New Roman" w:eastAsia="Times New Roman" w:hAnsi="Times New Roman"/>
          <w:sz w:val="18"/>
          <w:szCs w:val="18"/>
          <w:b w:val="1"/>
          <w:bCs w:val="1"/>
          <w:color w:val="auto"/>
        </w:rPr>
        <w:t> Filed Pursuant to Rule 424(b)(5)​  Registration No. 333-279584​</w:t>
      </w:r>
    </w:p>
    <w:p>
      <w:pPr>
        <w:spacing w:after="0" w:line="265" w:lineRule="exact"/>
        <w:rPr>
          <w:sz w:val="24"/>
          <w:szCs w:val="24"/>
          <w:color w:val="auto"/>
        </w:rPr>
      </w:pPr>
    </w:p>
    <w:p>
      <w:pPr>
        <w:sectPr>
          <w:pgSz w:w="11900" w:h="16838" w:orient="portrait"/>
          <w:cols w:equalWidth="0" w:num="3">
            <w:col w:w="585" w:space="555"/>
            <w:col w:w="5880" w:space="720"/>
            <w:col w:w="2540"/>
          </w:cols>
          <w:pgMar w:left="580" w:top="205" w:right="1039" w:bottom="1440" w:gutter="0" w:footer="0" w:header="0"/>
          <w:type w:val="continuous"/>
        </w:sectPr>
      </w:pPr>
    </w:p>
    <w:tbl>
      <w:tblPr>
        <w:tblLayout w:type="fixed"/>
        <w:tblInd w:w="440" w:type="dxa"/>
        <w:tblCellMar>
          <w:top w:w="0" w:type="dxa"/>
          <w:left w:w="0" w:type="dxa"/>
          <w:bottom w:w="0" w:type="dxa"/>
          <w:right w:w="0" w:type="dxa"/>
        </w:tblCellMar>
      </w:tblPr>
      <w:tr>
        <w:trPr>
          <w:trHeight w:val="797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665B"/>
              </w:rPr>
              <w:t>is not complete and may be changed. This preliminary prospectus supplement and the accompanying prospectus are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665B"/>
              </w:rPr>
              <w:t>jurisdiction where the offer or sale is not permitted.</w:t>
            </w:r>
          </w:p>
        </w:tc>
      </w:tr>
      <w:tr>
        <w:trPr>
          <w:trHeight w:val="244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665B"/>
              </w:rPr>
              <w:t>preliminary prospectus supplement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665B"/>
              </w:rPr>
              <w:t>offers to buy these securities in any</w:t>
            </w:r>
          </w:p>
        </w:tc>
      </w:tr>
      <w:tr>
        <w:trPr>
          <w:trHeight w:val="158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665B"/>
              </w:rPr>
              <w:t>The information 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665B"/>
              </w:rPr>
              <w:t>to sell nor do they seek</w:t>
            </w:r>
          </w:p>
        </w:tc>
      </w:tr>
    </w:tbl>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ind w:right="3860"/>
        <w:spacing w:after="0" w:line="237" w:lineRule="auto"/>
        <w:rPr>
          <w:sz w:val="20"/>
          <w:szCs w:val="20"/>
          <w:color w:val="auto"/>
        </w:rPr>
      </w:pPr>
      <w:r>
        <w:rPr>
          <w:rFonts w:ascii="Georgia" w:cs="Georgia" w:eastAsia="Georgia" w:hAnsi="Georgia"/>
          <w:sz w:val="18"/>
          <w:szCs w:val="18"/>
          <w:b w:val="1"/>
          <w:bCs w:val="1"/>
          <w:i w:val="1"/>
          <w:iCs w:val="1"/>
          <w:color w:val="FF665B"/>
        </w:rPr>
        <w:t>PRELIMINARY PROSPECTUS Supplement to Prospectus dated May 21, 2024</w:t>
      </w:r>
    </w:p>
    <w:p>
      <w:pPr>
        <w:spacing w:after="0" w:line="30" w:lineRule="exact"/>
        <w:rPr>
          <w:sz w:val="24"/>
          <w:szCs w:val="24"/>
          <w:color w:val="auto"/>
        </w:rPr>
      </w:pPr>
    </w:p>
    <w:p>
      <w:pPr>
        <w:jc w:val="center"/>
        <w:ind w:left="4060" w:right="180" w:hanging="3924"/>
        <w:spacing w:after="0" w:line="231" w:lineRule="auto"/>
        <w:tabs>
          <w:tab w:leader="none" w:pos="310" w:val="left"/>
        </w:tabs>
        <w:numPr>
          <w:ilvl w:val="0"/>
          <w:numId w:val="1"/>
        </w:numPr>
        <w:rPr>
          <w:rFonts w:ascii="Arial" w:cs="Arial" w:eastAsia="Arial" w:hAnsi="Arial"/>
          <w:sz w:val="25"/>
          <w:szCs w:val="25"/>
          <w:b w:val="1"/>
          <w:bCs w:val="1"/>
          <w:i w:val="1"/>
          <w:iCs w:val="1"/>
          <w:color w:val="auto"/>
        </w:rPr>
      </w:pPr>
      <w:r>
        <w:rPr>
          <w:rFonts w:ascii="Arial" w:cs="Arial" w:eastAsia="Arial" w:hAnsi="Arial"/>
          <w:sz w:val="25"/>
          <w:szCs w:val="25"/>
          <w:b w:val="1"/>
          <w:bCs w:val="1"/>
          <w:i w:val="1"/>
          <w:iCs w:val="1"/>
          <w:color w:val="auto"/>
        </w:rPr>
        <w:t>        American Depositary Shares Representing Class A Ordinary Shares</w:t>
      </w:r>
    </w:p>
    <w:p>
      <w:pPr>
        <w:ind w:left="2660" w:hanging="167"/>
        <w:spacing w:after="0" w:line="237" w:lineRule="auto"/>
        <w:tabs>
          <w:tab w:leader="none" w:pos="2660" w:val="left"/>
        </w:tabs>
        <w:numPr>
          <w:ilvl w:val="1"/>
          <w:numId w:val="1"/>
        </w:numPr>
        <w:rPr>
          <w:rFonts w:ascii="Arial" w:cs="Arial" w:eastAsia="Arial" w:hAnsi="Arial"/>
          <w:sz w:val="25"/>
          <w:szCs w:val="25"/>
          <w:b w:val="1"/>
          <w:bCs w:val="1"/>
          <w:i w:val="1"/>
          <w:iCs w:val="1"/>
          <w:color w:val="auto"/>
        </w:rPr>
      </w:pPr>
      <w:r>
        <w:rPr>
          <w:rFonts w:ascii="Arial" w:cs="Arial" w:eastAsia="Arial" w:hAnsi="Arial"/>
          <w:sz w:val="25"/>
          <w:szCs w:val="25"/>
          <w:b w:val="1"/>
          <w:bCs w:val="1"/>
          <w:i w:val="1"/>
          <w:iCs w:val="1"/>
          <w:color w:val="auto"/>
        </w:rPr>
        <w:t>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86360</wp:posOffset>
            </wp:positionV>
            <wp:extent cx="917575"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757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40"/>
        <w:spacing w:after="0"/>
        <w:rPr>
          <w:sz w:val="20"/>
          <w:szCs w:val="20"/>
          <w:color w:val="auto"/>
        </w:rPr>
      </w:pPr>
      <w:r>
        <w:rPr>
          <w:rFonts w:ascii="Georgia" w:cs="Georgia" w:eastAsia="Georgia" w:hAnsi="Georgia"/>
          <w:sz w:val="32"/>
          <w:szCs w:val="32"/>
          <w:b w:val="1"/>
          <w:bCs w:val="1"/>
          <w:i w:val="1"/>
          <w:iCs w:val="1"/>
          <w:color w:val="auto"/>
        </w:rPr>
        <w:t>NIO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95250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2" w:lineRule="exact"/>
        <w:rPr>
          <w:sz w:val="24"/>
          <w:szCs w:val="24"/>
          <w:color w:val="auto"/>
        </w:rPr>
      </w:pPr>
    </w:p>
    <w:p>
      <w:pPr>
        <w:ind w:right="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This prospectus supplement relates to (i) an offering of an aggregate of           American depositary shares, or ADSs, each representing one Class A ordinary share, par value US$0.00025 per share, of NIO Inc. (the “Primary ADS Offering”) and</w:t>
      </w:r>
    </w:p>
    <w:p>
      <w:pPr>
        <w:spacing w:after="0" w:line="1" w:lineRule="exact"/>
        <w:rPr>
          <w:sz w:val="24"/>
          <w:szCs w:val="24"/>
          <w:color w:val="auto"/>
        </w:rPr>
      </w:pPr>
    </w:p>
    <w:p>
      <w:pPr>
        <w:jc w:val="both"/>
        <w:ind w:right="40"/>
        <w:spacing w:after="0" w:line="234" w:lineRule="auto"/>
        <w:tabs>
          <w:tab w:leader="none" w:pos="276"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an offering of an aggregate of           Class A ordinary shares of NIO Inc. (the “Primary Ordinary Shares Offering”). The Primary ADS Offering and the Primary Ordinary Shares Offering (collectively, the “Primary Offering”) relate to a total of 181,818,190 Class A ordinary shares of NIO. Inc., which will be allocated between the Primary ADS Offering and Primary Ordinary Shares Offering based on investor interests.</w:t>
      </w:r>
    </w:p>
    <w:p>
      <w:pPr>
        <w:spacing w:after="0" w:line="46" w:lineRule="exact"/>
        <w:rPr>
          <w:sz w:val="24"/>
          <w:szCs w:val="24"/>
          <w:color w:val="auto"/>
        </w:rPr>
      </w:pPr>
    </w:p>
    <w:p>
      <w:pPr>
        <w:jc w:val="both"/>
        <w:ind w:right="4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ADSs are listed on the NYSE under the symbol “NIO.” On September 8, 2025, the last reported sale price of the ADSs on the NYSE was US$6.17 per ADS. Our Class A ordinary shares are listed on The Stock Exchange of Hong Kong Limited, or the Hong Kong Stock Exchange, under the stock code “9866.” On September 8, 2025, the last reported trading price of the Class A ordinary shares on the Hong Kong Stock Exchange was HK$47.18 per share, or US$6.01 per ADS based on an exchange rate of HK$7.8499 to US$1.00 as of June 30, 2025. Our Class A ordinary shares are also listed on the Singapore Exchange Securities Trading Limited (the “Singapore Exchange”) under the symbol “NIO.” On September 8, 2025, the last reported trading price of the Class A ordinary shares on the Singapore Exchange was US$6.02 per share, or US$6.02 per ADS.</w:t>
      </w:r>
    </w:p>
    <w:p>
      <w:pPr>
        <w:spacing w:after="0" w:line="46" w:lineRule="exact"/>
        <w:rPr>
          <w:sz w:val="24"/>
          <w:szCs w:val="24"/>
          <w:color w:val="auto"/>
        </w:rPr>
      </w:pPr>
    </w:p>
    <w:p>
      <w:pPr>
        <w:jc w:val="both"/>
        <w:ind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ADSs and Class A ordinary shares involves risks. See “Risk Factors” beginning on page </w:t>
      </w:r>
      <w:r>
        <w:rPr>
          <w:rFonts w:ascii="Times New Roman" w:cs="Times New Roman" w:eastAsia="Times New Roman" w:hAnsi="Times New Roman"/>
          <w:sz w:val="18"/>
          <w:szCs w:val="18"/>
          <w:b w:val="1"/>
          <w:bCs w:val="1"/>
          <w:i w:val="1"/>
          <w:iCs w:val="1"/>
          <w:u w:val="single" w:color="auto"/>
          <w:color w:val="0000EE"/>
        </w:rPr>
        <w:t>S-26</w:t>
      </w:r>
      <w:r>
        <w:rPr>
          <w:rFonts w:ascii="Times New Roman" w:cs="Times New Roman" w:eastAsia="Times New Roman" w:hAnsi="Times New Roman"/>
          <w:sz w:val="18"/>
          <w:szCs w:val="18"/>
          <w:b w:val="1"/>
          <w:bCs w:val="1"/>
          <w:i w:val="1"/>
          <w:iCs w:val="1"/>
          <w:color w:val="auto"/>
        </w:rPr>
        <w:t xml:space="preserve"> of this prospectus and those included in the accompanying prospectus and the documents incorporated by reference in the accompanying prospectus to read about factors you should consider before buying our ADSs and Class A ordinary shares.</w:t>
      </w:r>
    </w:p>
    <w:p>
      <w:pPr>
        <w:spacing w:after="0" w:line="41" w:lineRule="exact"/>
        <w:rPr>
          <w:sz w:val="24"/>
          <w:szCs w:val="24"/>
          <w:color w:val="auto"/>
        </w:rPr>
      </w:pPr>
    </w:p>
    <w:p>
      <w:pPr>
        <w:jc w:val="both"/>
        <w:ind w:right="40"/>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NIO Inc. is not an operating company in China but a Cayman Islands holding company with no equity ownership in its consolidated variable interest entities, or VIEs. NIO Inc. maintains contractual arrangements with the VIEs and is considered the primary beneficiary of these entities, whose financial results are consolidated in NIO Inc.’s consolidated financial statements under the U.S. GAAP for accounting purposes. Those contractual arrangements may not be as effective as direct equity ownership in the VIEs, and the government authorities may challenge the enforceability of those contractual arrangements. Investors in our ADSs and Class A ordinary shares thus are not purchasing equity interests in the VIEs in China but instead are purchasing equity interests in a Cayman Islands holding company. As used in this prospectus supplement, “NIO,” “we,” “us,” “our company,” and “our” refer to NIO Inc., our Cayman Islands holding company and its subsidiaries, and in the context of describing our operations and consolidated financial information, include the VIEs, namely Beijing NIO, Anhui NIO AT and Anhui NIO DT, and their subsidiary.</w:t>
      </w:r>
    </w:p>
    <w:p>
      <w:pPr>
        <w:spacing w:after="0" w:line="61" w:lineRule="exact"/>
        <w:rPr>
          <w:sz w:val="24"/>
          <w:szCs w:val="24"/>
          <w:color w:val="auto"/>
        </w:rPr>
      </w:pPr>
    </w:p>
    <w:p>
      <w:pPr>
        <w:jc w:val="both"/>
        <w:ind w:right="40"/>
        <w:spacing w:after="0"/>
        <w:rPr>
          <w:sz w:val="20"/>
          <w:szCs w:val="20"/>
          <w:color w:val="auto"/>
        </w:rPr>
      </w:pPr>
      <w:r>
        <w:rPr>
          <w:rFonts w:ascii="Times New Roman" w:cs="Times New Roman" w:eastAsia="Times New Roman" w:hAnsi="Times New Roman"/>
          <w:sz w:val="18"/>
          <w:szCs w:val="18"/>
          <w:b w:val="1"/>
          <w:bCs w:val="1"/>
          <w:i w:val="1"/>
          <w:iCs w:val="1"/>
          <w:color w:val="auto"/>
        </w:rPr>
        <w:t>We conduct our operations in China (i) primarily through our PRC subsidiaries, and (ii) to a much lesser extent, through the VIEs, namely Beijing NIO, Anhui NIO AT, and Anhui NIO DT, with each of which we maintain contractual arrangements, and their subsidiary. In addition, we have subsidiaries in the United States, Germany, the United Kingdom, Norway and other jurisdictions. PRC laws and regulations (i) restrict and impose conditions on foreign investment in value-added telecommunication services, including without limitation, performing internet information services and holding certain related licenses; and (ii) prohibit foreign investment in certain services related to autonomous driving as well as the holding of related licenses by foreign entities. Additionally, in practice, subject to the qualifications set by China Banking and Insurance Regulatory Commission (currently known as the National Financial Regulation Administration) for foreign shareholders of the insurance brokerage companies, the China Banking and Insurance Regulatory Commission typically would not approve the establishment of a foreign-invested insurance brokerage company to perform insurance brokerage services and hold certain related licenses. We operate these businesses in China through the VIEs and the subsidiary of one of the VIEs. However, these particular businesses are not significant. The VIEs, taking into account all of their respective businesses with or without foreign investment restrictions under PRC laws, did not make a significant contribution to our total revenues in 2022, 2023, 2024 and for the six months ended June 30, 2025, and did not have significant operations or any material assets or liabilities during any of these periods.</w:t>
      </w:r>
    </w:p>
    <w:p>
      <w:pPr>
        <w:spacing w:after="0" w:line="149" w:lineRule="exact"/>
        <w:rPr>
          <w:sz w:val="24"/>
          <w:szCs w:val="24"/>
          <w:color w:val="auto"/>
        </w:rPr>
      </w:pPr>
    </w:p>
    <w:p>
      <w:pPr>
        <w:jc w:val="both"/>
        <w:ind w:right="4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is subject to risks associated with our contractual arrangements with the VIEs. If the PRC government determines that our contractual arrangements with the VIEs do not comply with PRC regulatory restrictions on foreign investment in the relevant industries, or if these regulations or the interpretation of existing regulations change</w:t>
      </w:r>
    </w:p>
    <w:p>
      <w:pPr>
        <w:spacing w:after="0" w:line="2" w:lineRule="exact"/>
        <w:rPr>
          <w:sz w:val="24"/>
          <w:szCs w:val="24"/>
          <w:color w:val="auto"/>
        </w:rPr>
      </w:pPr>
    </w:p>
    <w:p>
      <w:pPr>
        <w:sectPr>
          <w:pgSz w:w="11900" w:h="16838" w:orient="portrait"/>
          <w:cols w:equalWidth="0" w:num="2">
            <w:col w:w="740" w:space="400"/>
            <w:col w:w="9140"/>
          </w:cols>
          <w:pgMar w:left="580" w:top="205" w:right="10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b w:val="1"/>
          <w:bCs w:val="1"/>
          <w:i w:val="1"/>
          <w:iCs w:val="1"/>
          <w:color w:val="auto"/>
        </w:rPr>
        <w:t>or are interpreted differently in the future, we could be subject to severe penalties or be forced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68065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440" w:type="dxa"/>
        <w:tblCellMar>
          <w:top w:w="0" w:type="dxa"/>
          <w:left w:w="0" w:type="dxa"/>
          <w:bottom w:w="0" w:type="dxa"/>
          <w:right w:w="0" w:type="dxa"/>
        </w:tblCellMar>
      </w:tblPr>
      <w:tr>
        <w:trPr>
          <w:trHeight w:val="867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665B"/>
              </w:rPr>
              <w:t>is not complete and may be changed. This preliminary prospectus supplement and the accompanying prospectus are not offers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665B"/>
              </w:rPr>
              <w:t>jurisdiction where the offer or sale is not permitted.</w:t>
            </w:r>
          </w:p>
        </w:tc>
      </w:tr>
      <w:tr>
        <w:trPr>
          <w:trHeight w:val="244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665B"/>
              </w:rPr>
              <w:t>preliminary prospectus supplement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665B"/>
              </w:rPr>
              <w:t>offers to buy these securities in any</w:t>
            </w:r>
          </w:p>
        </w:tc>
      </w:tr>
      <w:tr>
        <w:trPr>
          <w:trHeight w:val="158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665B"/>
              </w:rPr>
              <w:t>The information 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665B"/>
              </w:rPr>
              <w:t>to sell nor do they seek</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jc w:val="both"/>
        <w:ind w:right="20"/>
        <w:spacing w:after="0" w:line="23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relinquish our interests in those operations. Our holding company, our PRC subsidiaries, the VIEs and investors in our company face uncertainty about potential future actions by the PRC government that could affect the enforceability of the contractual arrangements with the VIEs and, consequently, the business, financial condition and results of operations of the VIEs and our company as a whole. For a detailed description of the risks associated with our corporate structure, </w:t>
      </w:r>
      <w:hyperlink r:id="rId11">
        <w:r>
          <w:rPr>
            <w:rFonts w:ascii="Times New Roman" w:cs="Times New Roman" w:eastAsia="Times New Roman" w:hAnsi="Times New Roman"/>
            <w:sz w:val="18"/>
            <w:szCs w:val="18"/>
            <w:b w:val="1"/>
            <w:bCs w:val="1"/>
            <w:i w:val="1"/>
            <w:iCs w:val="1"/>
            <w:color w:val="auto"/>
          </w:rPr>
          <w:t xml:space="preserve">please refer to “Item 3. Key Information — D. Risk Factors — Risks Related to Our Corporate Structure” in </w:t>
        </w:r>
        <w:r>
          <w:rPr>
            <w:rFonts w:ascii="Times New Roman" w:cs="Times New Roman" w:eastAsia="Times New Roman" w:hAnsi="Times New Roman"/>
            <w:sz w:val="18"/>
            <w:szCs w:val="18"/>
            <w:b w:val="1"/>
            <w:bCs w:val="1"/>
            <w:i w:val="1"/>
            <w:iCs w:val="1"/>
            <w:u w:val="single" w:color="auto"/>
            <w:color w:val="0000EE"/>
          </w:rPr>
          <w:t>our annual</w:t>
        </w:r>
      </w:hyperlink>
    </w:p>
    <w:p>
      <w:pPr>
        <w:spacing w:after="0" w:line="235" w:lineRule="auto"/>
        <w:rPr>
          <w:rFonts w:ascii="Times New Roman" w:cs="Times New Roman" w:eastAsia="Times New Roman" w:hAnsi="Times New Roman"/>
          <w:sz w:val="18"/>
          <w:szCs w:val="18"/>
          <w:b w:val="1"/>
          <w:bCs w:val="1"/>
          <w:i w:val="1"/>
          <w:iCs w:val="1"/>
          <w:color w:val="0000EE"/>
        </w:rPr>
      </w:pPr>
      <w:hyperlink r:id="rId11">
        <w:r>
          <w:rPr>
            <w:rFonts w:ascii="Times New Roman" w:cs="Times New Roman" w:eastAsia="Times New Roman" w:hAnsi="Times New Roman"/>
            <w:sz w:val="18"/>
            <w:szCs w:val="18"/>
            <w:b w:val="1"/>
            <w:bCs w:val="1"/>
            <w:i w:val="1"/>
            <w:iCs w:val="1"/>
            <w:u w:val="single" w:color="auto"/>
            <w:color w:val="0000EE"/>
          </w:rPr>
          <w:t>report on Form 20-F for the fiscal year ended December 31, 2024</w:t>
        </w:r>
        <w:r>
          <w:rPr>
            <w:rFonts w:ascii="Times New Roman" w:cs="Times New Roman" w:eastAsia="Times New Roman" w:hAnsi="Times New Roman"/>
            <w:sz w:val="18"/>
            <w:szCs w:val="18"/>
            <w:b w:val="1"/>
            <w:bCs w:val="1"/>
            <w:i w:val="1"/>
            <w:iCs w:val="1"/>
            <w:color w:val="000000"/>
          </w:rPr>
          <w:t>, or the 2024 Annual Report, which is incorporated into</w:t>
        </w:r>
      </w:hyperlink>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prospectus by reference.</w:t>
      </w:r>
    </w:p>
    <w:p>
      <w:pPr>
        <w:spacing w:after="0" w:line="53"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We face various legal and operational risks and uncertainties related to doing business in China and we are subject to the complex and evolving PRC laws and regulations. The PRC government has significant authority to exert influence on the ability of a China-based company, such as us, to conduct its business. Therefore, investors of our company and our business face potential uncertainty from the PRC government. Changes in China’s economic, political or social conditions or government policies could have a material and adverse effect on our business and results of operations. For example, we face risks associated with regulatory approvals on offshore capital raising activities of listed companies, anti-monopoly regulatory actions, the use of the VIE structure and oversight on cybersecurity and data privacy. These risks could result in a material adverse change in our operations and the value of our ADSs and Class A ordinary shares, significantly limit or completely hinder our ability to continue to offer securities to investors, or cause the value of such securities to significantly decline. For a detailed description of risks related to doing business in China, see “Item 3. Key Information — D. Risk Factors — Risks Related to Doing Business in China” in the 2024 Annual Report.</w:t>
      </w:r>
    </w:p>
    <w:p>
      <w:pPr>
        <w:spacing w:after="0" w:line="4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NIO Inc. is a holding company with no material operations of its own. As a result, although other means are available for us to obtain financing at the holding company level, NIO Inc.’s ability to pay dividends to the shareholders and to service any debt it may incur may depend upon dividends paid by our PRC subsidiaries and service fees paid by the VIE in China. Under PRC law, NIO Inc. may provide funding to our PRC subsidiaries only through capital contributions or loans, and to the VIEs only through loans, subject to satisfaction of applicable government registration and approval requirements. NIO Inc. and its subsidiaries extended loans to the nominee shareholders of the VIEs for their investment in the VIEs, with outstanding principal amount of RMB50.1 million (US$7.0 million) as of each of December 31, 2022, 2023, 2024 and June 30, 2025. In addition, NIO Inc. and its subsidiaries also extended loans to the VIEs for operations with outstanding principal amount of RMB32.8 million, RMB86.9 million, RMB34.7 million and RMB22.5 million (US$3.1 million) as of December 31, 2022, 2023, 2024 and June 30, 2025, respectively. NIO Inc. has not declared or paid any cash dividends, nor does it have any present plan to pay any cash dividends on our ordinary shares in the foreseeable future. We currently intend to retain most, if not all, of our available funds and any future earnings to operate and expand our business. For more details, see “Prospectus Supplement Summary — Cash and Asset Flows through Our Organization” in this prospectus supplement.</w:t>
      </w:r>
    </w:p>
    <w:p>
      <w:pPr>
        <w:spacing w:after="0" w:line="63"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8"/>
          <w:szCs w:val="18"/>
          <w:i w:val="1"/>
          <w:iCs w:val="1"/>
          <w:color w:val="auto"/>
        </w:rPr>
        <w:t>Neither the United States Securities and Exchange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111125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PRICE US$            PER ADS</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i w:val="1"/>
          <w:iCs w:val="1"/>
          <w:color w:val="auto"/>
        </w:rPr>
        <w:t>PRICE HK$            PER CLASS A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104775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Per Class A</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Ordinary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 ​  Per ADS</w:t>
            </w:r>
          </w:p>
        </w:tc>
        <w:tc>
          <w:tcPr>
            <w:tcW w:w="10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4"/>
                <w:szCs w:val="14"/>
                <w:b w:val="1"/>
                <w:bCs w:val="1"/>
                <w:i w:val="1"/>
                <w:iCs w:val="1"/>
                <w:color w:val="auto"/>
              </w:rPr>
              <w:t>​ ​   Share</w:t>
            </w:r>
            <w:r>
              <w:rPr>
                <w:rFonts w:ascii="Times New Roman" w:cs="Times New Roman" w:eastAsia="Times New Roman" w:hAnsi="Times New Roman"/>
                <w:sz w:val="17"/>
                <w:szCs w:val="17"/>
                <w:b w:val="1"/>
                <w:bCs w:val="1"/>
                <w:i w:val="1"/>
                <w:iCs w:val="1"/>
                <w:color w:val="auto"/>
                <w:vertAlign w:val="superscript"/>
              </w:rPr>
              <w:t>(2)</w:t>
            </w:r>
          </w:p>
        </w:tc>
        <w:tc>
          <w:tcPr>
            <w:tcW w:w="9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4"/>
                <w:szCs w:val="14"/>
                <w:b w:val="1"/>
                <w:bCs w:val="1"/>
                <w:i w:val="1"/>
                <w:iCs w:val="1"/>
                <w:color w:val="auto"/>
              </w:rPr>
              <w:t>​ ​   Total</w:t>
            </w:r>
            <w:r>
              <w:rPr>
                <w:rFonts w:ascii="Times New Roman" w:cs="Times New Roman" w:eastAsia="Times New Roman" w:hAnsi="Times New Roman"/>
                <w:sz w:val="17"/>
                <w:szCs w:val="17"/>
                <w:b w:val="1"/>
                <w:bCs w:val="1"/>
                <w:i w:val="1"/>
                <w:iCs w:val="1"/>
                <w:color w:val="auto"/>
                <w:vertAlign w:val="superscript"/>
              </w:rPr>
              <w:t>(3)</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172"/>
        </w:trPr>
        <w:tc>
          <w:tcPr>
            <w:tcW w:w="4680" w:type="dxa"/>
            <w:vAlign w:val="bottom"/>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Public offering price</w:t>
            </w:r>
          </w:p>
        </w:tc>
        <w:tc>
          <w:tcPr>
            <w:tcW w:w="1700" w:type="dxa"/>
            <w:vAlign w:val="bottom"/>
          </w:tcPr>
          <w:p>
            <w:pPr>
              <w:ind w:left="1540"/>
              <w:spacing w:after="0" w:line="172" w:lineRule="exact"/>
              <w:rPr>
                <w:sz w:val="20"/>
                <w:szCs w:val="20"/>
                <w:color w:val="auto"/>
              </w:rPr>
            </w:pPr>
            <w:r>
              <w:rPr>
                <w:rFonts w:ascii="Times New Roman" w:cs="Times New Roman" w:eastAsia="Times New Roman" w:hAnsi="Times New Roman"/>
                <w:sz w:val="18"/>
                <w:szCs w:val="18"/>
                <w:i w:val="1"/>
                <w:iCs w:val="1"/>
                <w:color w:val="auto"/>
              </w:rPr>
              <w:t>​ ​</w:t>
            </w:r>
          </w:p>
        </w:tc>
        <w:tc>
          <w:tcPr>
            <w:tcW w:w="740" w:type="dxa"/>
            <w:vAlign w:val="bottom"/>
            <w:tcBorders>
              <w:top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i w:val="1"/>
                <w:iCs w:val="1"/>
                <w:color w:val="auto"/>
              </w:rPr>
              <w:t xml:space="preserve">US$       </w:t>
            </w:r>
          </w:p>
        </w:tc>
        <w:tc>
          <w:tcPr>
            <w:tcW w:w="200" w:type="dxa"/>
            <w:vAlign w:val="bottom"/>
          </w:tcPr>
          <w:p>
            <w:pPr>
              <w:ind w:left="40"/>
              <w:spacing w:after="0" w:line="172" w:lineRule="exact"/>
              <w:rPr>
                <w:sz w:val="20"/>
                <w:szCs w:val="20"/>
                <w:color w:val="auto"/>
              </w:rPr>
            </w:pPr>
            <w:r>
              <w:rPr>
                <w:rFonts w:ascii="Times New Roman" w:cs="Times New Roman" w:eastAsia="Times New Roman" w:hAnsi="Times New Roman"/>
                <w:sz w:val="18"/>
                <w:szCs w:val="18"/>
                <w:i w:val="1"/>
                <w:iCs w:val="1"/>
                <w:color w:val="auto"/>
              </w:rPr>
              <w:t>​ ​</w:t>
            </w:r>
          </w:p>
        </w:tc>
        <w:tc>
          <w:tcPr>
            <w:tcW w:w="8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i w:val="1"/>
                <w:iCs w:val="1"/>
                <w:color w:val="auto"/>
              </w:rPr>
              <w:t xml:space="preserve">HK$       </w:t>
            </w:r>
          </w:p>
        </w:tc>
        <w:tc>
          <w:tcPr>
            <w:tcW w:w="200" w:type="dxa"/>
            <w:vAlign w:val="bottom"/>
          </w:tcPr>
          <w:p>
            <w:pPr>
              <w:ind w:left="40"/>
              <w:spacing w:after="0" w:line="172" w:lineRule="exact"/>
              <w:rPr>
                <w:sz w:val="20"/>
                <w:szCs w:val="20"/>
                <w:color w:val="auto"/>
              </w:rPr>
            </w:pPr>
            <w:r>
              <w:rPr>
                <w:rFonts w:ascii="Times New Roman" w:cs="Times New Roman" w:eastAsia="Times New Roman" w:hAnsi="Times New Roman"/>
                <w:sz w:val="18"/>
                <w:szCs w:val="18"/>
                <w:i w:val="1"/>
                <w:iCs w:val="1"/>
                <w:color w:val="auto"/>
              </w:rPr>
              <w:t>​ ​</w:t>
            </w:r>
          </w:p>
        </w:tc>
        <w:tc>
          <w:tcPr>
            <w:tcW w:w="740" w:type="dxa"/>
            <w:vAlign w:val="bottom"/>
            <w:tcBorders>
              <w:top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i w:val="1"/>
                <w:iCs w:val="1"/>
                <w:color w:val="auto"/>
              </w:rPr>
              <w:t xml:space="preserve">US$       </w:t>
            </w:r>
          </w:p>
        </w:tc>
        <w:tc>
          <w:tcPr>
            <w:tcW w:w="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w:t>
            </w:r>
          </w:p>
        </w:tc>
      </w:tr>
      <w:tr>
        <w:trPr>
          <w:trHeight w:val="253"/>
        </w:trPr>
        <w:tc>
          <w:tcPr>
            <w:tcW w:w="4680" w:type="dxa"/>
            <w:vAlign w:val="bottom"/>
          </w:tcPr>
          <w:p>
            <w:pPr>
              <w:spacing w:after="0" w:line="253" w:lineRule="exact"/>
              <w:rPr>
                <w:sz w:val="20"/>
                <w:szCs w:val="20"/>
                <w:color w:val="auto"/>
              </w:rPr>
            </w:pPr>
            <w:r>
              <w:rPr>
                <w:rFonts w:ascii="Times New Roman" w:cs="Times New Roman" w:eastAsia="Times New Roman" w:hAnsi="Times New Roman"/>
                <w:sz w:val="18"/>
                <w:szCs w:val="18"/>
                <w:i w:val="1"/>
                <w:iCs w:val="1"/>
                <w:color w:val="auto"/>
              </w:rPr>
              <w:t>Underwriting discounts and commissions</w:t>
            </w:r>
            <w:r>
              <w:rPr>
                <w:rFonts w:ascii="Times New Roman" w:cs="Times New Roman" w:eastAsia="Times New Roman" w:hAnsi="Times New Roman"/>
                <w:sz w:val="23"/>
                <w:szCs w:val="23"/>
                <w:i w:val="1"/>
                <w:iCs w:val="1"/>
                <w:color w:val="auto"/>
                <w:vertAlign w:val="superscript"/>
              </w:rPr>
              <w:t>(1)</w:t>
            </w:r>
          </w:p>
        </w:tc>
        <w:tc>
          <w:tcPr>
            <w:tcW w:w="2440" w:type="dxa"/>
            <w:vAlign w:val="bottom"/>
            <w:gridSpan w:val="2"/>
          </w:tcPr>
          <w:p>
            <w:pPr>
              <w:ind w:left="1540"/>
              <w:spacing w:after="0"/>
              <w:rPr>
                <w:sz w:val="20"/>
                <w:szCs w:val="20"/>
                <w:color w:val="auto"/>
              </w:rPr>
            </w:pPr>
            <w:r>
              <w:rPr>
                <w:rFonts w:ascii="Times New Roman" w:cs="Times New Roman" w:eastAsia="Times New Roman" w:hAnsi="Times New Roman"/>
                <w:sz w:val="18"/>
                <w:szCs w:val="18"/>
                <w:i w:val="1"/>
                <w:iCs w:val="1"/>
                <w:color w:val="auto"/>
              </w:rPr>
              <w:t xml:space="preserve">​ ​ US$       </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 ​ HK$       </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 ​ US$       </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02"/>
        </w:trPr>
        <w:tc>
          <w:tcPr>
            <w:tcW w:w="468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Proceeds to us (before expenses)</w:t>
            </w:r>
          </w:p>
        </w:tc>
        <w:tc>
          <w:tcPr>
            <w:tcW w:w="2440" w:type="dxa"/>
            <w:vAlign w:val="bottom"/>
            <w:gridSpan w:val="2"/>
          </w:tcPr>
          <w:p>
            <w:pPr>
              <w:ind w:left="1540"/>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 ​ US$       </w:t>
            </w:r>
          </w:p>
        </w:tc>
        <w:tc>
          <w:tcPr>
            <w:tcW w:w="10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 ​ HK$       </w:t>
            </w:r>
          </w:p>
        </w:tc>
        <w:tc>
          <w:tcPr>
            <w:tcW w:w="9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 ​ US$       </w:t>
            </w:r>
          </w:p>
        </w:tc>
        <w:tc>
          <w:tcPr>
            <w:tcW w:w="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576897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5768975" cy="1282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-410845</wp:posOffset>
            </wp:positionV>
            <wp:extent cx="57689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7689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7" w:lineRule="exact"/>
        <w:rPr>
          <w:sz w:val="20"/>
          <w:szCs w:val="20"/>
          <w:color w:val="auto"/>
        </w:rPr>
      </w:pPr>
    </w:p>
    <w:p>
      <w:pPr>
        <w:ind w:left="360" w:hanging="360"/>
        <w:spacing w:after="0"/>
        <w:tabs>
          <w:tab w:leader="none" w:pos="36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See “Underwriting” beginning on page </w:t>
      </w:r>
      <w:r>
        <w:rPr>
          <w:rFonts w:ascii="Times New Roman" w:cs="Times New Roman" w:eastAsia="Times New Roman" w:hAnsi="Times New Roman"/>
          <w:sz w:val="14"/>
          <w:szCs w:val="14"/>
          <w:i w:val="1"/>
          <w:iCs w:val="1"/>
          <w:u w:val="single" w:color="auto"/>
          <w:color w:val="0000EE"/>
        </w:rPr>
        <w:t>S-57</w:t>
      </w:r>
      <w:r>
        <w:rPr>
          <w:rFonts w:ascii="Times New Roman" w:cs="Times New Roman" w:eastAsia="Times New Roman" w:hAnsi="Times New Roman"/>
          <w:sz w:val="14"/>
          <w:szCs w:val="14"/>
          <w:i w:val="1"/>
          <w:iCs w:val="1"/>
          <w:color w:val="auto"/>
        </w:rPr>
        <w:t xml:space="preserve"> of this prospectus supplement for additional information regarding total underwriting compensation.</w:t>
      </w:r>
    </w:p>
    <w:p>
      <w:pPr>
        <w:spacing w:after="0" w:line="95" w:lineRule="exact"/>
        <w:rPr>
          <w:rFonts w:ascii="Times New Roman" w:cs="Times New Roman" w:eastAsia="Times New Roman" w:hAnsi="Times New Roman"/>
          <w:sz w:val="14"/>
          <w:szCs w:val="14"/>
          <w:i w:val="1"/>
          <w:iCs w:val="1"/>
          <w:color w:val="auto"/>
        </w:rPr>
      </w:pPr>
    </w:p>
    <w:p>
      <w:pPr>
        <w:ind w:left="360" w:right="40" w:hanging="360"/>
        <w:spacing w:after="0" w:line="285" w:lineRule="auto"/>
        <w:tabs>
          <w:tab w:leader="none" w:pos="36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Based upon each ADS representing one Class A ordinary share and an exchange rate of HK$            to US$1.00, if an investor elects to receive ordinary shares in lieu of ADSs in the Primary Offering.</w:t>
      </w:r>
    </w:p>
    <w:p>
      <w:pPr>
        <w:spacing w:after="0" w:line="36" w:lineRule="exact"/>
        <w:rPr>
          <w:rFonts w:ascii="Times New Roman" w:cs="Times New Roman" w:eastAsia="Times New Roman" w:hAnsi="Times New Roman"/>
          <w:sz w:val="14"/>
          <w:szCs w:val="14"/>
          <w:i w:val="1"/>
          <w:iCs w:val="1"/>
          <w:color w:val="auto"/>
        </w:rPr>
      </w:pPr>
    </w:p>
    <w:p>
      <w:pPr>
        <w:ind w:left="360" w:hanging="360"/>
        <w:spacing w:after="0"/>
        <w:tabs>
          <w:tab w:leader="none" w:pos="36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Based upon each ADS representing one Class A ordinary share and an exchange rate of HK$            to US$1.00.</w:t>
      </w:r>
    </w:p>
    <w:p>
      <w:pPr>
        <w:spacing w:after="0" w:line="8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underwriters have an option to purchase up to an additional 27,272,729 ADSs from us at the public offering price less the underwriting discounts and commissions, within 30 days of the date of this prospectus supplement.</w:t>
      </w:r>
    </w:p>
    <w:p>
      <w:pPr>
        <w:spacing w:after="0" w:line="1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underwriters expect to deliver the ADSs against payment therefor on or about              , 2025, on a “T+1” basis. The Underwriters expect to deliver the Class A ordinary shares offered in the Primary Ordinary Shares Offering against payment therefor through the facilities of the CCASS on or about            , 2025, on a “T+5” basis.</w:t>
      </w:r>
    </w:p>
    <w:p>
      <w:pPr>
        <w:spacing w:after="0" w:line="75" w:lineRule="exact"/>
        <w:rPr>
          <w:sz w:val="20"/>
          <w:szCs w:val="20"/>
          <w:color w:val="auto"/>
        </w:rPr>
      </w:pPr>
    </w:p>
    <w:p>
      <w:pPr>
        <w:spacing w:after="0"/>
        <w:tabs>
          <w:tab w:leader="none" w:pos="3560" w:val="left"/>
          <w:tab w:leader="none" w:pos="7120" w:val="left"/>
        </w:tabs>
        <w:rPr>
          <w:sz w:val="20"/>
          <w:szCs w:val="20"/>
          <w:color w:val="auto"/>
        </w:rPr>
      </w:pPr>
      <w:r>
        <w:rPr>
          <w:rFonts w:ascii="Georgia" w:cs="Georgia" w:eastAsia="Georgia" w:hAnsi="Georgia"/>
          <w:sz w:val="25"/>
          <w:szCs w:val="25"/>
          <w:b w:val="1"/>
          <w:bCs w:val="1"/>
          <w:i w:val="1"/>
          <w:iCs w:val="1"/>
          <w:color w:val="auto"/>
        </w:rPr>
        <w:t>MORGAN STANLEY</w:t>
      </w:r>
      <w:r>
        <w:rPr>
          <w:sz w:val="20"/>
          <w:szCs w:val="20"/>
          <w:color w:val="auto"/>
        </w:rPr>
        <w:tab/>
      </w:r>
      <w:r>
        <w:rPr>
          <w:rFonts w:ascii="Georgia" w:cs="Georgia" w:eastAsia="Georgia" w:hAnsi="Georgia"/>
          <w:sz w:val="25"/>
          <w:szCs w:val="25"/>
          <w:b w:val="1"/>
          <w:bCs w:val="1"/>
          <w:i w:val="1"/>
          <w:iCs w:val="1"/>
          <w:color w:val="auto"/>
        </w:rPr>
        <w:t>UBS Investment Bank</w:t>
      </w:r>
      <w:r>
        <w:rPr>
          <w:sz w:val="20"/>
          <w:szCs w:val="20"/>
          <w:color w:val="auto"/>
        </w:rPr>
        <w:tab/>
      </w:r>
      <w:r>
        <w:rPr>
          <w:rFonts w:ascii="Georgia" w:cs="Georgia" w:eastAsia="Georgia" w:hAnsi="Georgia"/>
          <w:sz w:val="25"/>
          <w:szCs w:val="25"/>
          <w:b w:val="1"/>
          <w:bCs w:val="1"/>
          <w:i w:val="1"/>
          <w:iCs w:val="1"/>
          <w:color w:val="auto"/>
        </w:rPr>
        <w:t>Deutsche Bank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date of this prospectus supplement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288925</wp:posOffset>
            </wp:positionV>
            <wp:extent cx="68065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20"/>
          </w:cols>
          <w:pgMar w:left="580" w:top="97" w:right="105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NOTES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SUMMARY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PRINCIPAL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ENFORCEABILITY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S-51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S-57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S-72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S-73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S-74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jc w:val="both"/>
        <w:ind w:left="1280" w:right="399" w:firstLine="360"/>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document consists of two parts. The first part is this prospectus supplement, which describes the terms of the offering and also adds to and updates information contained in the accompanying prospectus and the documents incorporated by reference in the accompanying prospectus. The second part is the </w:t>
      </w:r>
      <w:hyperlink r:id="rId36">
        <w:r>
          <w:rPr>
            <w:rFonts w:ascii="Times New Roman" w:cs="Times New Roman" w:eastAsia="Times New Roman" w:hAnsi="Times New Roman"/>
            <w:sz w:val="18"/>
            <w:szCs w:val="18"/>
            <w:color w:val="auto"/>
          </w:rPr>
          <w:t xml:space="preserve">accompanying prospectus dated May 21, 2024 included in the registration statement on </w:t>
        </w:r>
        <w:r>
          <w:rPr>
            <w:rFonts w:ascii="Times New Roman" w:cs="Times New Roman" w:eastAsia="Times New Roman" w:hAnsi="Times New Roman"/>
            <w:sz w:val="18"/>
            <w:szCs w:val="18"/>
            <w:u w:val="single" w:color="auto"/>
            <w:color w:val="0000EE"/>
          </w:rPr>
          <w:t>Form F-3 (No. 333-</w:t>
        </w:r>
      </w:hyperlink>
      <w:hyperlink r:id="rId36">
        <w:r>
          <w:rPr>
            <w:rFonts w:ascii="Times New Roman" w:cs="Times New Roman" w:eastAsia="Times New Roman" w:hAnsi="Times New Roman"/>
            <w:sz w:val="18"/>
            <w:szCs w:val="18"/>
            <w:u w:val="single" w:color="auto"/>
            <w:color w:val="0000EE"/>
          </w:rPr>
          <w:t>279584)</w:t>
        </w:r>
        <w:r>
          <w:rPr>
            <w:rFonts w:ascii="Times New Roman" w:cs="Times New Roman" w:eastAsia="Times New Roman" w:hAnsi="Times New Roman"/>
            <w:sz w:val="18"/>
            <w:szCs w:val="18"/>
            <w:color w:val="000000"/>
          </w:rPr>
          <w:t>, which provides more general information.</w:t>
        </w:r>
      </w:hyperlink>
    </w:p>
    <w:p>
      <w:pPr>
        <w:spacing w:after="0" w:line="116"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Both parts of the document contain information you should consider when making your investment decision. You should rely only on the information included or documents incorporated by reference in the accompanying prospectus. We have not, and the underwriters have not, authorized any other person to provide you with different information. If anyone provides you with different or inconsistent information, you should not rely on such different or inconsistent information. The ADSs and Class A ordinary shares registered hereby will be offered only in jurisdictions where it is lawful to do so. The information contained in this prospectus supplement, the accompanying prospectus and the documents incorporated in the accompanying prospectus by reference is current only as of the date of the document containing such information. Our business, financial condition, results of operations and prospects may have changed since those dates. Neither this prospectus supplement nor the accompanying prospectus constitutes an offer, or an invitation on our behalf or on behalf of the underwriters, to subscribe for and purchase, any of our ADSs or Class A ordinary shares and may not be used for or in connection with an offer or solicitation by anyone, in any jurisdiction in which such an offer or solicitation is not authorized or to any person to whom it is unlawful to make such an offer or solicitation.</w:t>
      </w:r>
    </w:p>
    <w:p>
      <w:pPr>
        <w:spacing w:after="0" w:line="332"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any document incorporated by reference in this prospectus supplement or the accompanying prospectus, on the other hand, you should rely on the information in this prospectus supplement.</w:t>
      </w:r>
    </w:p>
    <w:p>
      <w:pPr>
        <w:spacing w:after="0" w:line="112"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Capitalized terms used in this prospectus supplement but not defined herein are defined in the accompanying prospectus and in the 2024 Annual Report that is incorporated therein by reference.</w:t>
      </w:r>
    </w:p>
    <w:p>
      <w:pPr>
        <w:spacing w:after="0" w:line="94"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We have published our consolidated financial statements in RMB. Our business is primarily conducted in China and substantially all of our revenues are denominated in RMB. The conversion of RMB into U.S. dollars in this prospectus supplement is based on the exchange rate set forth in the H.10 statistical release of the Board of Governors of the Federal Reserve System. Unless otherwise noted, all amounts in this prospectus supplement have been translated from Renminbi to U.S. dollars and from U.S. dollars to Renminbi at a rate of RMB7.1636 to US$1.00, the exchange rate in effect as of June 30, 2025. We make no representation that any RMB or U.S. dollar amounts could have been, or could be, converted into U.S. dollars or RMB, as the case may be, at any particular rate, or at all. The PRC government imposes control over its foreign currency reserves in part through direct regulation of the conversion of RMB into foreign exchange.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53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SPECIAL NOTES REGARDING FORWARD-LOOKING STATEMENTS</w:t>
      </w:r>
    </w:p>
    <w:p>
      <w:pPr>
        <w:spacing w:after="0" w:line="162"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therein may contain forward-looking statements that involve risks and uncertainties. All statements other than statements of historical facts are forward-looking statements. These statements are made under the “safe harbor” provisions of the U.S. Private Securities Litigation Reform Act of 1995. 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287" w:lineRule="exact"/>
        <w:rPr>
          <w:sz w:val="20"/>
          <w:szCs w:val="20"/>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growth strategies;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electric vehicles industry in China;</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customers, contract manufacturers, component suppliers, third-party service providers, strategic partners and other stakeholders;</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us, and their future development;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58"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The forward-looking statements included in this prospectus supplement, the accompanying prospectus and the information incorporated by reference therein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prospectus supplement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 looking statements. You should read thoroughly this prospectus supplement and the documents that we refer to with the understanding that our actual future results may be materially different from, or worse than, what we expect. We qualify all of our forward-looking statements by these cautionary statements.</w:t>
      </w:r>
    </w:p>
    <w:p>
      <w:pPr>
        <w:spacing w:after="0" w:line="118"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therein contain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and adverse effect on our business and the market price of our ADSs and Class A ordinary shares.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w:t>
      </w:r>
    </w:p>
    <w:p>
      <w:pPr>
        <w:spacing w:after="0" w:line="323"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 forward-looking statements and you should read these statements in conjunction with the risk factors disclosed in the documents incorporated by reference in the accompanying prospectus for a more complete discussion of the risks of an investment in our securities and other risks outlined in our other filings with the SEC. The forward-looking statements included in this prospectus supplement or the accompanying prospectus or incorporated by reference into the accompanying prospectus are made only as of the date of the document in which those statements were originally made, and we do not undertake any obligation to update the forward-looking statements except as required under applicable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499110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2"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following summary is qualified in its entirety by, and should be read in conjunction with, the more detailed information and financial statements and notes thereto appearing elsewhere in this prospectus supplement, the accompanying prospectus and the documents incorporated by reference therein. In addition to this summary, we urge you to carefully read the entire prospectus supplement and the accompanying prospectus, including the documents incorporated by reference therein, the information included under the sections entitled “Item 3. Key Information — D. Risk Factors” and “Item 4. Information on the Company” in the 2024 Annual Report and the financial statements and the related notes thereto in the 2024 Annual Report, which are incorporated by reference into the accompanying prospectus.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9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xml:space="preserve">Our Chinese name, Weilai ( </w:t>
      </w:r>
      <w:r>
        <w:rPr>
          <w:sz w:val="1"/>
          <w:szCs w:val="1"/>
          <w:color w:val="auto"/>
        </w:rPr>
        <w:drawing>
          <wp:inline distT="0" distB="0" distL="0" distR="0">
            <wp:extent cx="231140" cy="1200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3114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 means Blue Sky Coming.</w:t>
      </w:r>
    </w:p>
    <w:p>
      <w:pPr>
        <w:spacing w:after="0" w:line="132"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We are a pioneer and a leading company in the global smart electric vehicle market. We aspire to shape a sustainable and brighter future with the mission of “Blue Sky Coming”. We envision ourself as a user enterprise where innovative technology meets experience excellence. We design, develop, manufacture and sell smart electric vehicles, driving innovations in next-generation core technologies. We distinguish ourself through continuous technological breakthroughs and innovations, exceptional products and services, and a community for shared growth.</w:t>
      </w:r>
    </w:p>
    <w:p>
      <w:pPr>
        <w:spacing w:after="0" w:line="120"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Leveraging our expertise in smart electric vehicles and technological innovation, we have established three distinct brands to serve a diverse range of market segments. We design, develop, manufacture and sell our premium smart electric vehicles under the NIO brand, family-oriented smart electric vehicles through the ONVO brand, and small smart high-end electric cars with the FIREFLY brand. We currently offer our products and services in China, Europe, and other markets, and are planning to expand into more global markets to capture the fast-growing EV demand.</w:t>
      </w:r>
    </w:p>
    <w:p>
      <w:pPr>
        <w:spacing w:after="0" w:line="120"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Under the NIO brand, we introduced the EP9 supercar in 2016, which was the then fastest electric vehicle, setting the Nurburgring Nordschleife all-electric vehicle lap record. Starting from December 2017, we launched and continually iterated on a succession of well-positioned vehicle models and established a competitive product portfolio, including the ES8 (or the EL8), our flagship premium SUV, the ES7 (or the EL7), our smart electric mid-large SUV, the ES6 (or the EL6), our smart electric all-round SUV, the EC7, our smart electric flagship coupe SUV, the EC6, our smart electric coupe SUV, the ET9, our smart electric executive flagship, the ET7, our smart electric flagship sedan, the ET5, our smart electric mid-size sedan, and the ET5T, our smart electric tourer.</w:t>
      </w:r>
    </w:p>
    <w:p>
      <w:pPr>
        <w:spacing w:after="0" w:line="324"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In 2025, we entered a new product cycle with the introduction of various core products and upgrades, further enhancing user experience and solidifying NIOs’ premium positioning. We started deliveries of the ET9, our smart electric executive flagship, in late March 2025. The ET9 integrates NIO’s full-stack technological capabilities across 12 areas, offering flagship experiences to users in design, space, comfort, audio, intelligent systems, assisted and intelligent driving, safety, powertrain, and overall driving and riding performance. In May 2025, we launched and started deliveries of four further upgraded vehicle models, including the New ES6, our smart electric all-round SUV, the New EC6, our smart electric coupe SUV, the New ET5, our smart electric mid-size sedan, and the New ET5T, our smart electric tourer. In August 2025, our flagship premium SUV, the All-New ES8, was officially unveiled and made available for pre-orders, with user deliveries expected to begin in late September.</w:t>
      </w:r>
    </w:p>
    <w:p>
      <w:pPr>
        <w:spacing w:after="0" w:line="127"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ONVO, our family-oriented smart electric vehicle brand launched in May 2024, stands for “On Voyage,” and carries the implied meaning of “Happiness on Every Path We Travel With Family” in Chinese, which embodies ONVO’s commitment to creating better family life and bringing better brand and product experiences to family users. ONVO L60, a mid-size family smart electric SUV was launched and commenced delivery in September 2024. ONVO L90, a smart large-space flagship SUV, was officially launched on July 31, 2025, with user deliveries starting shortly after. Built upon NIO’s leading technological innovations, the ONVO L90 has been thoughtfully engineered with deep insights into the evolving needs of large three-row SUV users.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05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516245"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70" w:lineRule="auto"/>
        <w:rPr>
          <w:sz w:val="20"/>
          <w:szCs w:val="20"/>
          <w:color w:val="auto"/>
        </w:rPr>
      </w:pPr>
      <w:r>
        <w:rPr>
          <w:rFonts w:ascii="Times New Roman" w:cs="Times New Roman" w:eastAsia="Times New Roman" w:hAnsi="Times New Roman"/>
          <w:sz w:val="18"/>
          <w:szCs w:val="18"/>
          <w:color w:val="auto"/>
        </w:rPr>
        <w:t>Firefly, our small, smart, high-end electric car brand, was launched in December 2024. Built upon NIO’s expertise in research and development, design capabilities, safety standards, and intelligent technologies, firefly embodies the brand’s DNA of being “vivid, thoughtful and solid.” Firefly’s namesake model was launched and commenced delivery in April 2025. It offers a vivid driving experience where users can embrace the freedom to glow.</w:t>
      </w:r>
    </w:p>
    <w:p>
      <w:pPr>
        <w:spacing w:after="0" w:line="105" w:lineRule="exact"/>
        <w:rPr>
          <w:sz w:val="20"/>
          <w:szCs w:val="20"/>
          <w:color w:val="auto"/>
        </w:rPr>
      </w:pPr>
    </w:p>
    <w:p>
      <w:pPr>
        <w:jc w:val="both"/>
        <w:ind w:left="1280" w:right="399" w:firstLine="360"/>
        <w:spacing w:after="0" w:line="270" w:lineRule="auto"/>
        <w:rPr>
          <w:sz w:val="20"/>
          <w:szCs w:val="20"/>
          <w:color w:val="auto"/>
        </w:rPr>
      </w:pPr>
      <w:r>
        <w:rPr>
          <w:rFonts w:ascii="Times New Roman" w:cs="Times New Roman" w:eastAsia="Times New Roman" w:hAnsi="Times New Roman"/>
          <w:sz w:val="18"/>
          <w:szCs w:val="18"/>
          <w:color w:val="auto"/>
        </w:rPr>
        <w:t>In the first six months of 2025, we delivered 114,150 vehicles, including 74,445 vehicles from our premium smart electric vehicle brand NIO, and 31,862 vehicles from our family-oriented smart electric vehicle brand ONVO, and 7,843 vehicles from the Company’s small smart high-end electric car brand FIREFLY. Cumulative deliveries reached 785,714 as of June 30, 2025. We will continue to develop more products to expand our addressable market segments.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Key Technological Breakthroughs and Innovations</w:t>
      </w:r>
    </w:p>
    <w:p>
      <w:pPr>
        <w:spacing w:after="0" w:line="148" w:lineRule="exact"/>
        <w:rPr>
          <w:sz w:val="20"/>
          <w:szCs w:val="20"/>
          <w:color w:val="auto"/>
        </w:rPr>
      </w:pPr>
    </w:p>
    <w:p>
      <w:pPr>
        <w:jc w:val="both"/>
        <w:ind w:left="1280" w:right="399" w:firstLine="360"/>
        <w:spacing w:after="0" w:line="264" w:lineRule="auto"/>
        <w:rPr>
          <w:sz w:val="20"/>
          <w:szCs w:val="20"/>
          <w:color w:val="auto"/>
        </w:rPr>
      </w:pPr>
      <w:r>
        <w:rPr>
          <w:rFonts w:ascii="Times New Roman" w:cs="Times New Roman" w:eastAsia="Times New Roman" w:hAnsi="Times New Roman"/>
          <w:sz w:val="18"/>
          <w:szCs w:val="18"/>
          <w:color w:val="auto"/>
        </w:rPr>
        <w:t>Since our inception, we have remained committed to innovation and dedicated to investing in research and development of core technologies. Our technological breakthroughs and innovations differentiate us from our peers, creating better user experiences and enhancing users’ confidence in us. We have strategically focused on building in-house capabilities including battery swapping, assisted and intelligent driving, digital technologies, electric powertrain and battery, vehicle engineering and design, among others, to control the design and development of the vehicle software and hardware architecture and the critical components that go into our products. Our capabilities have given us greater flexibility to continually improve our current products and launch new products. By integrating these industry-leading technologies, all of our vehicles are designed to provide our users with a relaxing, interactive, intelligent and immersive experience.</w:t>
      </w:r>
    </w:p>
    <w:p>
      <w:pPr>
        <w:spacing w:after="0" w:line="354"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have strategically established our research and development offices across different countries and regions where we believe give us access to the best talent. Our global research and development center for production models is located in Shanghai. Our advanced vehicle manufacturing center is located in Anhui. Our global research and development center for software is located in Beijing. Our global research and development center for autonomous driving is located in San Jose. Our global design center is located in Munich. Our global research and development center for advanced engineering is located in Oxford.</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Battery Swapping and BaaS</w:t>
      </w:r>
    </w:p>
    <w:p>
      <w:pPr>
        <w:spacing w:after="0" w:line="162" w:lineRule="exact"/>
        <w:rPr>
          <w:sz w:val="20"/>
          <w:szCs w:val="20"/>
          <w:color w:val="auto"/>
        </w:rPr>
      </w:pPr>
    </w:p>
    <w:p>
      <w:pPr>
        <w:jc w:val="both"/>
        <w:ind w:left="1280" w:right="399" w:firstLine="360"/>
        <w:spacing w:after="0" w:line="270" w:lineRule="auto"/>
        <w:rPr>
          <w:sz w:val="20"/>
          <w:szCs w:val="20"/>
          <w:color w:val="auto"/>
        </w:rPr>
      </w:pPr>
      <w:r>
        <w:rPr>
          <w:rFonts w:ascii="Times New Roman" w:cs="Times New Roman" w:eastAsia="Times New Roman" w:hAnsi="Times New Roman"/>
          <w:sz w:val="18"/>
          <w:szCs w:val="18"/>
          <w:color w:val="auto"/>
        </w:rPr>
        <w:t>All of our smart electric vehicles are equipped with proprietary battery swapping technologies, providing our users with a “chargeable, swappable, upgradable” experience. We also offer Battery as a Service, or BaaS, an industry-first innovative model which allows users to purchase electric vehicles while subscribing for the usage of batteries separately. BaaS enables our users to benefit from lower vehicle purchase prices, flexible battery upgrade options and assurance of battery performance.</w:t>
      </w:r>
    </w:p>
    <w:p>
      <w:pPr>
        <w:spacing w:after="0" w:line="74" w:lineRule="exact"/>
        <w:rPr>
          <w:sz w:val="20"/>
          <w:szCs w:val="20"/>
          <w:color w:val="auto"/>
        </w:rPr>
      </w:pPr>
    </w:p>
    <w:p>
      <w:pPr>
        <w:jc w:val="both"/>
        <w:ind w:left="1820" w:right="399" w:hanging="182"/>
        <w:spacing w:after="0" w:line="255"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Battery Swapping. </w:t>
      </w:r>
      <w:r>
        <w:rPr>
          <w:rFonts w:ascii="Times New Roman" w:cs="Times New Roman" w:eastAsia="Times New Roman" w:hAnsi="Times New Roman"/>
          <w:sz w:val="18"/>
          <w:szCs w:val="18"/>
          <w:color w:val="auto"/>
        </w:rPr>
        <w:t>Supported by over 1,680 patented technologies as of June 30, 2025, all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support battery swapping. It provides our users with convenient “recharging” experiences by simply swapping their battery for another one within minutes. Moreover, it enables users to enjoy the benefits of battery technology advancements with upgrade options. Additionally, during each battery swap, a comprehensive health assessment on the battery and electric drive system is performed to ensure optimal condition of the vehicle. Equipped with Lidars and NVIDIA DRIVE Orin X chips, our Power Swap Station 4.0 can conduct fully automatic swaps up to 480 times per day and support intelligent vehicle-station connectivity in complex environments.</w:t>
      </w:r>
    </w:p>
    <w:p>
      <w:pPr>
        <w:spacing w:after="0" w:line="90" w:lineRule="exact"/>
        <w:rPr>
          <w:rFonts w:ascii="Times New Roman" w:cs="Times New Roman" w:eastAsia="Times New Roman" w:hAnsi="Times New Roman"/>
          <w:sz w:val="18"/>
          <w:szCs w:val="18"/>
          <w:color w:val="auto"/>
        </w:rPr>
      </w:pPr>
    </w:p>
    <w:p>
      <w:pPr>
        <w:jc w:val="both"/>
        <w:ind w:left="1820" w:right="399" w:hanging="182"/>
        <w:spacing w:after="0" w:line="255"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BaaS. </w:t>
      </w:r>
      <w:r>
        <w:rPr>
          <w:rFonts w:ascii="Times New Roman" w:cs="Times New Roman" w:eastAsia="Times New Roman" w:hAnsi="Times New Roman"/>
          <w:sz w:val="18"/>
          <w:szCs w:val="18"/>
          <w:color w:val="auto"/>
        </w:rPr>
        <w:t>Enabled by vehicle-battery separation technology and battery subscription model, BaaS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decouples the battery price from the purchase price of a vehicle and allows users to subscribe for battery usage separately. For each user under the BaaS model, we sell a battery to the Battery Asset Company, and the user subscribes for the usage of the battery from the Battery Asset Company. If our users opt to purchase a vehicle and subscribe for the battery under BaaS, they can enjoy a deduction off the original vehicle purchase price while paying a monthly subscription fee for the battery. Our users are able to enjoy permanent or flexible upgrades to batteries with higher capacities or other future battery options with an additional fee as the battery technologies evolve.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Assisted and Intelligent Driving and Subscription</w:t>
      </w:r>
    </w:p>
    <w:p>
      <w:pPr>
        <w:spacing w:after="0" w:line="162"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believe that assisted and intelligent driving is the core of smart electric vehicles, and it has been our focus from day one. We are one of the first companies in China to offer enhanced ADAS capabilities and we have been dedicated to developing our proprietary full-stack assisted and intelligent driving capabilities.</w:t>
      </w:r>
    </w:p>
    <w:p>
      <w:pPr>
        <w:spacing w:after="0" w:line="102"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We offer NIO assisted and intelligent driving, or NAD, our full-stack in-house developed assisted and intelligent driving capabilities, to NIO brand users. NAD is equipped with our proprietary perception algorithms, localization, control strategy and platform software. The technology comprises NIO Adam, a super computing platform with outstanding computing power, and NIO Aquila, a super sensing system equipped with high-performance sensors including LiDAR. With the gradual release of certain features of the NAD through NOP+, our generalization capability and collective intelligence capability have seen rapid growth. Currently, NOP+ is available for user subscription and has been deployed across scenarios including expressways, urban areas, parking and battery swapping, delivering a safer and more relaxing assisted and intelligent driving experience for our users.</w:t>
      </w:r>
    </w:p>
    <w:p>
      <w:pPr>
        <w:spacing w:after="0" w:line="120"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We continually process fast iteration on our assisted and intelligent driving system capabilities. At NIO IN 2024, we unveiled the NIO WorldModel (NWM), our multivariable autoregressive generative model, and introduced the NADArch2.0, a brand-new architecture for our assisted and intelligent driving technology. NADArch2.0 is an industry-leading end-to-end architecture empowered by the NWM and will offer a more relaxed and safer assisted and intelligent driving experience for our users. Since late May 2025, NWM has been gradually rolled out to NIO brand vehicles, providing comprehensive upgrades in active safety, urban and highway driving, as well as parking. NWM will continue to iterate, bringing safer and smarter driving across all scenarios.</w:t>
      </w:r>
    </w:p>
    <w:p>
      <w:pPr>
        <w:spacing w:after="0" w:line="11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offer ONVO Smart Driving, or OSD, to ONVO brand users. OSD is built upon our full-stack assisted and intelligent driving capabilities. OSD utilizes advanced sensor fusion algorithms and is equipped with multiple high-performance sensors, providing users with sophisticated assisted and intelligent driving features. This technology has been optimized for expressways, urban areas, parking, and battery swapping.</w:t>
      </w:r>
    </w:p>
    <w:p>
      <w:pPr>
        <w:spacing w:after="0" w:line="110"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We offer assisted and intelligent driving features to firefly brand users. Equipped with high-performance perception hardware, firefly provides intelligent navigation assistance that covers expressways and urban areas. In addition, firefly offers comprehensive parking assistance for all scenarios, enabling users to easily manage a wide range of parking situations and ensuring a more relaxed and safer driving experience for users.</w:t>
      </w:r>
    </w:p>
    <w:p>
      <w:pPr>
        <w:spacing w:after="0" w:line="32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In addition, we conduct in-house research and development of the intelligent driving chipset to maximize the assisted and intelligent driving algorithm efficiency. In December 2023, we unveiled our first proprietary automotive -grade chip for assisted and intelligent driving, the NX9031. We have integrated it into new models under the NIO brand launched in 2025.</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Digital Technologies</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Digital System</w:t>
      </w:r>
    </w:p>
    <w:p>
      <w:pPr>
        <w:spacing w:after="0" w:line="162"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Our digital system forms the foundation for continuous upgrades through over-the-air updates, and serves as the platform for building our own proprietary software and algorithms and the security system for deep reassurance.</w:t>
      </w:r>
    </w:p>
    <w:p>
      <w:pPr>
        <w:spacing w:after="0" w:line="102"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On top of our proprietary software architecture and cloud data platform, SkyOS, our full- domain vehicle operating system, has what we believe to be the industry- leading connectivity and remote service capabilities with an end-to-end security framework. By seamlessly integrating and efficiently collaborating all vehicle domains, including assisted and intelligent driving, digital cockpit, and vehicle control, SkyOS provides a secure, intelligent and smooth driving experience to users.</w:t>
      </w:r>
    </w:p>
    <w:p>
      <w:pPr>
        <w:spacing w:after="0" w:line="1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Digital Cockpit</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Running on the in-house developed SkyOS, our digital cockpit has an AI -driven, scalable and flexible architecture that presents users with an intelligent and immersive digital experience. We have built flexibility into the digital cockpit, so that we can continue to update the cockpit’s operating system with new features and applications.</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57" w:lineRule="auto"/>
        <w:rPr>
          <w:sz w:val="20"/>
          <w:szCs w:val="20"/>
          <w:color w:val="auto"/>
        </w:rPr>
      </w:pPr>
      <w:r>
        <w:rPr>
          <w:rFonts w:ascii="Times New Roman" w:cs="Times New Roman" w:eastAsia="Times New Roman" w:hAnsi="Times New Roman"/>
          <w:sz w:val="18"/>
          <w:szCs w:val="18"/>
          <w:color w:val="auto"/>
        </w:rPr>
        <w:t>Inspired by the concept of creating a mobile living space, providing a caring emotion companion while connecting products, services and community, we have launched the N-Box Enhanced Infotainment Console and the AR display system, bringing immersive experiences and a realistic sense of space to our users. Inside our digital cockpit, our in-car AI companions, can listen to, communicate and interact with users, while also supporting multimodal large vision models to foster a strong emotional connection between vehicles and users.</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Electric Powertrain and Battery</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Electric Powertrain</w:t>
      </w:r>
    </w:p>
    <w:p>
      <w:pPr>
        <w:spacing w:after="0" w:line="162"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Starting from our first product, we have designed, developed and manufactured our own proprietary electric powertrains in-house. We possess in-house research and development capabilities across motors, electric controls, reducers, and high voltage charging and distribution systems.</w:t>
      </w:r>
    </w:p>
    <w:p>
      <w:pPr>
        <w:spacing w:after="0" w:line="108" w:lineRule="exact"/>
        <w:rPr>
          <w:sz w:val="20"/>
          <w:szCs w:val="20"/>
          <w:color w:val="auto"/>
        </w:rPr>
      </w:pPr>
    </w:p>
    <w:p>
      <w:pPr>
        <w:jc w:val="both"/>
        <w:ind w:left="1280" w:right="399" w:firstLine="360"/>
        <w:spacing w:after="0" w:line="259" w:lineRule="auto"/>
        <w:rPr>
          <w:sz w:val="20"/>
          <w:szCs w:val="20"/>
          <w:color w:val="auto"/>
        </w:rPr>
      </w:pPr>
      <w:r>
        <w:rPr>
          <w:rFonts w:ascii="Times New Roman" w:cs="Times New Roman" w:eastAsia="Times New Roman" w:hAnsi="Times New Roman"/>
          <w:sz w:val="18"/>
          <w:szCs w:val="18"/>
          <w:color w:val="auto"/>
        </w:rPr>
        <w:t>Our electric powertrains are designed specifically for our vehicles, and through firmware over-the-air, we are able to continue to improve and update, and adjust according to our users’ driving behavior. Enabled by in-house research and development capabilities, our motor configuration offers a variety of electric motors. We are in the process of developing our next generation electric powertrains based on the high-voltage architecture.</w:t>
      </w:r>
    </w:p>
    <w:p>
      <w:pPr>
        <w:spacing w:after="0" w:line="39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Battery</w:t>
      </w:r>
    </w:p>
    <w:p>
      <w:pPr>
        <w:spacing w:after="0" w:line="148"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are committed to the research, development and innovations in battery technologies and have built up the research and development capabilities throughout the lifecycle of uni-pack battery. Our batteries are based on advanced battery pack design, battery management system and proprietary swapping mechanism.</w:t>
      </w:r>
    </w:p>
    <w:p>
      <w:pPr>
        <w:spacing w:after="0" w:line="108"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Currently, we offer standard range battery, long range battery and ultra-long range battery. In addition, we provide flexible battery upgrade plans to maximize battery utilization efficiency, allowing users to flexibly select battery options or upgrade battery range based on their individual driving needs. We are also collaborating with our partners in developing long-life batteries.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Vehicle Engineering and Design Capabilities</w:t>
      </w:r>
    </w:p>
    <w:p>
      <w:pPr>
        <w:spacing w:after="0" w:line="162"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We have significant in-house vehicle engineering and design capabilities, covering all major areas of vehicle development starting from inception to completion, with a particular emphasis on software-driven technologies and fast iteration. In addition, our innovation in core components allows for the efficient development of multiple brands and models. For example, our in-house developed intelligent chassis controller enables integrated control of redundant braking, air spring and damper, while achieving functional safety, cyber security and OTA updates. Moreover, we have implemented our “Skyride” intelligent chassis system, which integrates core hardware components of steer-by-wire, rear-wheel steering, and fully active suspension.</w:t>
      </w:r>
    </w:p>
    <w:p>
      <w:pPr>
        <w:spacing w:after="0" w:line="324"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Our global design team has comprehensive design capabilities across the board, from brands, vehicles, user interface/user experience, lifestyle products to accessories.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User Development and User Community</w:t>
      </w:r>
    </w:p>
    <w:p>
      <w:pPr>
        <w:spacing w:after="0" w:line="162"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We reach out to and engage with our users directly through our own offline and online platforms to continuously expand our user community.</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Physical Stores</w:t>
      </w:r>
    </w:p>
    <w:p>
      <w:pPr>
        <w:spacing w:after="0" w:line="162"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NIO Houses and NIO Spaces serve as offline channels for us to reach out to and serve our users for NIO and firefly brands, as well as the offline platforms for our user community.</w:t>
      </w: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NIO Houses have showroom functions while serving as a clubhouse for our users and their friends.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NIO Spaces are mainly showrooms for our brand, vehicles and services. As of June 30, 2025, we had 187</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NIO Houses and 443 NIO Spaces in total globally.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9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516245" cy="813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ONVO Centers and ONVO Spaces serve as ONVO’s offline channels, designed to showcase products, facilitate sales, and foster engagement within the ONVO user community. As of June 30, 2025, we had a total of 432 ONVO Centers and ONVO Spaces in China.</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Brand Apps</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Our mobile apps for NIO, ONVO and FIREFLY are all designed to serve as a comprehensive portal, which allow users to not only place orders for and configure vehicles, but also to access vehicle control, power and other services, as well as to purchase lifestyle products. Most importantly, our apps function as online platforms for our user community.</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Brand Events</w:t>
      </w:r>
    </w:p>
    <w:p>
      <w:pPr>
        <w:spacing w:after="0" w:line="162"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Our annual NIO Day is an event jointly hosted by us and our users where we launch our new products and technologies and celebrate the user community. In December 2017 in Beijing, China, we held our first NIO Day and launched the ES8. We had since then held multiple NIO Days to launch new products and interact with our users in the subsequent years. Most recently, in December 2024, we held NIO Day 2024 in Guangzhou, China, with the official launch of the ET9. In addition, during the event, firefly, our small smart high-end electric car brand, was officially launched.</w:t>
      </w:r>
    </w:p>
    <w:p>
      <w:pPr>
        <w:spacing w:after="0" w:line="112"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In May 2024, we hosted the debut event for our ONVO brand, introducing our family-oriented smart electric vehicle brand, ONVO, as well as its first vehicle model, the L60, a smart electric mid-size family SUV.</w:t>
      </w:r>
    </w:p>
    <w:p>
      <w:pPr>
        <w:spacing w:after="0" w:line="3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Lifestyle Products</w:t>
      </w:r>
    </w:p>
    <w:p>
      <w:pPr>
        <w:spacing w:after="0" w:line="148"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have established our lifestyle brands for NIO, ONVO and FIREFLY, and we operate online stores within our apps where users can purchase a variety of lifestyle products. The product categories include clothing and accessories, home and living, consumer electronics, food and beverages.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User Points</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provide users with points to encourage user engagement and positive user behavior, such as to keep a safe driving record. Points are earned, among other things, through the welcome packages upon the purchase of vehicles, referrals for test drives and vehicle purchases, and active engagement in the user community. Points can be used, both on our apps and at our physical stores.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NIO Users Trust</w:t>
      </w:r>
    </w:p>
    <w:p>
      <w:pPr>
        <w:spacing w:after="0" w:line="162"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In conjunction with our pursuit of being a user enterprise and with the goal of building a deeper connection between NIO and our users, Mr. Bin Li, our chairman of the board of directors and chief executive officer, transferred a certain amount of his ordinary shares to NIO Users Trust in January 2019. Our users have the opportunity to discuss and propose the use of the economic benefits from the shares in NIO Users Trust through a User Council consisting of members of our user community elected by our users. The User Council helps coordinate user activities in our community. According to the articles of association of NIO Users Trust, incomes and proceeds derived from the trust assets shall be mainly used for the following purposes: (i) environmental protection and sustainable development, (ii) NIO Users community care projects, (iii) community activities promoting common growth of users and other necessary projects, and (iv) operational expenses of the Users Trust.</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Power Solutions</w:t>
      </w:r>
    </w:p>
    <w:p>
      <w:pPr>
        <w:spacing w:after="0" w:line="162"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We offer a comprehensive and innovative suite of power solutions to address the charging and swapping needs of our users. Our power solutions include home chargers called Power Home, battery swapping called Power Swap, supercharging piles called Power Charger, destination charging piles called Destination Charger, and mobile charging called Power Mobile. All of those solutions are integrated with Power Cloud, a cloud-based system that synchronizes users’ power consumption information with our power network. Power Cloud intelligently recommends appropriate services based on users’ locations and power consumption patterns. Our users can not only check the availability of charging and swapping resources within NIO’s own network,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but also access real-time information on a wide range of public chargers through the Power Map feature on our apps. In addition, we offer One Click for Power valet service, where we pick up, charge and return the vehicle. Our goal is to provide the most convenient and efficient power solutions to our users.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Home</w:t>
      </w:r>
    </w:p>
    <w:p>
      <w:pPr>
        <w:spacing w:after="0" w:line="162"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Through Power Home, we install home chargers at our users’ residences upon request if the installation is feasible. We currently offer both standard and high-speed home chargers to meet different charging needs.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Swap</w:t>
      </w:r>
    </w:p>
    <w:p>
      <w:pPr>
        <w:spacing w:after="0" w:line="148"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All of our vehicles support battery swapping. Once a vehicle is parked at a Power Swap Station and the swap function is activated, the battery is automatically replaced within minutes. Automatic battery and electric system health assessments are performed during each swap to enhance safety and reliability.</w:t>
      </w:r>
    </w:p>
    <w:p>
      <w:pPr>
        <w:spacing w:after="0" w:line="10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Since the establishment of our first battery swap station in 2018, we have been committed to the ongoing development and improvement of our Power Swap systems. Equipped with Lidars and NVIDIA DRIVE Orin X chips, our Power Swap Station 4.0 can conduct fully automatic swaps up to 480 times per day and support intelligent vehicle-station connectivity in complex environments.</w:t>
      </w:r>
    </w:p>
    <w:p>
      <w:pPr>
        <w:spacing w:after="0" w:line="110"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As of June 30, 2025, we had 3,445 Power Swap Stations covering urban areas and expressways globally, through which we had completed over 78 million battery swaps cumulatively. We have opened our Power Swap network to the entire industry and signed strategic partnership agreements with Changan Automobile, Geely Group, Chery Automobile, JAC Group, Lotus, GAC Group, FAW Group and CATL on battery charging and swapping.</w:t>
      </w:r>
    </w:p>
    <w:p>
      <w:pPr>
        <w:spacing w:after="0" w:line="114"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On August 20, 2024, we announced the “Power Up Counties” plan to strengthen our charging and swapping network across all county-level administrative divisions in China. This initiative aims to provide a more convenient, efficient and comprehensive charging experience for our users. We have been collaborating with partners across transportation, energy and other sectors to jointly develop charging and swapping infrastructure. We expect to join hands with more partners to contribute towards the development of power network and the widespread adoption of battery swapping.</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Charger and Destination Charger</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Through Power Charger, our supercharging piles, we provide our users a fast and reliable power solution. Users are able to locate, use and pay for charging services via our apps. Our Power Chargers feature a slim design and are strategically placed in parking lots and other accessible locations. We currently offer Power Chargers with charging capacities of up to 640kW.</w:t>
      </w:r>
    </w:p>
    <w:p>
      <w:pPr>
        <w:spacing w:after="0" w:line="110"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also deploy Destination Chargers at key locations such as tourist attractions, shopping malls and office buildings to provide greater convenience and flexibility for users.</w:t>
      </w:r>
    </w:p>
    <w:p>
      <w:pPr>
        <w:spacing w:after="0" w:line="95"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As of June 30, 2025, we had 26,709 Power Chargers and Destination Chargers in operation. We plan to further enhance charging efficiency and expand our charging network to cater to the growing user demand.</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Mobile</w:t>
      </w:r>
    </w:p>
    <w:p>
      <w:pPr>
        <w:spacing w:after="0" w:line="162"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Through Power Mobile, we provide on-demand charging services through fast charging vans equipped with our proprietary fast-charging technology. This service supplements our battery swapping and charging network, providing users with additional charging flexibility. Users are able to book Power Mobile services in advance through our apps.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Map</w:t>
      </w:r>
    </w:p>
    <w:p>
      <w:pPr>
        <w:spacing w:after="0" w:line="148" w:lineRule="exact"/>
        <w:rPr>
          <w:sz w:val="20"/>
          <w:szCs w:val="20"/>
          <w:color w:val="auto"/>
        </w:rPr>
      </w:pPr>
    </w:p>
    <w:p>
      <w:pPr>
        <w:jc w:val="both"/>
        <w:ind w:left="1280" w:right="399" w:firstLine="360"/>
        <w:spacing w:after="0" w:line="259" w:lineRule="auto"/>
        <w:rPr>
          <w:sz w:val="20"/>
          <w:szCs w:val="20"/>
          <w:color w:val="auto"/>
        </w:rPr>
      </w:pPr>
      <w:r>
        <w:rPr>
          <w:rFonts w:ascii="Times New Roman" w:cs="Times New Roman" w:eastAsia="Times New Roman" w:hAnsi="Times New Roman"/>
          <w:sz w:val="18"/>
          <w:szCs w:val="18"/>
          <w:color w:val="auto"/>
        </w:rPr>
        <w:t>In addition to our own swapping and charging network, our users have access to a network of public chargers with real-time availability updates via Power Map in our apps, which consisted of over 1,886,000 publicly accessible charging piles globally as of June 30, 2025. In order to further improve the user experience, we have been working to increase the number of public chargers synchronized with Power Cloud.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576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516245" cy="857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One Click for Power</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Our One Click for Power valet service offers users a seamless charging experience. Through our apps, users can request our team to pick up their vehicle from a designated location for valet charging, battery swapping or Power Mobile service. Power Cloud utilizes smart scheduling to identify the most suitable power solution based on the user’s driving habits, ensuring maximum convenience.</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Service and Warranty</w:t>
      </w:r>
    </w:p>
    <w:p>
      <w:pPr>
        <w:spacing w:after="0" w:line="148" w:lineRule="exact"/>
        <w:rPr>
          <w:sz w:val="20"/>
          <w:szCs w:val="20"/>
          <w:color w:val="auto"/>
        </w:rPr>
      </w:pPr>
    </w:p>
    <w:p>
      <w:pPr>
        <w:jc w:val="both"/>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Our users can access a full suite of innovative services through our apps, as part of our strategy of redefining the user experience. We provide an integrated service ecosystem that delivers a holistic, end -to-end service experience. We believe that our service capability is among the core competitiveness we possess.</w:t>
      </w:r>
    </w:p>
    <w:p>
      <w:pPr>
        <w:spacing w:after="0" w:line="3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Service</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Service Network</w:t>
      </w:r>
    </w:p>
    <w:p>
      <w:pPr>
        <w:spacing w:after="0" w:line="148"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We provide servicing through both company-owned and authorized third-party service centers, offering repair, maintenance and bodywork services. As of June 30, 2025, we had 397 service centers worldwide.</w:t>
      </w:r>
    </w:p>
    <w:p>
      <w:pPr>
        <w:spacing w:after="0" w:line="81"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also provide high-quality delivery services through delivery centers, which serve as vital hubs in the user experience journey. At these centers, we offer users comprehensive support, including vehicle transportation and delivery, pre-delivery inspections, guidance on vehicle features, assistance with vehicle registration and insurance processing.</w:t>
      </w:r>
    </w:p>
    <w:p>
      <w:pPr>
        <w:spacing w:after="0" w:line="16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Service Plan</w:t>
      </w:r>
    </w:p>
    <w:p>
      <w:pPr>
        <w:spacing w:after="0" w:line="162"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We offer service plans on an annual fee basis in certain regions. The service plans offer a combination of insurance and a range of service options. The insurance offered in the plan covers statutory third-party liability and vehicle damage insurance, which are provided through third-party insurers. Our service offerings include vehicle repair and maintenance services, courtesy vehicles, and enhanced data packages, among other services.</w:t>
      </w:r>
    </w:p>
    <w:p>
      <w:pPr>
        <w:spacing w:after="0" w:line="322"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Users are able to arrange for vehicle services through our apps. We also offer repair and maintenance services at users’ doorsteps for added convenience.</w:t>
      </w:r>
    </w:p>
    <w:p>
      <w:pPr>
        <w:spacing w:after="0" w:line="13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Auto Financing</w:t>
      </w:r>
    </w:p>
    <w:p>
      <w:pPr>
        <w:spacing w:after="0" w:line="162"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have agreements with several commercial banks in China to assist users in acquiring financing for vehicle purchases. We also offer auto financing arrangements to users directly through our subsidiaries.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Used Vehicle Service</w:t>
      </w:r>
    </w:p>
    <w:p>
      <w:pPr>
        <w:spacing w:after="0" w:line="148"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We have partnered with various used car dealers through our apps to assist users in completing used car transactions efficiently and conveniently.</w:t>
      </w:r>
    </w:p>
    <w:p>
      <w:pPr>
        <w:spacing w:after="0" w:line="1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Warranty Policy</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offer comprehensive warranty policies covering the entire vehicle as well as key electric components, including the battery, electric motor, and power electronic units. In addition to the standard warranty required by local laws and regulations, we also provide extended warranty services, with specific terms and conditions varying by markets and vehicle models.</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Supply Chain, Manufacturing and Quality Assurance</w:t>
      </w:r>
    </w:p>
    <w:p>
      <w:pPr>
        <w:spacing w:after="0" w:line="162"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view the suppliers and manufacturers we work with as key partners in our vehicle development process. We aim to leverage our partners’ industry expertise to ensure that each vehicle we produce meets our strict quality standards.</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62"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We work with both global and local supply chain partners, with the majority of our suppliers being located in China, which enables us to acquire supplies more efficiently and reduce overall logistics-related cost.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99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516245" cy="819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obtain systems, components, raw materials, parts, manufacturing equipment, and other supplies and services from suppliers which we deem reputable and reliable. We adhere to a structured internal process when sourcing suppliers, evaluating factors such as quality, cost and delivery timelines. We continuously enhance our supply chain to build a more efficient and diversified system. Additionally, we actively cultivate partnerships with suppliers that have innovative technological capabilities and cost advantages, thereby increasing the competitiveness and innovativeness of our supply chain. While we obtain components from multiple sources whenever possible, many of the components used in our vehicles are purchased from a single source. Eventually we plan to implement a multi-sourcing strategy in order to reduce reliance on sole-source suppliers.</w:t>
      </w:r>
    </w:p>
    <w:p>
      <w:pPr>
        <w:spacing w:after="0" w:line="3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Vehicle Manufacturing</w:t>
      </w:r>
    </w:p>
    <w:p>
      <w:pPr>
        <w:spacing w:after="0" w:line="162"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currently manufacture our vehicles at the F1, F2 and F3 Plants in Anhui, China. Our production capacity expansion strategy is aligned with our product pipeline development and sales projections.</w:t>
      </w:r>
    </w:p>
    <w:p>
      <w:pPr>
        <w:spacing w:after="0" w:line="95"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In the past, we partnered with JAC for the joint manufacturing of our vehicles at the F1 and F2 Plants. In December 2023, we entered into definitive agreements with JAC to acquire the manufacturing equipment and assets of both plants for a total consideration of approximately RMB3.16 billion, excluding taxes. The asset transfer was completed in the same month. In addition, we have completed the filing process for our electric passenger vehicle investment project with the relevant authorities in Anhui province and have been included in the Ministry of Industry and Information Technology’s catalogue of approved manufacturers. Our manufacturing model has transitioned from joint manufacturing to independent manufacturing and we have terminated our joint manufacturing agreements with JAC.</w:t>
      </w:r>
    </w:p>
    <w:p>
      <w:pPr>
        <w:spacing w:after="0" w:line="17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Other Manufacturing</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have established our manufacturing facilities in China for the production of electric powertrains and other vehicle parts, with highly automated production lines, advanced manufacturing execution systems and automated guided vehicles. We also manufacture Power Swap Stations and charging piles independently, as well as in collaboration with our partners.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62" w:lineRule="exact"/>
        <w:rPr>
          <w:sz w:val="20"/>
          <w:szCs w:val="20"/>
          <w:color w:val="auto"/>
        </w:rPr>
      </w:pPr>
    </w:p>
    <w:p>
      <w:pPr>
        <w:jc w:val="both"/>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We aim to deliver high-quality products and services to our users in line with our core values and commitments. We have established a Quality Committee responsible for the overall quality management across the company. Chaired by our executive vice president, the Quality Committee oversees the formulation of group-level quality assurance policies, strategies, goals and initiatives, while also monitoring progress toward quality objectives. Our dedicated quality management teams are responsible for our overall quality strategy, quality systems and processes, quality culture, and general quality management implementation.</w:t>
      </w:r>
    </w:p>
    <w:p>
      <w:pPr>
        <w:spacing w:after="0" w:line="325"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We believe that our quality management system is the key to ensuring the delivery of high-quality products and services, minimizing waste and maximizing efficiency. Our All-Time Quality (ATQ) system is a comprehensive framework centered on user interests, applying quality management across our entire business chain, from product development, supply chain and manufacturing to logistics, user experience and service quality. Our quality management system covers six major areas including software, charging and battery swapping, vehicle, smart hardware, electric drive system, and battery. The ATQ system also extends across all stages of our business, covering early-stage design quality, partner quality, manufacturing and logistics quality, and user service quality.</w:t>
      </w:r>
    </w:p>
    <w:p>
      <w:pPr>
        <w:spacing w:after="0" w:line="119"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For early-stage design quality, we adopt a Design-for-X approach that comprehensively anticipates and prevents quality issues across various aspects, including early-stage product definition, modeling, engineering development, software development, process development, and quality control. Our approach emphasizes proactive failure prevention, strives for first-time accuracy, and fosters a dynamic failure prevention ecosystem that shares common goals and is capable, self-driven and iterative.</w:t>
      </w:r>
    </w:p>
    <w:p>
      <w:pPr>
        <w:spacing w:after="0" w:line="114" w:lineRule="exact"/>
        <w:rPr>
          <w:sz w:val="20"/>
          <w:szCs w:val="20"/>
          <w:color w:val="auto"/>
        </w:rPr>
      </w:pPr>
    </w:p>
    <w:p>
      <w:pPr>
        <w:jc w:val="both"/>
        <w:ind w:left="1280" w:right="399" w:firstLine="360"/>
        <w:spacing w:after="0" w:line="264" w:lineRule="auto"/>
        <w:rPr>
          <w:sz w:val="20"/>
          <w:szCs w:val="20"/>
          <w:color w:val="auto"/>
        </w:rPr>
      </w:pPr>
      <w:r>
        <w:rPr>
          <w:rFonts w:ascii="Times New Roman" w:cs="Times New Roman" w:eastAsia="Times New Roman" w:hAnsi="Times New Roman"/>
          <w:sz w:val="18"/>
          <w:szCs w:val="18"/>
          <w:color w:val="auto"/>
        </w:rPr>
        <w:t>Regarding partner quality, we have developed an innovative partner evaluation system that has positively influences our upstream and downstream partners, enabling win-win cooperation. Through innovations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1" w:lineRule="auto"/>
        <w:rPr>
          <w:sz w:val="20"/>
          <w:szCs w:val="20"/>
          <w:color w:val="auto"/>
        </w:rPr>
      </w:pPr>
      <w:r>
        <w:rPr>
          <w:rFonts w:ascii="Times New Roman" w:cs="Times New Roman" w:eastAsia="Times New Roman" w:hAnsi="Times New Roman"/>
          <w:sz w:val="18"/>
          <w:szCs w:val="18"/>
          <w:color w:val="auto"/>
        </w:rPr>
        <w:t>supply chain collaboration models, we have developed a creative supply chain management approach that supports our partners to quickly improve process and quality management capabilities, driving a transformation of the value chain.</w:t>
      </w:r>
    </w:p>
    <w:p>
      <w:pPr>
        <w:spacing w:after="0" w:line="96" w:lineRule="exact"/>
        <w:rPr>
          <w:sz w:val="20"/>
          <w:szCs w:val="20"/>
          <w:color w:val="auto"/>
        </w:rPr>
      </w:pPr>
    </w:p>
    <w:p>
      <w:pPr>
        <w:jc w:val="both"/>
        <w:ind w:left="1280" w:right="399" w:firstLine="360"/>
        <w:spacing w:after="0" w:line="274" w:lineRule="auto"/>
        <w:rPr>
          <w:sz w:val="20"/>
          <w:szCs w:val="20"/>
          <w:color w:val="auto"/>
        </w:rPr>
      </w:pPr>
      <w:r>
        <w:rPr>
          <w:rFonts w:ascii="Times New Roman" w:cs="Times New Roman" w:eastAsia="Times New Roman" w:hAnsi="Times New Roman"/>
          <w:sz w:val="18"/>
          <w:szCs w:val="18"/>
          <w:color w:val="auto"/>
        </w:rPr>
        <w:t>To ensure manufacturing and logistics quality, we have engaged in comprehensive and in-depth planning to utilize industry-leading, digitalized and intelligent quality inspection tools and established a systematic quality assurance mechanism for vehicle manufacturing.</w:t>
      </w:r>
    </w:p>
    <w:p>
      <w:pPr>
        <w:spacing w:after="0" w:line="115" w:lineRule="exact"/>
        <w:rPr>
          <w:sz w:val="20"/>
          <w:szCs w:val="20"/>
          <w:color w:val="auto"/>
        </w:rPr>
      </w:pPr>
    </w:p>
    <w:p>
      <w:pPr>
        <w:jc w:val="both"/>
        <w:ind w:left="1280" w:right="399" w:firstLine="360"/>
        <w:spacing w:after="0" w:line="275" w:lineRule="auto"/>
        <w:rPr>
          <w:sz w:val="20"/>
          <w:szCs w:val="20"/>
          <w:color w:val="auto"/>
        </w:rPr>
      </w:pPr>
      <w:r>
        <w:rPr>
          <w:rFonts w:ascii="Times New Roman" w:cs="Times New Roman" w:eastAsia="Times New Roman" w:hAnsi="Times New Roman"/>
          <w:sz w:val="18"/>
          <w:szCs w:val="18"/>
          <w:color w:val="auto"/>
        </w:rPr>
        <w:t>For user service quality, we leverage our internet-based capabilities and extensive user touchpoints to create an end-to-end quality assurance system for user operation, maintenance and repair, and issue resolution.</w:t>
      </w:r>
    </w:p>
    <w:p>
      <w:pPr>
        <w:spacing w:after="0" w:line="3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VIEs</w:t>
      </w:r>
    </w:p>
    <w:p>
      <w:pPr>
        <w:spacing w:after="0" w:line="148"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NIO Inc. is not an operating company in China but a Cayman Islands holding company with no equity ownership in its consolidated variable interest entities, or VIEs. We conduct our operations in China</w:t>
      </w:r>
    </w:p>
    <w:p>
      <w:pPr>
        <w:spacing w:after="0" w:line="2" w:lineRule="exact"/>
        <w:rPr>
          <w:sz w:val="20"/>
          <w:szCs w:val="20"/>
          <w:color w:val="auto"/>
        </w:rPr>
      </w:pPr>
    </w:p>
    <w:p>
      <w:pPr>
        <w:jc w:val="both"/>
        <w:ind w:left="1280" w:right="399" w:hanging="2"/>
        <w:spacing w:after="0" w:line="264" w:lineRule="auto"/>
        <w:tabs>
          <w:tab w:leader="none" w:pos="15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through our PRC subsidiaries, and (ii) to a much lesser extent, through the VIEs, namely Beijing NIO, Anhui NIO AT, and Anhui NIO DT, with each of which we maintain contractual arrangements, and their subsidiary. We have also established subsidiaries in the United States, Germany, the United Kingdom, Norway and other overseas jurisdictions to promote our services and businesses, enter into business contracts with offshore counterparties and hold overseas intellectual properties.</w:t>
      </w:r>
    </w:p>
    <w:p>
      <w:pPr>
        <w:spacing w:after="0" w:line="126"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PRC laws and regulations (i) restrict and impose conditions on foreign investment in value-added telecommunication services, including without limitation, performing internet information services and holding certain related licenses; and (ii) prohibit foreign investment in certain services related to autonomous driving as well as the holding of related licenses by foreign entities. Additionally, in practice, subject to the qualifications set by China Banking and Insurance Regulatory Commission (currently known as the National Financial Regulation Administration) for foreign shareholders of the insurance brokerage companies, the China Banking and Insurance Regulatory Commission typically would not approve the establishment of a foreign-invested insurance brokerage company to perform insurance brokerage services and hold certain related licenses. We operate these businesses in China through Beijing NIO, Anhui NIO AT, and Anhui NIO DT, or as referred to as the VIEs, and NIO Insurance Broker Co., Ltd., the subsidiary of Anhui NIO DT. We rely on contractual arrangements among our PRC subsidiaries, the VIEs and their nominee shareholders to maintain a controlling financial interest as the primary beneficiary of each VIE (as defined in U.S. GAAP, ASC 810). Under U.S. GAAP, we consolidate each VIE within our consolidated financial statements. Specifically, we operate value-added telecommunication services, including without limitation, performing internet information services, and hold certain related licenses, through Beijing NIO. We rely on the contractual arrangements with Anhui NIO DT and its shareholders to operate insurance brokerage services. NIO Insurance Broker Co., Ltd. currently holds an insurance brokerage license and provides insurance brokerage services primarily related to vehicles and properties. We intend to obtain requisite licenses for certain supporting functions during the development of our assisted and intelligent driving technology through Anhui NIO AT. As of the date of this prospectus supplement, the business operations of the VIEs are insignificant in relation to our total revenues and net loss. As used in this prospectus supplement, “NIO,” “we,” “us,” “our company,” and “our” refer to NIO Inc., our Cayman Islands holding company and its subsidiaries, and in the context of describing our operations and consolidated financial information, include the VIEs and NIO Insurance Broker Co., Ltd., the subsidiary of Anhui NIO DT.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and the</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VIEs, as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In April 2018, we entered into a series of contractual arrangements through one of our PRC subsidiaries with Beijing NIO and its shareholders, which were replaced by a new set of contractual arrangements we entered into with the same parties in April 2021. Further, in November 2022 and December 2022, we entered into a series of contractual arrangements through our respective PRC subsidiaries with each of Anhui NIO AT and Anhui NIO DT, respectively, and their respective shareholders, to conduct certain future operations in China. These contractual arrangements enable us to:</w:t>
      </w:r>
    </w:p>
    <w:p>
      <w:pPr>
        <w:spacing w:after="0" w:line="31" w:lineRule="exact"/>
        <w:rPr>
          <w:sz w:val="20"/>
          <w:szCs w:val="20"/>
          <w:color w:val="auto"/>
        </w:rPr>
      </w:pPr>
    </w:p>
    <w:p>
      <w:pPr>
        <w:ind w:left="1820" w:right="3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economic benefits that could potentially be significant to the VIEs in consideration for the services provided by our subsidiaries;</w:t>
      </w:r>
    </w:p>
    <w:p>
      <w:pPr>
        <w:spacing w:after="0" w:line="1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the VIEs; and</w:t>
      </w:r>
    </w:p>
    <w:p>
      <w:pPr>
        <w:spacing w:after="0" w:line="76"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 exclusive option to purchase all or part of the equity interests in the VIEs when and to the extent permitted by PRC law.</w:t>
      </w:r>
    </w:p>
    <w:p>
      <w:pPr>
        <w:spacing w:after="0" w:line="81" w:lineRule="exact"/>
        <w:rPr>
          <w:sz w:val="20"/>
          <w:szCs w:val="20"/>
          <w:color w:val="auto"/>
        </w:rPr>
      </w:pPr>
    </w:p>
    <w:p>
      <w:pPr>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These contractual agreements include an exclusive business cooperation agreement, exclusive option agreement, equity pledge agreement, loan agreement and power of attorney. For more details of these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contractual arrangements, see “Item 4. Information on the Company — C. Organizational Structure —  Contractual Agreements with the VIEs and Their Shareholders” in the 2024 Annual Report.</w:t>
      </w:r>
    </w:p>
    <w:p>
      <w:pPr>
        <w:spacing w:after="0" w:line="94"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Beijing NIO, Anhui NIO AT, and Anhui NIO DT and its subsidiary, taking into account all of their respective business with or without foreign investment restrictions and prohibitions under PRC laws, contributed insignificantly to our total revenues, accounting for nil, RMB13.8 million, RMB31.3 million and RMB27.3 million (US$3.8 million) for the years ended December 31, 2022, 2023 and 2024 and the six months ended June 30, 2025, respectively. The VIEs provided services internally to our subsidiaries, and such services amounted to RMB89.2 million, RMB110.5 million, RMB126.3 million and RMB18.0 million (US$2.5 million) for the years ended December 31, 2022, 2023 and 2024 and the six months ended June 30, 2025, respectively. As of December 31, 2022, 2023 and 2024 and June 30, 2025, none of Beijing NIO, Anhui NIO AT and Anhui NIO DT had significant operations or any material assets or liabilities.</w:t>
      </w:r>
    </w:p>
    <w:p>
      <w:pPr>
        <w:spacing w:after="0" w:line="121"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Holders of our ADSs and Class A ordinary shares are not holding equity interests in the VIEs in China but instead are holding equity interests in a holding company incorporated in the Cayman Islands. We do not have any equity interests in the VIEs. However, as a result of contractual arrangements, we have a controlling financial interest over and are considered the primary beneficiary of each of the VIEs, and we have consolidated the financial results, pursuant to U.S. GAAP, each of these entities in our consolidated financial statements. However, the contractual arrangements may not be as effective as direct ownership in providing us with control over the VIEs and we may incur substantial costs to enforce the terms of the arrangements. If the VIEs or the nominee shareholders fail to perform their respective obligations under the contractual arrangements, we could be limited in our ability to enforce the contractual arrangements that give us effective control over the VIEs. Furthermore, if we are unable to maintain effective control, we would not be able to continue to consolidate the financial results of the VIEs in our financial statements. See “Item 3. Key Information — D. Risk Factors — Risks Related to Our Corporate Structure — We rely on contractual arrangements with the VIEs and their shareholders to hold a controlling financial interest over each VIE, which may not be as effective as direct ownership in providing operational control” and “Item 3. Key Information — D. Risk Factors — Risks Related to Our Corporate Structure — The shareholders of the VIEs have conflicts of interest with us, which may materially and adversely affect our business and financial condition” in the 2024 Annual Report.</w:t>
      </w:r>
    </w:p>
    <w:p>
      <w:pPr>
        <w:spacing w:after="0" w:line="330"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nominee shareholders. It is uncertain whether any new PRC laws or regulations relating to contractual arrangements will be adopted or if adopted, what they would provide. If we or any of the VIEs is found to be in violation of any existing or future PRC laws or regulations, or fail to obtain or maintain any of the required permits or approvals, the PRC regulatory authorities would have broad discretion to take action in dealing with such violations or failures. Our Cayman Islands holding company, our PRC subsidiaries and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See “Item 3. Key Information — D. Risk Factors — Risks Related to Our Corporate Structure — If the PRC government deems that our VIE arrangements do not comply with PRC laws, or if these PRC laws change, we could be subject to severe penalties or be forced to relinquish our interests in those operations” in the 2024 Annual Report.</w:t>
      </w:r>
    </w:p>
    <w:p>
      <w:pPr>
        <w:spacing w:after="0" w:line="347"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 — D. Risk Factors — Risks Related to Doing Business in China — The PRC government’s significant oversight over our business operation could result in a material adverse change in our operations and the value of our ADSs” in the 2024 Annual Report.</w:t>
      </w:r>
    </w:p>
    <w:p>
      <w:pPr>
        <w:spacing w:after="0" w:line="121" w:lineRule="exact"/>
        <w:rPr>
          <w:sz w:val="20"/>
          <w:szCs w:val="20"/>
          <w:color w:val="auto"/>
        </w:rPr>
      </w:pPr>
    </w:p>
    <w:p>
      <w:pPr>
        <w:jc w:val="both"/>
        <w:ind w:left="1280" w:right="399" w:firstLine="360"/>
        <w:spacing w:after="0" w:line="263" w:lineRule="auto"/>
        <w:rPr>
          <w:sz w:val="20"/>
          <w:szCs w:val="20"/>
          <w:color w:val="auto"/>
        </w:rPr>
      </w:pPr>
      <w:r>
        <w:rPr>
          <w:rFonts w:ascii="Times New Roman" w:cs="Times New Roman" w:eastAsia="Times New Roman" w:hAnsi="Times New Roman"/>
          <w:sz w:val="18"/>
          <w:szCs w:val="18"/>
          <w:color w:val="auto"/>
        </w:rPr>
        <w:t>Risks and uncertainties regarding the interpretation and enforcement of laws and quickly evolving rules and regulations in China, could result in a material adverse change in our operations and the value of our ADSs. For more details, see “Item 3. Key Information — D. Risk Factors — Risks Related to Doing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08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516245" cy="820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in China — Uncertainties in the interpretation and enforcement of PRC laws and regulations could limit the legal protections available to you and us” in the 2024 Annual Report.</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this Offering</w:t>
      </w:r>
    </w:p>
    <w:p>
      <w:pPr>
        <w:spacing w:after="0" w:line="162"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Our operations in China are governed by PRC laws and regulations. As of the date of this prospectus supplement, our PRC subsidiaries and the VIEs have obtained the requisite licenses and permits from the PRC government authorities that are material for the main business operations of our holding company, our PRC subsidiaries and the VIEs in China, including, among others, a license for conducting internet content provision services, or the ICP license, and the insurance brokerage license. In addition, we have completed the filing process for our electric passenger vehicle investment project with the authorities in Anhui province and have been included in the Ministry of Industry and Information Technology’s catalogue of approved manufacturers. Given the uncertainties of interpretation and implementation of laws and regulations and the enforcement practice by government authorities, we may be required to obtain additional licenses, permits, filings or approvals for our business operations in the future. For more detailed information, see “Item 3. Key Information — D. Risk Factors — Risks Related to Doing Business in China — We may be adversely affected by the complexity, uncertainties and changes in PRC regulations on internet-related business, automotive businesses and other business carried out by our PRC subsidiaries and the VIEs” in the 2024 Annual Report.</w:t>
      </w:r>
    </w:p>
    <w:p>
      <w:pPr>
        <w:spacing w:after="0" w:line="324" w:lineRule="exact"/>
        <w:rPr>
          <w:sz w:val="20"/>
          <w:szCs w:val="20"/>
          <w:color w:val="auto"/>
        </w:rPr>
      </w:pPr>
    </w:p>
    <w:p>
      <w:pPr>
        <w:jc w:val="both"/>
        <w:ind w:left="1280" w:right="399" w:firstLine="360"/>
        <w:spacing w:after="0" w:line="241" w:lineRule="auto"/>
        <w:rPr>
          <w:sz w:val="20"/>
          <w:szCs w:val="20"/>
          <w:color w:val="auto"/>
        </w:rPr>
      </w:pPr>
      <w:r>
        <w:rPr>
          <w:rFonts w:ascii="Times New Roman" w:cs="Times New Roman" w:eastAsia="Times New Roman" w:hAnsi="Times New Roman"/>
          <w:sz w:val="18"/>
          <w:szCs w:val="18"/>
          <w:color w:val="auto"/>
        </w:rPr>
        <w:t>Meanwhile, the PRC government has sought to exert more oversight and control over capital raising activities of listed companies that are conducted overseas and/or foreign investment in China-based issuers. In December 2021, the Cyberspace Administration of China, or the CAC, together with other authorities, jointly promulgated the Cybersecurity Review Measures, which took effect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On February 17, 2023, China Securities Regulatory Commission, or the CSRC, released several regulations regarding the filing requirements for overseas offerings and listings by domestic companies, including the Trial Administrative Measures of Overseas Securities Offering and Listing by Domestic Companies and five supporting guidelines, which were formally implemented on March 31, 2023. According to these rules, domestic enterprises like us that have completed overseas listings are not required to file with CSRC immediately, but shall carry out filing procedures as required if we conduct refinancing or fall within other circumstances that require filing with the CSRC. We are required to make a filing with the CSRC after the completion of the Primary Offering made pursuant to this prospectus supplement. Any failure to obtain or delay in obtaining such approval or completing such procedures could subject us to restrictions and penalties imposed by the CSRC, the CAC or other PRC regulatory authorities, which could include fines and penalties on our operations in China, delays of or restrictions on the repatriation of the proceeds from our offshore offerings into China, or other actions that could materially and adversely affect our business, financial condition, results of operations, and prospects, as well as the trading price of our ADSs. For more detailed information, see “Item 3. Key Information — D. Risk Factors — Risks Related to Doing Business in China — The approval of or the filing with the CSRC or other PRC government authorities may be required in connection with our future offshore listings and capital raising activities. We cannot predict whether or for how long we will be able to obtain such approval or filing” in the 2024 Annual Report.</w:t>
      </w:r>
    </w:p>
    <w:p>
      <w:pPr>
        <w:spacing w:after="0" w:line="3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62" w:lineRule="exact"/>
        <w:rPr>
          <w:sz w:val="20"/>
          <w:szCs w:val="20"/>
          <w:color w:val="auto"/>
        </w:rPr>
      </w:pPr>
    </w:p>
    <w:p>
      <w:pPr>
        <w:jc w:val="both"/>
        <w:ind w:left="1280" w:right="399" w:firstLine="360"/>
        <w:spacing w:after="0" w:line="24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(United States), or the PCAOB, for two consecutive years, the SEC will prohibit our shares or ADSs from being traded on a national securities exchange or in the over-the -counter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NIO Inc. as a Commission-Identified Issuer under the HFCAA following the filing of our annual report on Form 20-F for the fiscal year ended December 31, 2021. On December 15, 2022, the PCAOB issued a report that vacated 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9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62" w:lineRule="auto"/>
        <w:rPr>
          <w:sz w:val="20"/>
          <w:szCs w:val="20"/>
          <w:color w:val="auto"/>
        </w:rPr>
      </w:pPr>
      <w:r>
        <w:rPr>
          <w:rFonts w:ascii="Times New Roman" w:cs="Times New Roman" w:eastAsia="Times New Roman" w:hAnsi="Times New Roman"/>
          <w:sz w:val="18"/>
          <w:szCs w:val="18"/>
          <w:color w:val="auto"/>
        </w:rPr>
        <w:t>December 16, 2021 determination and removed mainland China and Hong Kong from the list of jurisdictions where it is unable to inspect or investigate completely registered public accounting firms. As of the date of this prospectus supplement, the PCAOB has not issued any new determination that it is unable to inspect or investigate completely registered public accounting firms headquartered in any jurisdiction. For this reason, we do not expect to be identified as a Commission-Identified Issuer under the HFCAA following the filing of our annual report on Form 20-F for the fiscal year ended December 31, 2024.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 — D. Risk Factors — Risks Related to Doing Business in China — 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 — D. Risk Factors — Risks Related to Doing Business in China — 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 in the 2024 Annual Report.</w:t>
      </w:r>
    </w:p>
    <w:p>
      <w:pPr>
        <w:spacing w:after="0" w:line="200" w:lineRule="exact"/>
        <w:rPr>
          <w:sz w:val="20"/>
          <w:szCs w:val="20"/>
          <w:color w:val="auto"/>
        </w:rPr>
      </w:pP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48" w:lineRule="exact"/>
        <w:rPr>
          <w:sz w:val="20"/>
          <w:szCs w:val="20"/>
          <w:color w:val="auto"/>
        </w:rPr>
      </w:pPr>
    </w:p>
    <w:p>
      <w:pPr>
        <w:jc w:val="both"/>
        <w:ind w:left="1280" w:right="399" w:firstLine="360"/>
        <w:spacing w:after="0" w:line="263" w:lineRule="auto"/>
        <w:rPr>
          <w:sz w:val="20"/>
          <w:szCs w:val="20"/>
          <w:color w:val="auto"/>
        </w:rPr>
      </w:pPr>
      <w:r>
        <w:rPr>
          <w:rFonts w:ascii="Times New Roman" w:cs="Times New Roman" w:eastAsia="Times New Roman" w:hAnsi="Times New Roman"/>
          <w:sz w:val="18"/>
          <w:szCs w:val="18"/>
          <w:color w:val="auto"/>
        </w:rPr>
        <w:t>NIO Inc. is a holding company with no material operations of its own. We conduct our operations in China (i) primarily through our PRC subsidiaries, and (ii) to a much lesser extent, the VIEs and their subsidiary. As a result, although other means are available for us to obtain financing at the holding company level, NIO Inc.’s ability to pay dividends to the shareholders and to service any debt it may incur may depend upon dividends paid by our PRC subsidiaries and service fees paid by the VIEs in China. If any of our subsidiaries incurs debt on its own behalf in the future, the instruments governing such debt may restrict its ability to pay dividends to NIO Inc. In addition, our PRC subsidiaries are permitted to pay dividends to NIO Inc. only out of their retained earnings, if any, as determined in accordance with PRC accounting standards and regulations. Further,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 — B. Liquidity and Capital Resources — Holding Company Structure” in the 2024 Annual Report.</w:t>
      </w:r>
    </w:p>
    <w:p>
      <w:pPr>
        <w:spacing w:after="0" w:line="343" w:lineRule="exact"/>
        <w:rPr>
          <w:sz w:val="20"/>
          <w:szCs w:val="20"/>
          <w:color w:val="auto"/>
        </w:rPr>
      </w:pPr>
    </w:p>
    <w:p>
      <w:pPr>
        <w:jc w:val="both"/>
        <w:ind w:left="1280" w:right="399" w:firstLine="360"/>
        <w:spacing w:after="0" w:line="263" w:lineRule="auto"/>
        <w:rPr>
          <w:sz w:val="20"/>
          <w:szCs w:val="20"/>
          <w:color w:val="auto"/>
        </w:rPr>
      </w:pPr>
      <w:r>
        <w:rPr>
          <w:rFonts w:ascii="Times New Roman" w:cs="Times New Roman" w:eastAsia="Times New Roman" w:hAnsi="Times New Roman"/>
          <w:sz w:val="18"/>
          <w:szCs w:val="18"/>
          <w:color w:val="auto"/>
        </w:rPr>
        <w:t>Under PRC laws and regulations, our PRC subsidiaries and the VIEs are subject to certain restrictions with respect to paying dividends or otherwise transferring any of their net assets to us. Remittance of dividends by a wholly foreign-owned enterprise out of China is also subject to examination by the banks designated by the State Administration of Foreign Exchange of the PRC, or SAFE. The amounts restricted include the paid-up capital and the statutory reserve funds of our PRC subsidiaries and the net assets of the VIEs and their subsidiary in which we have no legal ownership, totaling RMB40,720.9 million, RMB42,256.2 million, RMB55,128.3 million and RMB55,221.0 million (US$7,708.6 million) as of December 31, 2022, 2023 and 2024 and June 30, 2025, respectively, and the net assets of the VIEs and their subsidiary that are restricted was RMB50.0 million, RMB54.7 million, RMB74.4 million and RMB77.0 million (US$10.8 million) as of December 31, 2022, 2023 and 2024 and June 30, 2025, respectively. For risks relating to the fund flows of our operations in China, see “Item 3. Key Information — D. Risk Factors — Risks Related to Doing Business in China — We may rely on distributions by our PRC subsidiaries for our financing requirements, and any limitation on our PRC subsidiaries to make payments to us could have a material and adverse effect on our business” in the 2024 Annual Report.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For purposes of illustration, the following discussion reflects the hypothetical taxes that might be required to be paid within China, assuming that: (i) we have taxable earnings, and (ii) we determine to pay dividends in the future.</w:t>
      </w:r>
    </w:p>
    <w:p>
      <w:pPr>
        <w:spacing w:after="0" w:line="10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Tax calculation</w:t>
      </w:r>
      <w:r>
        <w:rPr>
          <w:rFonts w:ascii="Times New Roman" w:cs="Times New Roman" w:eastAsia="Times New Roman" w:hAnsi="Times New Roman"/>
          <w:sz w:val="17"/>
          <w:szCs w:val="17"/>
          <w:b w:val="1"/>
          <w:bCs w:val="1"/>
          <w:color w:val="auto"/>
          <w:vertAlign w:val="superscript"/>
        </w:rPr>
        <w:t>(1)</w:t>
      </w: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Hypothetical pre-tax earnings</w:t>
      </w:r>
    </w:p>
    <w:p>
      <w:pPr>
        <w:spacing w:after="0" w:line="3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Tax on earnings at statutory rate of 25%</w:t>
      </w:r>
      <w:r>
        <w:rPr>
          <w:rFonts w:ascii="Times New Roman" w:cs="Times New Roman" w:eastAsia="Times New Roman" w:hAnsi="Times New Roman"/>
          <w:sz w:val="23"/>
          <w:szCs w:val="23"/>
          <w:color w:val="auto"/>
          <w:vertAlign w:val="superscript"/>
        </w:rPr>
        <w:t>(2)</w:t>
      </w:r>
    </w:p>
    <w:p>
      <w:pPr>
        <w:spacing w:after="0" w:line="4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Net earnings available for distribution</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Withholding tax at standard rate of 10%</w:t>
      </w:r>
      <w:r>
        <w:rPr>
          <w:rFonts w:ascii="Times New Roman" w:cs="Times New Roman" w:eastAsia="Times New Roman" w:hAnsi="Times New Roman"/>
          <w:sz w:val="23"/>
          <w:szCs w:val="23"/>
          <w:color w:val="auto"/>
          <w:vertAlign w:val="superscript"/>
        </w:rPr>
        <w:t>(3)</w:t>
      </w:r>
    </w:p>
    <w:p>
      <w:pPr>
        <w:spacing w:after="0" w:line="4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Net distribution to Parent/Shareholders</w:t>
      </w:r>
    </w:p>
    <w:p>
      <w:pPr>
        <w:spacing w:after="0" w:line="3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​100%</w:t>
        <w:tab/>
        <w:t>​</w:t>
      </w:r>
    </w:p>
    <w:p>
      <w:pPr>
        <w:spacing w:after="0" w:line="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 (25)%</w:t>
        <w:tab/>
        <w:t>​</w:t>
      </w:r>
    </w:p>
    <w:p>
      <w:pPr>
        <w:spacing w:after="0" w:line="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 75%</w:t>
        <w:tab/>
        <w:t>​</w:t>
      </w:r>
    </w:p>
    <w:p>
      <w:pPr>
        <w:spacing w:after="0" w:line="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​(7.5)%</w:t>
        <w:tab/>
        <w:t>​</w:t>
      </w:r>
    </w:p>
    <w:p>
      <w:pPr>
        <w:spacing w:after="0" w:line="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​67.5%</w:t>
        <w:tab/>
        <w:t>​</w:t>
      </w:r>
    </w:p>
    <w:p>
      <w:pPr>
        <w:spacing w:after="0" w:line="625" w:lineRule="exact"/>
        <w:rPr>
          <w:sz w:val="20"/>
          <w:szCs w:val="20"/>
          <w:color w:val="auto"/>
        </w:rPr>
      </w:pPr>
    </w:p>
    <w:p>
      <w:pPr>
        <w:sectPr>
          <w:pgSz w:w="11900" w:h="16838" w:orient="portrait"/>
          <w:cols w:equalWidth="0" w:num="2">
            <w:col w:w="7680" w:space="720"/>
            <w:col w:w="1479"/>
          </w:cols>
          <w:pgMar w:left="580" w:top="97" w:right="1440" w:bottom="1440" w:gutter="0" w:footer="0" w:header="0"/>
          <w:type w:val="continuous"/>
        </w:sectPr>
      </w:pPr>
    </w:p>
    <w:p>
      <w:pPr>
        <w:ind w:left="1640" w:right="419" w:hanging="362"/>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not considering timing differences, is assumed to equal taxable income in China.</w:t>
      </w:r>
    </w:p>
    <w:p>
      <w:pPr>
        <w:spacing w:after="0" w:line="13" w:lineRule="exact"/>
        <w:rPr>
          <w:rFonts w:ascii="Times New Roman" w:cs="Times New Roman" w:eastAsia="Times New Roman" w:hAnsi="Times New Roman"/>
          <w:sz w:val="18"/>
          <w:szCs w:val="18"/>
          <w:color w:val="auto"/>
        </w:rPr>
      </w:pPr>
    </w:p>
    <w:p>
      <w:pPr>
        <w:jc w:val="both"/>
        <w:ind w:left="1640" w:right="399" w:hanging="362"/>
        <w:spacing w:after="0" w:line="266"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qualifies for a 15% preferential income tax rate in China. For purposes of this hypothetical example, the table above reflects a maximum tax scenario under which the full statutory rate would be effective.</w:t>
      </w:r>
    </w:p>
    <w:p>
      <w:pPr>
        <w:spacing w:after="0" w:line="27" w:lineRule="exact"/>
        <w:rPr>
          <w:rFonts w:ascii="Times New Roman" w:cs="Times New Roman" w:eastAsia="Times New Roman" w:hAnsi="Times New Roman"/>
          <w:sz w:val="18"/>
          <w:szCs w:val="18"/>
          <w:color w:val="auto"/>
        </w:rPr>
      </w:pPr>
    </w:p>
    <w:p>
      <w:pPr>
        <w:jc w:val="both"/>
        <w:ind w:left="1640" w:right="399" w:hanging="362"/>
        <w:spacing w:after="0" w:line="256"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322"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Under PRC law, NIO Inc. may provide funding to our PRC subsidiaries only through capital contributions or loans, and to the VIEs only through loans, subject to satisfaction of applicable government registration and approval requirements. NIO Inc. and its subsidiaries extended loans to the nominee shareholders of the VIEs for their investment in the VIEs, with outstanding principal amount of RMB50.1 million (US$7.0 million) as of each of December 31, 2022, 2023 and 2024 and June 30, 2025. In addition, NIO Inc. and its subsidiaries also extended loans to the VIEs for operations with outstanding principal amount of RMB32.8 million, RMB86.9 million, RMB34.7 million and RMB22.5 million (US$3.1 million) as of December 31, 2022, 2023 and 2024 and June 30, 2025, respectively.</w:t>
      </w:r>
    </w:p>
    <w:p>
      <w:pPr>
        <w:spacing w:after="0" w:line="112"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Pursuant to the exclusive business cooperation agreements between NIO Co., Ltd., or Shanghai NIO, a wholly-owned subsidiary of our company, and Beijing NIO, Shanghai NIO may adjust the payment time and payment method of the service fees, and Beijing NIO will accept any such adjustment. For the years ended December 31, 2022, 2023 and 2024 and the six months ended June 30, 2025, no service under the contractual arrangements was provided by Shanghai NIO and no service fee was paid by Beijing NIO to Shanghai NIO accordingly. We intend to determine the amount of service fee and payment method based on the working capital needs of Shanghai NIO and Beijing NIO, and settle such service fees accordingly in the future. Pursuant to a separate service agreement, for the years ended December 31, 2022, 2023 and 2024 and the six months ended June 30, 2025, Shanghai NIO paid Beijing NIO RMB0.7 million, RMB0.7 million, RMB0.7 million and nil for services provided by Beijing NIO.</w:t>
      </w:r>
    </w:p>
    <w:p>
      <w:pPr>
        <w:spacing w:after="0" w:line="118"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Pursuant to the exclusive business cooperation agreement dated November 30, 2022 between Anhui NIO Autonomous Driving Technology Co., Ltd., or Anhui NIO AD, a wholly-owned subsidiary of our company, and Anhui NIO AT, Anhui NIO AD may adjust the payment time and payment method of the service fees, and Anhui NIO AT will accept any such adjustment. For the years ended December 31, 2022, 2023 and 2024 and the six months ended June 30, 2025, no service under the contractual arrangements was provided by Anhui NIO AD and no service fee was paid by Anhui NIO AT to Anhui NIO AD accordingly. We intend to determine the amount of service fee and payment method based on the working capital needs of Anhui NIO AD and Anhui NIO AT, and settle such service fees accordingly in the future. Pursuant to a separate service agreement, for the years ended December 31, 2022, 2023 and 2024 and the six months ended June 30, 2025, Anhui NIO AD paid Anhui NIO AT RMB70.1 million, RMB58.4 million, RMB171.4 million and RMB39.0 million (US$5.4 million) for services provided by Anhui NIO AT.</w:t>
      </w:r>
    </w:p>
    <w:p>
      <w:pPr>
        <w:sectPr>
          <w:pgSz w:w="11900" w:h="16838" w:orient="portrait"/>
          <w:cols w:equalWidth="0" w:num="1">
            <w:col w:w="9879"/>
          </w:cols>
          <w:pgMar w:left="580" w:top="97" w:right="1440" w:bottom="1440" w:gutter="0" w:footer="0" w:header="0"/>
          <w:type w:val="continuous"/>
        </w:sectPr>
      </w:pPr>
    </w:p>
    <w:p>
      <w:pPr>
        <w:spacing w:after="0" w:line="39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81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516245" cy="818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Pursuant to the exclusive business cooperation agreement dated December 12, 2022 between NIO Holding Co., Ltd., or NIO China, a PRC subsidiary in which we hold 91.8% controlling equity interests, and Anhui NIO DT, NIO China may adjust the payment time and payment method of the service fees, and Anhui NIO DT will accept any such adjustment. For the years ended December 31, 2022, 2023 and 2024 and the six months ended June 30, 2025, no service under the contractual arrangements was provided by NIO China and no service fee was paid by Anhui NIO DT to NIO China accordingly. We intend to determine the amount of service fee and payment method based on the working capital needs of NIO China and Anhui NIO DT, and settle such service fees accordingly in the future.</w:t>
      </w:r>
    </w:p>
    <w:p>
      <w:pPr>
        <w:spacing w:after="0" w:line="112" w:lineRule="exact"/>
        <w:rPr>
          <w:sz w:val="20"/>
          <w:szCs w:val="20"/>
          <w:color w:val="auto"/>
        </w:rPr>
      </w:pPr>
    </w:p>
    <w:p>
      <w:pPr>
        <w:jc w:val="both"/>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NIO Inc. has not declared or paid any cash dividends, nor does it have any present plan to pay any cash dividends on our ordinary shares in the foreseeable future. We currently intend to retain most, if not all, of our available funds and any future earnings to operate and expand our business. See “Item 8. Financial Information — A. Consolidated Statements and Other Financial Information — Dividend Policy” in the 2024 Annual Report. For Cayman Islands, PRC and United States federal income tax considerations of an investment in our ADSs or Class A ordinary shares, see “Item 10. Additional Information — E. Taxation” in the 2024 Annual Report.</w:t>
      </w:r>
    </w:p>
    <w:p>
      <w:pPr>
        <w:spacing w:after="0" w:line="114"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As of December 31, 2022, 2023 and 2024 and June 30, 2025 and for the years ended December 31, 2022, 2023 and 2024 and the six months ended June 30, 2025, none of Beijing NIO, Anhui NIO AT and Anhui NIO DT had significant operations or any material assets or liabilities. As a result, the financial information related to the consolidated VIEs were insignificant to our consolidated financial statements.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Investing in our ADSs and Class A ordinary shares involves significant risks. You should carefully consider all of the information in this prospectus supplement, the accompanying prospectus and the documents incorporated by reference therein before making an investment in our ADSs and Class A ordinary shares. Below please find a summary of the principal risks we face, organized under headings. These risks are discussed more fully in “Item 3. Key Information — D. Risk Factors” in our 2024 Annual Report, which is incorporated in the accompanying prospectus by reference.</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48"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315" w:lineRule="exact"/>
        <w:rPr>
          <w:sz w:val="20"/>
          <w:szCs w:val="20"/>
          <w:color w:val="auto"/>
        </w:rPr>
      </w:pPr>
    </w:p>
    <w:p>
      <w:pPr>
        <w:ind w:left="1820" w:right="39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market is highly competitive, and we face significant challenges in competing in our industry;</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vehicles of sufficient quality and appeal to customers on schedule and on a large scale is still evolving;</w:t>
      </w:r>
    </w:p>
    <w:p>
      <w:pPr>
        <w:spacing w:after="0" w:line="53" w:lineRule="exact"/>
        <w:rPr>
          <w:rFonts w:ascii="Times New Roman" w:cs="Times New Roman" w:eastAsia="Times New Roman" w:hAnsi="Times New Roman"/>
          <w:sz w:val="18"/>
          <w:szCs w:val="18"/>
          <w:color w:val="auto"/>
        </w:rPr>
      </w:pPr>
    </w:p>
    <w:p>
      <w:pPr>
        <w:ind w:left="1820" w:right="399" w:hanging="182"/>
        <w:spacing w:after="0" w:line="261"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been profitable, and only generated positive cash flows from operations in certain periods;</w:t>
      </w:r>
    </w:p>
    <w:p>
      <w:pPr>
        <w:spacing w:after="0" w:line="314"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independent manufacturing. Any delays in the manufacturing and launching of our products, or ramping up of our production capacity, could have a material adverse effect on our business;</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international political tension, including changes in U.S. and European international trade policies and other cross-border investment regulations, particularly with regard to China, may adversely impact our business and operating results;</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reduction or elimination of government and economic incentives or governmental policies which are favorable for electric vehicles and domestically produced vehicles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many of whom are our single source suppliers for the components they supply;</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Battery Asset Company to provide Battery as a Service to our users. If Battery Asset Company fails to achieve smooth and stable operations, our Battery as a Service may be materially and adversely affected;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56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516245" cy="815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 and</w:t>
      </w:r>
    </w:p>
    <w:p>
      <w:pPr>
        <w:spacing w:after="0" w:line="11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and we may issue additional equity or debt securities that may have an adverse effect on our shareholders or may otherwise adversely affect our business.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62" w:lineRule="exact"/>
        <w:rPr>
          <w:sz w:val="20"/>
          <w:szCs w:val="20"/>
          <w:color w:val="auto"/>
        </w:rPr>
      </w:pPr>
    </w:p>
    <w:p>
      <w:pPr>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face risks and uncertainties related to doing business in China in general, including, but not limited to, the following:</w:t>
      </w:r>
    </w:p>
    <w:p>
      <w:pPr>
        <w:spacing w:after="0" w:line="54" w:lineRule="exact"/>
        <w:rPr>
          <w:sz w:val="20"/>
          <w:szCs w:val="20"/>
          <w:color w:val="auto"/>
        </w:rPr>
      </w:pPr>
    </w:p>
    <w:p>
      <w:pPr>
        <w:jc w:val="both"/>
        <w:ind w:left="1820" w:right="399" w:hanging="182"/>
        <w:spacing w:after="0" w:line="261"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filing with the CSRC is required for the Primary Offering, and the approval of or the filing with the CSRC or other PRC government authorities may be required in connection with our future offshore listings and capital raising activities. We cannot predict whether or for how long we will be able to obtain such approval or filing.</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Class A Ordinary Shares and the Primary Offering</w:t>
      </w:r>
    </w:p>
    <w:p>
      <w:pPr>
        <w:spacing w:after="0" w:line="162" w:lineRule="exact"/>
        <w:rPr>
          <w:sz w:val="20"/>
          <w:szCs w:val="20"/>
          <w:color w:val="auto"/>
        </w:rPr>
      </w:pPr>
    </w:p>
    <w:p>
      <w:pPr>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risks related to our ADSs, Class A ordinary shares, and the Primary Offering:</w:t>
      </w:r>
    </w:p>
    <w:p>
      <w:pPr>
        <w:spacing w:after="0" w:line="68" w:lineRule="exact"/>
        <w:rPr>
          <w:sz w:val="20"/>
          <w:szCs w:val="20"/>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of substantial amounts of our Class A ordinary shares and/or ADSs could adversely affect their market price;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the Primary Offering and may invest or spend the proceeds in ways with which you do not agree;</w:t>
      </w:r>
    </w:p>
    <w:p>
      <w:pPr>
        <w:spacing w:after="0" w:line="4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different practices as to certain matters as compared with many other companies listed on the Hong Kong Stock Exchange;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the listing venue of our securities, you may lose the shareholder protection mechanisms afforded under the regulatory regimes of the applicable securities exchange;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of our listed securities have been and are likely to continue to be, volatile, which could result in substantial losses to investors;</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our Class A ordinary shares and/or ADSs, the market price for our Class A ordinary shares and/or ADSs and trading volume could decline; and</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 and</w:t>
      </w:r>
    </w:p>
    <w:p>
      <w:pPr>
        <w:spacing w:after="0" w:line="71"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Deliveries in July and August 2025</w:t>
      </w:r>
    </w:p>
    <w:p>
      <w:pPr>
        <w:spacing w:after="0" w:line="146"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The Company delivered 21,017 vehicles and 31,305 vehicles in July and August 2025, respectively. As of August 31, 2025, the Company had delivered 166,472 vehicles in 2025, with cumulative deliveries reaching 838,036.</w:t>
      </w:r>
    </w:p>
    <w:p>
      <w:pPr>
        <w:spacing w:after="0" w:line="17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Commencement of ONVO L90 Deliveries</w:t>
      </w:r>
    </w:p>
    <w:p>
      <w:pPr>
        <w:spacing w:after="0" w:line="160" w:lineRule="exact"/>
        <w:rPr>
          <w:sz w:val="20"/>
          <w:szCs w:val="20"/>
          <w:color w:val="auto"/>
        </w:rPr>
      </w:pPr>
    </w:p>
    <w:p>
      <w:pPr>
        <w:jc w:val="both"/>
        <w:ind w:left="1280" w:right="399" w:firstLine="360"/>
        <w:spacing w:after="0" w:line="263" w:lineRule="auto"/>
        <w:rPr>
          <w:sz w:val="20"/>
          <w:szCs w:val="20"/>
          <w:color w:val="auto"/>
        </w:rPr>
      </w:pPr>
      <w:r>
        <w:rPr>
          <w:rFonts w:ascii="Times New Roman" w:cs="Times New Roman" w:eastAsia="Times New Roman" w:hAnsi="Times New Roman"/>
          <w:sz w:val="18"/>
          <w:szCs w:val="18"/>
          <w:color w:val="auto"/>
        </w:rPr>
        <w:t>Our smart large-space flagship SUV, the ONVO L90, was officially launched on July 31, 2025, with user deliveries starting shortly after. Built upon NIO’s leading technological innovations, the family-oriented ONVO L90 has been thoughtfully engineered with deep insights into the evolving needs of large three-row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SUV users, providing users with extraordinary spaciousness, premium comfort, all-scenario intelligence, and an exceptional driving and riding experience.</w:t>
      </w:r>
    </w:p>
    <w:p>
      <w:pPr>
        <w:spacing w:after="0" w:line="16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Debut of NIO All-New ES8</w:t>
      </w:r>
    </w:p>
    <w:p>
      <w:pPr>
        <w:spacing w:after="0" w:line="160" w:lineRule="exact"/>
        <w:rPr>
          <w:sz w:val="20"/>
          <w:szCs w:val="20"/>
          <w:color w:val="auto"/>
        </w:rPr>
      </w:pPr>
    </w:p>
    <w:p>
      <w:pPr>
        <w:jc w:val="both"/>
        <w:ind w:left="1280" w:right="399" w:firstLine="360"/>
        <w:spacing w:after="0" w:line="257" w:lineRule="auto"/>
        <w:rPr>
          <w:sz w:val="20"/>
          <w:szCs w:val="20"/>
          <w:color w:val="auto"/>
        </w:rPr>
      </w:pPr>
      <w:r>
        <w:rPr>
          <w:rFonts w:ascii="Times New Roman" w:cs="Times New Roman" w:eastAsia="Times New Roman" w:hAnsi="Times New Roman"/>
          <w:sz w:val="18"/>
          <w:szCs w:val="18"/>
          <w:color w:val="auto"/>
        </w:rPr>
        <w:t>On August 21, 2025, our flagship premium SUV, the NIO All-New ES8, was officially unveiled and made available for pre-orders, with user deliveries expected to begin in late September. The All-New ES8 embodies a comprehensive evolution in design, space, intelligence, and performance, addressing the diverse needs of business, family, and personal fulfillment across all scenarios. Setting a new benchmark in the premium electric SUV segment, the All-New ES8 is poised to lead large three-row SUVs into the battery electric era.</w:t>
      </w:r>
    </w:p>
    <w:p>
      <w:pPr>
        <w:spacing w:after="0" w:line="200" w:lineRule="exact"/>
        <w:rPr>
          <w:sz w:val="20"/>
          <w:szCs w:val="20"/>
          <w:color w:val="auto"/>
        </w:rPr>
      </w:pPr>
    </w:p>
    <w:p>
      <w:pPr>
        <w:spacing w:after="0" w:line="20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NIO Entered into an Agreement to Make Additional Investment in NIO China</w:t>
      </w:r>
    </w:p>
    <w:p>
      <w:pPr>
        <w:spacing w:after="0" w:line="160" w:lineRule="exact"/>
        <w:rPr>
          <w:sz w:val="20"/>
          <w:szCs w:val="20"/>
          <w:color w:val="auto"/>
        </w:rPr>
      </w:pPr>
    </w:p>
    <w:p>
      <w:pPr>
        <w:jc w:val="both"/>
        <w:ind w:left="1280" w:right="399" w:firstLine="360"/>
        <w:spacing w:after="0" w:line="257" w:lineRule="auto"/>
        <w:rPr>
          <w:sz w:val="20"/>
          <w:szCs w:val="20"/>
          <w:color w:val="auto"/>
        </w:rPr>
      </w:pPr>
      <w:r>
        <w:rPr>
          <w:rFonts w:ascii="Times New Roman" w:cs="Times New Roman" w:eastAsia="Times New Roman" w:hAnsi="Times New Roman"/>
          <w:sz w:val="18"/>
          <w:szCs w:val="18"/>
          <w:color w:val="auto"/>
        </w:rPr>
        <w:t>In July 2025, NIO entered into a definitive agreement to exercise its right to make an additional investment of RMB20 billion in NIO China, pursuant to the previously announced NIO China Series B investment agreement. Under this agreement, NIO will subscribe for newly issued shares of NIO China at the same price and on the same terms as those applicable to the Series B investment transaction announced in September 2024. Upon completion of this additional investment, NIO will hold a controlling equity interest of 91.8% in NIO China.</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148"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Building 19, No. 1355, Caobao Road, Minhang District, Shanghai, PRC. Our telephone number at this address is +86-21-6908-2018. Our registered office in the Cayman Islands is located at the offices of Maples Corporate Services Limited, PO Box 309, Ugland House, Grand Cayman, KY1-1104, Cayman Islands. Our agent for service of process in the United States is Cogency Global Inc., located at 122 East 42nd Street, 18th Floor, New York, NY 10168.</w:t>
      </w:r>
    </w:p>
    <w:p>
      <w:pPr>
        <w:spacing w:after="0" w:line="116"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All information that we file with or furnish to the SEC can be obtained over the internet on the SEC’s website at www.sec.gov. We also maintain a website at ir.nio.com, but information contained on, or linked from, our website is not incorporated by reference in this prospectus supplement or the accompanying prospectus. You should not regard any information on our website as a part of this prospectus supplement or the accompanying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summary consolidated statements of comprehensive loss data and summary consolidated cash flow data for the years ended December 31, 2022, 2023, and 2024 and summary consolidated balance sheets data as of December 31, 2023 and 2024 have been derived from our audited consolidated financial statements included in our 2024 Annual Report, which is incorporated by reference in this prospectus supplement and the accompanying prospectus. Our audited consolidated financial statements are prepared and presented in accordance with accounting principles generally accepted in the United States of America, or U.S. GAAP.</w:t>
      </w:r>
    </w:p>
    <w:p>
      <w:pPr>
        <w:spacing w:after="0" w:line="336"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following summary consolidated statements of comprehensive loss data and summary consolidated cash flow data for the six months ended June 30, 2024 and 2025 and summary consolidated balance sheets data as of June 30, 2025 have been derived from our unaudited condensed consolidated financial statements included in Exhibit 99.1 to our current report on Form 6-K furnished to the SEC on September 10, 2025, which is incorporated by reference in this prospectus supplement and the accompanying prospectus. The unaudited condensed consolidated financial statements have been prepared on the same basis as our audited consolidated financial statements and include all adjustments, consisting only of normal and recurring adjustments, that we consider necessary for a fair statement of our financial position and results of operations for the periods presented.</w:t>
      </w:r>
    </w:p>
    <w:p>
      <w:pPr>
        <w:spacing w:after="0" w:line="107"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summary consolidated financial information should be read in conjunction with, and is qualified in its entirety by reference to, our audited consolidated financial statements and the related notes and “Item 5. Operating and Financial Review and Prospects” in our 2024 Annual Report, the unaudited condensed consolidated financial statements and related notes included in Exhibit 99.1 to our current report on Form 6-K furnished to the SEC on September 10, 2025, and “Management’s Discussion and Analysis of Financial Condition and Results of Operations” included in Exhibit 99.2 to our current report on Form 6-K furnished to the SEC on September 10, 2025. Our historical results do not necessarily indicate results expected for any future periods, and the results of operations for the six months ended June 30, 2025 are not necessarily indicative of the results to be expected for the full fiscal year ending December 31, 2025.</w:t>
      </w:r>
    </w:p>
    <w:p>
      <w:pPr>
        <w:spacing w:after="0" w:line="121"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consolidated statements of comprehensive loss data for the periods indicated.</w:t>
      </w:r>
    </w:p>
    <w:p>
      <w:pPr>
        <w:spacing w:after="0" w:line="101"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9"/>
                <w:szCs w:val="19"/>
                <w:color w:val="auto"/>
              </w:rPr>
            </w:pPr>
          </w:p>
        </w:tc>
        <w:tc>
          <w:tcPr>
            <w:tcW w:w="1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20"/>
                <w:szCs w:val="20"/>
                <w:color w:val="auto"/>
              </w:rPr>
            </w:pPr>
          </w:p>
        </w:tc>
        <w:tc>
          <w:tcPr>
            <w:tcW w:w="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20"/>
                <w:szCs w:val="20"/>
                <w:color w:val="auto"/>
              </w:rPr>
            </w:pPr>
          </w:p>
        </w:tc>
        <w:tc>
          <w:tcPr>
            <w:tcW w:w="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23"/>
                <w:szCs w:val="23"/>
                <w:color w:val="auto"/>
              </w:rPr>
            </w:pPr>
          </w:p>
        </w:tc>
        <w:tc>
          <w:tcPr>
            <w:tcW w:w="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980" w:type="dxa"/>
            <w:vAlign w:val="bottom"/>
            <w:gridSpan w:val="3"/>
          </w:tcPr>
          <w:p>
            <w:pPr>
              <w:jc w:val="right"/>
              <w:spacing w:after="0" w:line="27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(unaudited) </w:t>
            </w:r>
            <w:r>
              <w:rPr>
                <w:rFonts w:ascii="Times New Roman" w:cs="Times New Roman" w:eastAsia="Times New Roman" w:hAnsi="Times New Roman"/>
                <w:sz w:val="28"/>
                <w:szCs w:val="28"/>
                <w:b w:val="1"/>
                <w:bCs w:val="1"/>
                <w:color w:val="auto"/>
                <w:vertAlign w:val="subscript"/>
              </w:rPr>
              <w:t>​</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80"/>
        <w:spacing w:after="0"/>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Vehicle sales</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23"/>
          <w:szCs w:val="23"/>
          <w:color w:val="auto"/>
          <w:vertAlign w:val="superscript"/>
        </w:rPr>
        <w:t>(3)</w:t>
      </w:r>
    </w:p>
    <w:p>
      <w:pPr>
        <w:spacing w:after="0" w:line="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(2)</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Vehicle sales</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Other sales</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cost of sales</w:t>
      </w:r>
    </w:p>
    <w:p>
      <w:pPr>
        <w:spacing w:after="0" w:line="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Gross profit</w:t>
      </w:r>
    </w:p>
    <w:p>
      <w:pPr>
        <w:spacing w:after="0" w:line="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(2)</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Research and</w:t>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development</w:t>
      </w:r>
      <w:r>
        <w:rPr>
          <w:rFonts w:ascii="Times New Roman" w:cs="Times New Roman" w:eastAsia="Times New Roman" w:hAnsi="Times New Roman"/>
          <w:sz w:val="23"/>
          <w:szCs w:val="23"/>
          <w:color w:val="auto"/>
          <w:vertAlign w:val="superscript"/>
        </w:rPr>
        <w:t>(2)</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Selling, general and</w:t>
      </w:r>
    </w:p>
    <w:p>
      <w:pPr>
        <w:spacing w:after="0" w:line="1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administrative</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ind w:left="40"/>
        <w:spacing w:after="0"/>
        <w:tabs>
          <w:tab w:leader="none" w:pos="980" w:val="left"/>
          <w:tab w:leader="none" w:pos="1980" w:val="left"/>
          <w:tab w:leader="none" w:pos="2980" w:val="left"/>
          <w:tab w:leader="none" w:pos="3980" w:val="left"/>
          <w:tab w:leader="none" w:pos="4980" w:val="left"/>
          <w:tab w:leader="none" w:pos="58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45,506,581​​​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49,257,270​​​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58,234,086​​​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24,060,941​​​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26,075,419​​​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3,639,988​</w:t>
      </w:r>
    </w:p>
    <w:p>
      <w:pPr>
        <w:ind w:left="40"/>
        <w:spacing w:after="0" w:line="185" w:lineRule="auto"/>
        <w:tabs>
          <w:tab w:leader="none" w:pos="5300" w:val="left"/>
        </w:tabs>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u w:val="single" w:color="auto"/>
          <w:color w:val="auto"/>
        </w:rPr>
        <w:t>​ 3,761,980</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u w:val="single" w:color="auto"/>
          <w:color w:val="auto"/>
        </w:rPr>
        <w:t>​ 6,360,663</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u w:val="single" w:color="auto"/>
          <w:color w:val="auto"/>
        </w:rPr>
        <w:t>​ 7,497,473</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u w:val="single" w:color="auto"/>
          <w:color w:val="auto"/>
        </w:rPr>
        <w:t>​ 3,293,663</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u w:val="single" w:color="auto"/>
          <w:color w:val="auto"/>
        </w:rPr>
        <w:t>​ 4,967,975</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693,503</w:t>
      </w:r>
      <w:r>
        <w:rPr>
          <w:rFonts w:ascii="Times New Roman" w:cs="Times New Roman" w:eastAsia="Times New Roman" w:hAnsi="Times New Roman"/>
          <w:sz w:val="33"/>
          <w:szCs w:val="33"/>
          <w:color w:val="auto"/>
          <w:vertAlign w:val="subscript"/>
        </w:rPr>
        <w:t>​</w:t>
      </w:r>
    </w:p>
    <w:p>
      <w:pPr>
        <w:ind w:left="40"/>
        <w:spacing w:after="0" w:line="184" w:lineRule="auto"/>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32"/>
          <w:szCs w:val="32"/>
          <w:b w:val="1"/>
          <w:bCs w:val="1"/>
          <w:u w:val="single" w:color="auto"/>
          <w:color w:val="auto"/>
          <w:vertAlign w:val="subscript"/>
        </w:rPr>
        <w:t>​</w:t>
      </w:r>
      <w:r>
        <w:rPr>
          <w:rFonts w:ascii="Times New Roman" w:cs="Times New Roman" w:eastAsia="Times New Roman" w:hAnsi="Times New Roman"/>
          <w:sz w:val="17"/>
          <w:szCs w:val="17"/>
          <w:b w:val="1"/>
          <w:bCs w:val="1"/>
          <w:u w:val="single" w:color="auto"/>
          <w:color w:val="auto"/>
        </w:rPr>
        <w:t>​49,268,561</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32"/>
          <w:szCs w:val="32"/>
          <w:b w:val="1"/>
          <w:bCs w:val="1"/>
          <w:u w:val="single" w:color="auto"/>
          <w:color w:val="auto"/>
          <w:vertAlign w:val="subscript"/>
        </w:rPr>
        <w:t>​</w:t>
      </w:r>
      <w:r>
        <w:rPr>
          <w:rFonts w:ascii="Times New Roman" w:cs="Times New Roman" w:eastAsia="Times New Roman" w:hAnsi="Times New Roman"/>
          <w:sz w:val="17"/>
          <w:szCs w:val="17"/>
          <w:b w:val="1"/>
          <w:bCs w:val="1"/>
          <w:u w:val="single" w:color="auto"/>
          <w:color w:val="auto"/>
        </w:rPr>
        <w:t>​55,617,933</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32"/>
          <w:szCs w:val="32"/>
          <w:b w:val="1"/>
          <w:bCs w:val="1"/>
          <w:u w:val="single" w:color="auto"/>
          <w:color w:val="auto"/>
          <w:vertAlign w:val="subscript"/>
        </w:rPr>
        <w:t>​</w:t>
      </w:r>
      <w:r>
        <w:rPr>
          <w:rFonts w:ascii="Times New Roman" w:cs="Times New Roman" w:eastAsia="Times New Roman" w:hAnsi="Times New Roman"/>
          <w:sz w:val="17"/>
          <w:szCs w:val="17"/>
          <w:b w:val="1"/>
          <w:bCs w:val="1"/>
          <w:u w:val="single" w:color="auto"/>
          <w:color w:val="auto"/>
        </w:rPr>
        <w:t>​65,731,559</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32"/>
          <w:szCs w:val="32"/>
          <w:b w:val="1"/>
          <w:bCs w:val="1"/>
          <w:u w:val="single" w:color="auto"/>
          <w:color w:val="auto"/>
          <w:vertAlign w:val="subscript"/>
        </w:rPr>
        <w:t>​</w:t>
      </w:r>
      <w:r>
        <w:rPr>
          <w:rFonts w:ascii="Times New Roman" w:cs="Times New Roman" w:eastAsia="Times New Roman" w:hAnsi="Times New Roman"/>
          <w:sz w:val="17"/>
          <w:szCs w:val="17"/>
          <w:b w:val="1"/>
          <w:bCs w:val="1"/>
          <w:u w:val="single" w:color="auto"/>
          <w:color w:val="auto"/>
        </w:rPr>
        <w:t>​27,354,604</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32"/>
          <w:szCs w:val="32"/>
          <w:b w:val="1"/>
          <w:bCs w:val="1"/>
          <w:u w:val="single" w:color="auto"/>
          <w:color w:val="auto"/>
          <w:vertAlign w:val="subscript"/>
        </w:rPr>
        <w:t>​</w:t>
      </w:r>
      <w:r>
        <w:rPr>
          <w:rFonts w:ascii="Times New Roman" w:cs="Times New Roman" w:eastAsia="Times New Roman" w:hAnsi="Times New Roman"/>
          <w:sz w:val="17"/>
          <w:szCs w:val="17"/>
          <w:b w:val="1"/>
          <w:bCs w:val="1"/>
          <w:u w:val="single" w:color="auto"/>
          <w:color w:val="auto"/>
        </w:rPr>
        <w:t>​31,043,394</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32"/>
          <w:szCs w:val="32"/>
          <w:b w:val="1"/>
          <w:bCs w:val="1"/>
          <w:u w:val="single" w:color="auto"/>
          <w:color w:val="auto"/>
          <w:vertAlign w:val="subscript"/>
        </w:rPr>
        <w:t>​</w:t>
      </w:r>
      <w:r>
        <w:rPr>
          <w:rFonts w:ascii="Times New Roman" w:cs="Times New Roman" w:eastAsia="Times New Roman" w:hAnsi="Times New Roman"/>
          <w:sz w:val="17"/>
          <w:szCs w:val="17"/>
          <w:b w:val="1"/>
          <w:bCs w:val="1"/>
          <w:u w:val="single" w:color="auto"/>
          <w:color w:val="auto"/>
        </w:rPr>
        <w:t>​4,333,491</w:t>
      </w:r>
      <w:r>
        <w:rPr>
          <w:rFonts w:ascii="Times New Roman" w:cs="Times New Roman" w:eastAsia="Times New Roman" w:hAnsi="Times New Roman"/>
          <w:sz w:val="32"/>
          <w:szCs w:val="32"/>
          <w:b w:val="1"/>
          <w:bCs w:val="1"/>
          <w:color w:val="auto"/>
          <w:vertAlign w:val="subscript"/>
        </w:rPr>
        <w:t>​</w:t>
      </w:r>
    </w:p>
    <w:p>
      <w:pPr>
        <w:spacing w:after="0" w:line="37" w:lineRule="exact"/>
        <w:rPr>
          <w:sz w:val="20"/>
          <w:szCs w:val="20"/>
          <w:color w:val="auto"/>
        </w:rPr>
      </w:pPr>
    </w:p>
    <w:p>
      <w:pPr>
        <w:ind w:left="40"/>
        <w:spacing w:after="0"/>
        <w:tabs>
          <w:tab w:leader="none" w:pos="980" w:val="left"/>
          <w:tab w:leader="none" w:pos="1980" w:val="left"/>
          <w:tab w:leader="none" w:pos="2980" w:val="left"/>
          <w:tab w:leader="none" w:pos="3980" w:val="left"/>
          <w:tab w:leader="none" w:pos="4980" w:val="left"/>
          <w:tab w:leader="none" w:pos="58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(39,271,801​​​)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(44,587,572​​​)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(51,094,616​​​)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(21,386,680​​​)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(23,398,863​​​)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(3,266,355​)</w:t>
      </w:r>
    </w:p>
    <w:tbl>
      <w:tblPr>
        <w:tblLayout w:type="fixed"/>
        <w:tblInd w:w="0" w:type="dxa"/>
        <w:tblCellMar>
          <w:top w:w="0" w:type="dxa"/>
          <w:left w:w="0" w:type="dxa"/>
          <w:bottom w:w="0" w:type="dxa"/>
          <w:right w:w="0" w:type="dxa"/>
        </w:tblCellMar>
      </w:tblPr>
      <w:tr>
        <w:trPr>
          <w:trHeight w:val="198"/>
        </w:trPr>
        <w:tc>
          <w:tcPr>
            <w:tcW w:w="120" w:type="dxa"/>
            <w:vAlign w:val="bottom"/>
          </w:tcPr>
          <w:p>
            <w:pPr>
              <w:spacing w:after="0"/>
              <w:rPr>
                <w:sz w:val="17"/>
                <w:szCs w:val="17"/>
                <w:color w:val="auto"/>
              </w:rPr>
            </w:pPr>
          </w:p>
        </w:tc>
        <w:tc>
          <w:tcPr>
            <w:tcW w:w="5100" w:type="dxa"/>
            <w:vAlign w:val="bottom"/>
            <w:gridSpan w:val="11"/>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 (4,852,767) ​ (7,978,565) ​ (8,144,181) ​ (3,791,478) ​ (4,827,454) ​</w:t>
            </w:r>
          </w:p>
        </w:tc>
        <w:tc>
          <w:tcPr>
            <w:tcW w:w="7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(673,887)</w:t>
            </w:r>
          </w:p>
        </w:tc>
      </w:tr>
      <w:tr>
        <w:trPr>
          <w:trHeight w:val="68"/>
        </w:trPr>
        <w:tc>
          <w:tcPr>
            <w:tcW w:w="10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r>
      <w:tr>
        <w:trPr>
          <w:trHeight w:val="20"/>
        </w:trPr>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5840" w:type="dxa"/>
            <w:vAlign w:val="bottom"/>
            <w:gridSpan w:val="15"/>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​(44,124,568) ​(52,566,137) ​(59,238,797) ​(25,178,158) ​(28,226,317) ​(3,940,242)</w:t>
            </w:r>
          </w:p>
        </w:tc>
      </w:tr>
      <w:tr>
        <w:trPr>
          <w:trHeight w:val="67"/>
        </w:trPr>
        <w:tc>
          <w:tcPr>
            <w:tcW w:w="10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80" w:type="dxa"/>
            <w:vAlign w:val="bottom"/>
          </w:tcPr>
          <w:p>
            <w:pPr>
              <w:spacing w:after="0"/>
              <w:rPr>
                <w:sz w:val="5"/>
                <w:szCs w:val="5"/>
                <w:color w:val="auto"/>
              </w:rPr>
            </w:pPr>
          </w:p>
        </w:tc>
        <w:tc>
          <w:tcPr>
            <w:tcW w:w="2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80" w:type="dxa"/>
            <w:vAlign w:val="bottom"/>
          </w:tcPr>
          <w:p>
            <w:pPr>
              <w:spacing w:after="0"/>
              <w:rPr>
                <w:sz w:val="5"/>
                <w:szCs w:val="5"/>
                <w:color w:val="auto"/>
              </w:rPr>
            </w:pPr>
          </w:p>
        </w:tc>
        <w:tc>
          <w:tcPr>
            <w:tcW w:w="10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80" w:type="dxa"/>
            <w:vAlign w:val="bottom"/>
          </w:tcPr>
          <w:p>
            <w:pPr>
              <w:spacing w:after="0"/>
              <w:rPr>
                <w:sz w:val="5"/>
                <w:szCs w:val="5"/>
                <w:color w:val="auto"/>
              </w:rPr>
            </w:pPr>
          </w:p>
        </w:tc>
        <w:tc>
          <w:tcPr>
            <w:tcW w:w="9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r>
      <w:tr>
        <w:trPr>
          <w:trHeight w:val="20"/>
        </w:trPr>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220" w:type="dxa"/>
            <w:vAlign w:val="bottom"/>
            <w:gridSpan w:val="4"/>
          </w:tcPr>
          <w:p>
            <w:pPr>
              <w:jc w:val="right"/>
              <w:ind w:righ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5,143,993</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1000" w:type="dxa"/>
            <w:vAlign w:val="bottom"/>
            <w:gridSpan w:val="3"/>
          </w:tcPr>
          <w:p>
            <w:pPr>
              <w:jc w:val="right"/>
              <w:ind w:right="40"/>
              <w:spacing w:after="0" w:line="264" w:lineRule="exact"/>
              <w:rPr>
                <w:sz w:val="20"/>
                <w:szCs w:val="20"/>
                <w:color w:val="auto"/>
              </w:rPr>
            </w:pPr>
            <w:r>
              <w:rPr>
                <w:rFonts w:ascii="Times New Roman" w:cs="Times New Roman" w:eastAsia="Times New Roman" w:hAnsi="Times New Roman"/>
                <w:sz w:val="16"/>
                <w:szCs w:val="16"/>
                <w:color w:val="auto"/>
              </w:rPr>
              <w:t>3,051,796</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2000" w:type="dxa"/>
            <w:vAlign w:val="bottom"/>
            <w:gridSpan w:val="5"/>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6,492,762</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2,176,446</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17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2,817,077</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393,249</w:t>
            </w:r>
            <w:r>
              <w:rPr>
                <w:rFonts w:ascii="Times New Roman" w:cs="Times New Roman" w:eastAsia="Times New Roman" w:hAnsi="Times New Roman"/>
                <w:sz w:val="30"/>
                <w:szCs w:val="30"/>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(10,836,261​​​)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(13,431,399​​​)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(13,037,304​​​)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(6,082,738​​​)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(6,188,435​​​)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(863,872​)</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(10,537,119​​​)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(12,884,556​​​)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(15,741,057​​​)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(6,754,256​​​)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(8,365,684​​​)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(1,167,804​)</w:t>
      </w:r>
    </w:p>
    <w:p>
      <w:pPr>
        <w:spacing w:after="0" w:line="262" w:lineRule="exact"/>
        <w:rPr>
          <w:sz w:val="20"/>
          <w:szCs w:val="20"/>
          <w:color w:val="auto"/>
        </w:rPr>
      </w:pPr>
    </w:p>
    <w:p>
      <w:pPr>
        <w:sectPr>
          <w:pgSz w:w="11900" w:h="16838" w:orient="portrait"/>
          <w:cols w:equalWidth="0" w:num="2">
            <w:col w:w="2960" w:space="620"/>
            <w:col w:w="6299"/>
          </w:cols>
          <w:pgMar w:left="580" w:top="97" w:right="1440" w:bottom="1440" w:gutter="0" w:footer="0" w:header="0"/>
          <w:type w:val="continuous"/>
        </w:sect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9"/>
                <w:szCs w:val="19"/>
                <w:color w:val="auto"/>
              </w:rPr>
            </w:pPr>
          </w:p>
        </w:tc>
        <w:tc>
          <w:tcPr>
            <w:tcW w:w="160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64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20"/>
                <w:szCs w:val="20"/>
                <w:color w:val="auto"/>
              </w:rPr>
            </w:pPr>
          </w:p>
        </w:tc>
        <w:tc>
          <w:tcPr>
            <w:tcW w:w="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20"/>
                <w:szCs w:val="20"/>
                <w:color w:val="auto"/>
              </w:rPr>
            </w:pPr>
          </w:p>
        </w:tc>
        <w:tc>
          <w:tcPr>
            <w:tcW w:w="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0"/>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7"/>
                <w:szCs w:val="17"/>
                <w:color w:val="auto"/>
              </w:rPr>
            </w:pPr>
          </w:p>
        </w:tc>
        <w:tc>
          <w:tcPr>
            <w:tcW w:w="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(unaudited) ​</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Other operating income, net</w:t>
      </w:r>
    </w:p>
    <w:p>
      <w:pPr>
        <w:spacing w:after="0" w:line="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Interest and investment</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income</w:t>
      </w:r>
    </w:p>
    <w:p>
      <w:pPr>
        <w:spacing w:after="0" w:line="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36" w:lineRule="exact"/>
        <w:rPr>
          <w:sz w:val="20"/>
          <w:szCs w:val="20"/>
          <w:color w:val="auto"/>
        </w:rPr>
      </w:pPr>
    </w:p>
    <w:p>
      <w:pPr>
        <w:ind w:left="1460" w:hanging="179"/>
        <w:spacing w:after="0" w:line="273" w:lineRule="auto"/>
        <w:rPr>
          <w:sz w:val="20"/>
          <w:szCs w:val="20"/>
          <w:color w:val="auto"/>
        </w:rPr>
      </w:pPr>
      <w:r>
        <w:rPr>
          <w:rFonts w:ascii="Times New Roman" w:cs="Times New Roman" w:eastAsia="Times New Roman" w:hAnsi="Times New Roman"/>
          <w:sz w:val="18"/>
          <w:szCs w:val="18"/>
          <w:color w:val="auto"/>
        </w:rPr>
        <w:t>Gain/(loss) on extinguishment of debt</w:t>
      </w:r>
    </w:p>
    <w:p>
      <w:pPr>
        <w:spacing w:after="0" w:line="2" w:lineRule="exact"/>
        <w:rPr>
          <w:sz w:val="20"/>
          <w:szCs w:val="20"/>
          <w:color w:val="auto"/>
        </w:rPr>
      </w:pPr>
    </w:p>
    <w:p>
      <w:pPr>
        <w:ind w:left="1460" w:right="380" w:hanging="179"/>
        <w:spacing w:after="0" w:line="281" w:lineRule="auto"/>
        <w:rPr>
          <w:sz w:val="20"/>
          <w:szCs w:val="20"/>
          <w:color w:val="auto"/>
        </w:rPr>
      </w:pPr>
      <w:r>
        <w:rPr>
          <w:rFonts w:ascii="Times New Roman" w:cs="Times New Roman" w:eastAsia="Times New Roman" w:hAnsi="Times New Roman"/>
          <w:sz w:val="18"/>
          <w:szCs w:val="18"/>
          <w:color w:val="auto"/>
        </w:rPr>
        <w:t>Share of income/(loss) of equity investees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Other (loss)/income, net</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Loss before income tax</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expense</w:t>
      </w:r>
    </w:p>
    <w:p>
      <w:pPr>
        <w:spacing w:after="0" w:line="20" w:lineRule="exact"/>
        <w:rPr>
          <w:sz w:val="20"/>
          <w:szCs w:val="20"/>
          <w:color w:val="auto"/>
        </w:rPr>
      </w:pPr>
      <w:r>
        <w:rPr>
          <w:sz w:val="20"/>
          <w:szCs w:val="20"/>
          <w:color w:val="auto"/>
        </w:rPr>
        <w:br w:type="column"/>
      </w:r>
    </w:p>
    <w:p>
      <w:pPr>
        <w:ind w:left="20"/>
        <w:spacing w:after="0" w:line="180" w:lineRule="auto"/>
        <w:tabs>
          <w:tab w:leader="none" w:pos="360" w:val="left"/>
          <w:tab w:leader="none" w:pos="1360" w:val="left"/>
          <w:tab w:leader="none" w:pos="2360" w:val="left"/>
          <w:tab w:leader="none" w:pos="3380" w:val="left"/>
          <w:tab w:leader="none" w:pos="4300" w:val="left"/>
          <w:tab w:leader="none" w:pos="5300" w:val="left"/>
        </w:tabs>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34"/>
          <w:szCs w:val="34"/>
          <w:u w:val="single" w:color="auto"/>
          <w:color w:val="auto"/>
          <w:vertAlign w:val="subscript"/>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588,728</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34"/>
          <w:szCs w:val="34"/>
          <w:u w:val="single" w:color="auto"/>
          <w:color w:val="auto"/>
          <w:vertAlign w:val="subscript"/>
        </w:rPr>
        <w:t>​</w:t>
      </w:r>
      <w:r>
        <w:rPr>
          <w:rFonts w:ascii="Times New Roman" w:cs="Times New Roman" w:eastAsia="Times New Roman" w:hAnsi="Times New Roman"/>
          <w:sz w:val="18"/>
          <w:szCs w:val="18"/>
          <w:u w:val="single" w:color="auto"/>
          <w:color w:val="auto"/>
        </w:rPr>
        <w:t>​</w:t>
        <w:tab/>
        <w:t>608,975</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34"/>
          <w:szCs w:val="34"/>
          <w:u w:val="single" w:color="auto"/>
          <w:color w:val="auto"/>
          <w:vertAlign w:val="subscript"/>
        </w:rPr>
        <w:t>​</w:t>
      </w:r>
      <w:r>
        <w:rPr>
          <w:rFonts w:ascii="Times New Roman" w:cs="Times New Roman" w:eastAsia="Times New Roman" w:hAnsi="Times New Roman"/>
          <w:sz w:val="18"/>
          <w:szCs w:val="18"/>
          <w:u w:val="single" w:color="auto"/>
          <w:color w:val="auto"/>
        </w:rPr>
        <w:t>​</w:t>
        <w:tab/>
        <w:t>411,526</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57,177</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34"/>
          <w:szCs w:val="34"/>
          <w:u w:val="single" w:color="auto"/>
          <w:color w:val="auto"/>
          <w:vertAlign w:val="subscript"/>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410,056</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34"/>
          <w:szCs w:val="34"/>
          <w:u w:val="single" w:color="auto"/>
          <w:color w:val="auto"/>
          <w:vertAlign w:val="subscript"/>
        </w:rPr>
        <w:t>​</w:t>
      </w:r>
      <w:r>
        <w:rPr>
          <w:rFonts w:ascii="Times New Roman" w:cs="Times New Roman" w:eastAsia="Times New Roman" w:hAnsi="Times New Roman"/>
          <w:sz w:val="18"/>
          <w:szCs w:val="18"/>
          <w:u w:val="single" w:color="auto"/>
          <w:color w:val="auto"/>
        </w:rPr>
        <w:t>​</w:t>
        <w:tab/>
        <w:t>57,242</w:t>
      </w:r>
      <w:r>
        <w:rPr>
          <w:rFonts w:ascii="Times New Roman" w:cs="Times New Roman" w:eastAsia="Times New Roman" w:hAnsi="Times New Roman"/>
          <w:sz w:val="34"/>
          <w:szCs w:val="34"/>
          <w:color w:val="auto"/>
          <w:vertAlign w:val="subscript"/>
        </w:rPr>
        <w:t>​</w:t>
      </w:r>
    </w:p>
    <w:p>
      <w:pPr>
        <w:ind w:left="80"/>
        <w:spacing w:after="0" w:line="181" w:lineRule="auto"/>
        <w:rPr>
          <w:sz w:val="20"/>
          <w:szCs w:val="20"/>
          <w:color w:val="auto"/>
        </w:rPr>
      </w:pPr>
      <w:r>
        <w:rPr>
          <w:rFonts w:ascii="Times New Roman" w:cs="Times New Roman" w:eastAsia="Times New Roman" w:hAnsi="Times New Roman"/>
          <w:sz w:val="8"/>
          <w:szCs w:val="8"/>
          <w:b w:val="1"/>
          <w:bCs w:val="1"/>
          <w:color w:val="auto"/>
        </w:rPr>
        <w:t>​(20,784,652) ​(25,706,980) ​(28,366,835)​(12,779,817) ​(14,144,063) ​(1,974,434)</w:t>
      </w:r>
    </w:p>
    <w:p>
      <w:pPr>
        <w:ind w:left="20"/>
        <w:spacing w:after="0"/>
        <w:tabs>
          <w:tab w:leader="none" w:pos="940" w:val="left"/>
          <w:tab w:leader="none" w:pos="1940" w:val="left"/>
          <w:tab w:leader="none" w:pos="2940" w:val="left"/>
          <w:tab w:leader="none" w:pos="3880" w:val="left"/>
          <w:tab w:leader="none" w:pos="4880" w:val="left"/>
          <w:tab w:leader="none" w:pos="57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tbl>
      <w:tblPr>
        <w:tblLayout w:type="fixed"/>
        <w:tblInd w:w="0" w:type="dxa"/>
        <w:tblCellMar>
          <w:top w:w="0" w:type="dxa"/>
          <w:left w:w="0" w:type="dxa"/>
          <w:bottom w:w="0" w:type="dxa"/>
          <w:right w:w="0" w:type="dxa"/>
        </w:tblCellMar>
      </w:tblPr>
      <w:tr>
        <w:trPr>
          <w:trHeight w:val="196"/>
        </w:trPr>
        <w:tc>
          <w:tcPr>
            <w:tcW w:w="80" w:type="dxa"/>
            <w:vAlign w:val="bottom"/>
          </w:tcPr>
          <w:p>
            <w:pPr>
              <w:spacing w:after="0"/>
              <w:rPr>
                <w:sz w:val="17"/>
                <w:szCs w:val="17"/>
                <w:color w:val="auto"/>
              </w:rPr>
            </w:pPr>
          </w:p>
        </w:tc>
        <w:tc>
          <w:tcPr>
            <w:tcW w:w="5780" w:type="dxa"/>
            <w:vAlign w:val="bottom"/>
            <w:gridSpan w:val="18"/>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​(15,640,659) ​(22,655,184) ​(21,874,073)​(10,603,371) ​(11,326,986) ​(1,581,185)</w:t>
            </w:r>
          </w:p>
        </w:tc>
        <w:tc>
          <w:tcPr>
            <w:tcW w:w="0" w:type="dxa"/>
            <w:vAlign w:val="bottom"/>
          </w:tcPr>
          <w:p>
            <w:pPr>
              <w:spacing w:after="0"/>
              <w:rPr>
                <w:sz w:val="1"/>
                <w:szCs w:val="1"/>
                <w:color w:val="auto"/>
              </w:rPr>
            </w:pPr>
          </w:p>
        </w:tc>
      </w:tr>
      <w:tr>
        <w:trPr>
          <w:trHeight w:val="68"/>
        </w:trPr>
        <w:tc>
          <w:tcPr>
            <w:tcW w:w="220" w:type="dxa"/>
            <w:vAlign w:val="bottom"/>
            <w:gridSpan w:val="2"/>
          </w:tcPr>
          <w:p>
            <w:pPr>
              <w:jc w:val="right"/>
              <w:ind w:right="1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tcPr>
          <w:p>
            <w:pPr>
              <w:spacing w:after="0"/>
              <w:rPr>
                <w:sz w:val="5"/>
                <w:szCs w:val="5"/>
                <w:color w:val="auto"/>
              </w:rPr>
            </w:pPr>
          </w:p>
        </w:tc>
        <w:tc>
          <w:tcPr>
            <w:tcW w:w="20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2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1,358,719​​​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2,210,018​​​</w:t>
            </w:r>
            <w:r>
              <w:rPr>
                <w:rFonts w:ascii="Times New Roman" w:cs="Times New Roman" w:eastAsia="Times New Roman" w:hAnsi="Times New Roman"/>
                <w:sz w:val="18"/>
                <w:szCs w:val="18"/>
                <w:b w:val="1"/>
                <w:bCs w:val="1"/>
                <w:color w:val="auto"/>
              </w:rPr>
              <w:t>​</w:t>
            </w:r>
          </w:p>
        </w:tc>
        <w:tc>
          <w:tcPr>
            <w:tcW w:w="1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853,728​​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713,524​​​</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280,745​​​</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39,190​</w:t>
            </w:r>
          </w:p>
        </w:tc>
        <w:tc>
          <w:tcPr>
            <w:tcW w:w="0" w:type="dxa"/>
            <w:vAlign w:val="bottom"/>
          </w:tcPr>
          <w:p>
            <w:pPr>
              <w:spacing w:after="0"/>
              <w:rPr>
                <w:sz w:val="1"/>
                <w:szCs w:val="1"/>
                <w:color w:val="auto"/>
              </w:rPr>
            </w:pPr>
          </w:p>
        </w:tc>
      </w:tr>
      <w:tr>
        <w:trPr>
          <w:trHeight w:val="203"/>
        </w:trPr>
        <w:tc>
          <w:tcPr>
            <w:tcW w:w="2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(333,216)</w:t>
            </w:r>
          </w:p>
        </w:tc>
        <w:tc>
          <w:tcPr>
            <w:tcW w:w="140" w:type="dxa"/>
            <w:vAlign w:val="bottom"/>
          </w:tcPr>
          <w:p>
            <w:pPr>
              <w:spacing w:after="0"/>
              <w:rPr>
                <w:sz w:val="17"/>
                <w:szCs w:val="17"/>
                <w:color w:val="auto"/>
              </w:rPr>
            </w:pPr>
          </w:p>
        </w:tc>
        <w:tc>
          <w:tcPr>
            <w:tcW w:w="860" w:type="dxa"/>
            <w:vAlign w:val="bottom"/>
            <w:gridSpan w:val="2"/>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(403,530)</w:t>
            </w:r>
          </w:p>
        </w:tc>
        <w:tc>
          <w:tcPr>
            <w:tcW w:w="1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(798,363)</w:t>
            </w:r>
          </w:p>
        </w:tc>
        <w:tc>
          <w:tcPr>
            <w:tcW w:w="140" w:type="dxa"/>
            <w:vAlign w:val="bottom"/>
          </w:tcPr>
          <w:p>
            <w:pPr>
              <w:spacing w:after="0"/>
              <w:rPr>
                <w:sz w:val="17"/>
                <w:szCs w:val="17"/>
                <w:color w:val="auto"/>
              </w:rPr>
            </w:pPr>
          </w:p>
        </w:tc>
        <w:tc>
          <w:tcPr>
            <w:tcW w:w="860" w:type="dxa"/>
            <w:vAlign w:val="bottom"/>
            <w:gridSpan w:val="2"/>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(347,016)</w:t>
            </w:r>
          </w:p>
        </w:tc>
        <w:tc>
          <w:tcPr>
            <w:tcW w:w="140" w:type="dxa"/>
            <w:vAlign w:val="bottom"/>
          </w:tcPr>
          <w:p>
            <w:pPr>
              <w:spacing w:after="0"/>
              <w:rPr>
                <w:sz w:val="17"/>
                <w:szCs w:val="17"/>
                <w:color w:val="auto"/>
              </w:rPr>
            </w:pPr>
          </w:p>
        </w:tc>
        <w:tc>
          <w:tcPr>
            <w:tcW w:w="860" w:type="dxa"/>
            <w:vAlign w:val="bottom"/>
            <w:gridSpan w:val="2"/>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(457,610)</w:t>
            </w:r>
          </w:p>
        </w:tc>
        <w:tc>
          <w:tcPr>
            <w:tcW w:w="1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(63,880)</w:t>
            </w:r>
          </w:p>
        </w:tc>
        <w:tc>
          <w:tcPr>
            <w:tcW w:w="0" w:type="dxa"/>
            <w:vAlign w:val="bottom"/>
          </w:tcPr>
          <w:p>
            <w:pPr>
              <w:spacing w:after="0"/>
              <w:rPr>
                <w:sz w:val="1"/>
                <w:szCs w:val="1"/>
                <w:color w:val="auto"/>
              </w:rPr>
            </w:pPr>
          </w:p>
        </w:tc>
      </w:tr>
      <w:tr>
        <w:trPr>
          <w:trHeight w:val="235"/>
        </w:trPr>
        <w:tc>
          <w:tcPr>
            <w:tcW w:w="22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1"/>
        </w:trPr>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138,332​​​</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170,193​​​</w:t>
            </w:r>
            <w:r>
              <w:rPr>
                <w:rFonts w:ascii="Times New Roman" w:cs="Times New Roman" w:eastAsia="Times New Roman" w:hAnsi="Times New Roman"/>
                <w:sz w:val="18"/>
                <w:szCs w:val="18"/>
                <w:b w:val="1"/>
                <w:bCs w:val="1"/>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(4,480​​)</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(11,326​​​)</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(14,660​​​)</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473"/>
        </w:trPr>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377,775​​​</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64,394​​​</w:t>
            </w:r>
            <w:r>
              <w:rPr>
                <w:rFonts w:ascii="Times New Roman" w:cs="Times New Roman" w:eastAsia="Times New Roman" w:hAnsi="Times New Roman"/>
                <w:sz w:val="18"/>
                <w:szCs w:val="18"/>
                <w:b w:val="1"/>
                <w:bCs w:val="1"/>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(503,193​​)</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(93,089​​​)</w:t>
            </w:r>
            <w:r>
              <w:rPr>
                <w:rFonts w:ascii="Times New Roman" w:cs="Times New Roman" w:eastAsia="Times New Roman" w:hAnsi="Times New Roman"/>
                <w:sz w:val="18"/>
                <w:szCs w:val="18"/>
                <w:b w:val="1"/>
                <w:bCs w:val="1"/>
                <w:color w:val="auto"/>
              </w:rPr>
              <w:t>​</w:t>
            </w: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(380,859​​​)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(53,166​)</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(282,952) ​</w:t>
            </w:r>
          </w:p>
        </w:tc>
        <w:tc>
          <w:tcPr>
            <w:tcW w:w="1000" w:type="dxa"/>
            <w:vAlign w:val="bottom"/>
            <w:gridSpan w:val="3"/>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155,191  ​</w:t>
            </w:r>
          </w:p>
        </w:tc>
        <w:tc>
          <w:tcPr>
            <w:tcW w:w="940" w:type="dxa"/>
            <w:vAlign w:val="bottom"/>
            <w:gridSpan w:val="3"/>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(98,143)​</w:t>
            </w:r>
          </w:p>
        </w:tc>
        <w:tc>
          <w:tcPr>
            <w:tcW w:w="1000" w:type="dxa"/>
            <w:vAlign w:val="bottom"/>
            <w:gridSpan w:val="3"/>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119,727  ​</w:t>
            </w:r>
          </w:p>
        </w:tc>
        <w:tc>
          <w:tcPr>
            <w:tcW w:w="1000" w:type="dxa"/>
            <w:vAlign w:val="bottom"/>
            <w:gridSpan w:val="3"/>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202,106  ​</w:t>
            </w:r>
          </w:p>
        </w:tc>
        <w:tc>
          <w:tcPr>
            <w:tcW w:w="700" w:type="dxa"/>
            <w:vAlign w:val="bottom"/>
            <w:gridSpan w:val="2"/>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28,213</w:t>
            </w:r>
          </w:p>
        </w:tc>
        <w:tc>
          <w:tcPr>
            <w:tcW w:w="0" w:type="dxa"/>
            <w:vAlign w:val="bottom"/>
          </w:tcPr>
          <w:p>
            <w:pPr>
              <w:spacing w:after="0"/>
              <w:rPr>
                <w:sz w:val="1"/>
                <w:szCs w:val="1"/>
                <w:color w:val="auto"/>
              </w:rPr>
            </w:pPr>
          </w:p>
        </w:tc>
      </w:tr>
      <w:tr>
        <w:trPr>
          <w:trHeight w:val="68"/>
        </w:trPr>
        <w:tc>
          <w:tcPr>
            <w:tcW w:w="220" w:type="dxa"/>
            <w:vAlign w:val="bottom"/>
            <w:gridSpan w:val="2"/>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Pr>
          <w:p>
            <w:pPr>
              <w:spacing w:after="0"/>
              <w:rPr>
                <w:sz w:val="5"/>
                <w:szCs w:val="5"/>
                <w:color w:val="auto"/>
              </w:rPr>
            </w:pPr>
          </w:p>
        </w:tc>
        <w:tc>
          <w:tcPr>
            <w:tcW w:w="20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w:t>
            </w:r>
          </w:p>
        </w:tc>
        <w:tc>
          <w:tcPr>
            <w:tcW w:w="6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​(14,382,001) ​(20,458,918) ​(22,424,524)​(10,221,551) ​(11,697,264) ​(1,632,874)</w:t>
      </w:r>
    </w:p>
    <w:p>
      <w:pPr>
        <w:ind w:left="20"/>
        <w:spacing w:after="0"/>
        <w:tabs>
          <w:tab w:leader="none" w:pos="940" w:val="left"/>
          <w:tab w:leader="none" w:pos="1940" w:val="left"/>
          <w:tab w:leader="none" w:pos="2940" w:val="left"/>
          <w:tab w:leader="none" w:pos="3880" w:val="left"/>
          <w:tab w:leader="none" w:pos="4880" w:val="left"/>
          <w:tab w:leader="none" w:pos="57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16" w:lineRule="exact"/>
        <w:rPr>
          <w:sz w:val="20"/>
          <w:szCs w:val="20"/>
          <w:color w:val="auto"/>
        </w:rPr>
      </w:pPr>
    </w:p>
    <w:p>
      <w:pPr>
        <w:sectPr>
          <w:pgSz w:w="11900" w:h="16838" w:orient="portrait"/>
          <w:cols w:equalWidth="0" w:num="2">
            <w:col w:w="3560" w:space="120"/>
            <w:col w:w="6199"/>
          </w:cols>
          <w:pgMar w:left="580" w:top="97" w:right="1440" w:bottom="1440" w:gutter="0" w:footer="0" w:header="0"/>
          <w:type w:val="continuous"/>
        </w:sectPr>
      </w:pPr>
    </w:p>
    <w:p>
      <w:pPr>
        <w:spacing w:after="0" w:line="27" w:lineRule="exact"/>
        <w:rPr>
          <w:sz w:val="20"/>
          <w:szCs w:val="20"/>
          <w:color w:val="auto"/>
        </w:rPr>
      </w:pPr>
    </w:p>
    <w:p>
      <w:pPr>
        <w:ind w:left="1280"/>
        <w:spacing w:after="0" w:line="318" w:lineRule="auto"/>
        <w:rPr>
          <w:sz w:val="20"/>
          <w:szCs w:val="20"/>
          <w:color w:val="auto"/>
        </w:rPr>
      </w:pPr>
      <w:r>
        <w:rPr>
          <w:rFonts w:ascii="Times New Roman" w:cs="Times New Roman" w:eastAsia="Times New Roman" w:hAnsi="Times New Roman"/>
          <w:sz w:val="18"/>
          <w:szCs w:val="18"/>
          <w:color w:val="auto"/>
        </w:rPr>
        <w:t xml:space="preserve">Income tax (expense)/benefit </w:t>
      </w:r>
      <w:r>
        <w:rPr>
          <w:rFonts w:ascii="Times New Roman" w:cs="Times New Roman" w:eastAsia="Times New Roman" w:hAnsi="Times New Roman"/>
          <w:sz w:val="18"/>
          <w:szCs w:val="18"/>
          <w:b w:val="1"/>
          <w:bCs w:val="1"/>
          <w:color w:val="auto"/>
        </w:rPr>
        <w:t>Net loss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Other comprehensive</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income/(loss)</w:t>
      </w:r>
    </w:p>
    <w:p>
      <w:pPr>
        <w:spacing w:after="0" w:line="31" w:lineRule="exact"/>
        <w:rPr>
          <w:sz w:val="20"/>
          <w:szCs w:val="20"/>
          <w:color w:val="auto"/>
        </w:rPr>
      </w:pPr>
    </w:p>
    <w:p>
      <w:pPr>
        <w:ind w:left="1460" w:right="240" w:hanging="179"/>
        <w:spacing w:after="0" w:line="261" w:lineRule="auto"/>
        <w:rPr>
          <w:sz w:val="20"/>
          <w:szCs w:val="20"/>
          <w:color w:val="auto"/>
        </w:rPr>
      </w:pPr>
      <w:r>
        <w:rPr>
          <w:rFonts w:ascii="Times New Roman" w:cs="Times New Roman" w:eastAsia="Times New Roman" w:hAnsi="Times New Roman"/>
          <w:sz w:val="18"/>
          <w:szCs w:val="18"/>
          <w:color w:val="auto"/>
        </w:rPr>
        <w:t>Change in unrealized gains/(losses) related to available-for-sale debt securities, net of tax</w:t>
      </w:r>
    </w:p>
    <w:p>
      <w:pPr>
        <w:spacing w:after="0" w:line="4" w:lineRule="exact"/>
        <w:rPr>
          <w:sz w:val="20"/>
          <w:szCs w:val="20"/>
          <w:color w:val="auto"/>
        </w:rPr>
      </w:pPr>
    </w:p>
    <w:p>
      <w:pPr>
        <w:ind w:left="1460" w:right="60" w:hanging="179"/>
        <w:spacing w:after="0" w:line="282" w:lineRule="auto"/>
        <w:rPr>
          <w:sz w:val="20"/>
          <w:szCs w:val="20"/>
          <w:color w:val="auto"/>
        </w:rPr>
      </w:pPr>
      <w:r>
        <w:rPr>
          <w:rFonts w:ascii="Times New Roman" w:cs="Times New Roman" w:eastAsia="Times New Roman" w:hAnsi="Times New Roman"/>
          <w:sz w:val="18"/>
          <w:szCs w:val="18"/>
          <w:color w:val="auto"/>
        </w:rPr>
        <w:t>Foreign currency translation adjustment, net of nil tax</w:t>
      </w:r>
    </w:p>
    <w:p>
      <w:pPr>
        <w:spacing w:after="0" w:line="9" w:lineRule="exact"/>
        <w:rPr>
          <w:sz w:val="20"/>
          <w:szCs w:val="20"/>
          <w:color w:val="auto"/>
        </w:rPr>
      </w:pPr>
    </w:p>
    <w:p>
      <w:pPr>
        <w:ind w:left="1460" w:right="240" w:hanging="179"/>
        <w:spacing w:after="0" w:line="314" w:lineRule="auto"/>
        <w:rPr>
          <w:sz w:val="20"/>
          <w:szCs w:val="20"/>
          <w:color w:val="auto"/>
        </w:rPr>
      </w:pPr>
      <w:r>
        <w:rPr>
          <w:rFonts w:ascii="Times New Roman" w:cs="Times New Roman" w:eastAsia="Times New Roman" w:hAnsi="Times New Roman"/>
          <w:sz w:val="17"/>
          <w:szCs w:val="17"/>
          <w:b w:val="1"/>
          <w:bCs w:val="1"/>
          <w:color w:val="auto"/>
        </w:rPr>
        <w:t>Total other comprehensive income/(loss)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(55,103) ​</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(260,835) ​</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22,815 ​</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(9,009) ​</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(47,570)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68"/>
        </w:trPr>
        <w:tc>
          <w:tcPr>
            <w:tcW w:w="240" w:type="dxa"/>
            <w:vAlign w:val="bottom"/>
            <w:gridSpan w:val="2"/>
          </w:tcPr>
          <w:p>
            <w:pPr>
              <w:jc w:val="right"/>
              <w:ind w:right="50"/>
              <w:spacing w:after="0" w:line="68" w:lineRule="exact"/>
              <w:rPr>
                <w:sz w:val="20"/>
                <w:szCs w:val="20"/>
                <w:color w:val="auto"/>
              </w:rPr>
            </w:pPr>
            <w:r>
              <w:rPr>
                <w:rFonts w:ascii="Times New Roman" w:cs="Times New Roman" w:eastAsia="Times New Roman" w:hAnsi="Times New Roman"/>
                <w:sz w:val="7"/>
                <w:szCs w:val="7"/>
                <w:color w:val="auto"/>
              </w:rPr>
              <w:t>​​​</w:t>
            </w:r>
          </w:p>
        </w:tc>
        <w:tc>
          <w:tcPr>
            <w:tcW w:w="70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Pr>
          <w:p>
            <w:pPr>
              <w:spacing w:after="0"/>
              <w:rPr>
                <w:sz w:val="5"/>
                <w:szCs w:val="5"/>
                <w:color w:val="auto"/>
              </w:rPr>
            </w:pPr>
          </w:p>
        </w:tc>
        <w:tc>
          <w:tcPr>
            <w:tcW w:w="340" w:type="dxa"/>
            <w:vAlign w:val="bottom"/>
            <w:gridSpan w:val="2"/>
          </w:tcPr>
          <w:p>
            <w:pPr>
              <w:jc w:val="right"/>
              <w:ind w:right="180"/>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300" w:type="dxa"/>
            <w:vAlign w:val="bottom"/>
            <w:gridSpan w:val="2"/>
          </w:tcPr>
          <w:p>
            <w:pPr>
              <w:jc w:val="right"/>
              <w:ind w:right="200"/>
              <w:spacing w:after="0" w:line="68" w:lineRule="exact"/>
              <w:rPr>
                <w:sz w:val="20"/>
                <w:szCs w:val="20"/>
                <w:color w:val="auto"/>
              </w:rPr>
            </w:pPr>
            <w:r>
              <w:rPr>
                <w:rFonts w:ascii="Times New Roman" w:cs="Times New Roman" w:eastAsia="Times New Roman" w:hAnsi="Times New Roman"/>
                <w:sz w:val="7"/>
                <w:szCs w:val="7"/>
                <w:color w:val="auto"/>
              </w:rPr>
              <w:t>​​​</w:t>
            </w:r>
          </w:p>
        </w:tc>
        <w:tc>
          <w:tcPr>
            <w:tcW w:w="640" w:type="dxa"/>
            <w:vAlign w:val="bottom"/>
          </w:tcPr>
          <w:p>
            <w:pPr>
              <w:spacing w:after="0"/>
              <w:rPr>
                <w:sz w:val="5"/>
                <w:szCs w:val="5"/>
                <w:color w:val="auto"/>
              </w:rPr>
            </w:pPr>
          </w:p>
        </w:tc>
        <w:tc>
          <w:tcPr>
            <w:tcW w:w="300" w:type="dxa"/>
            <w:vAlign w:val="bottom"/>
            <w:gridSpan w:val="2"/>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w:t>
            </w:r>
          </w:p>
        </w:tc>
        <w:tc>
          <w:tcPr>
            <w:tcW w:w="700" w:type="dxa"/>
            <w:vAlign w:val="bottom"/>
          </w:tcPr>
          <w:p>
            <w:pPr>
              <w:spacing w:after="0"/>
              <w:rPr>
                <w:sz w:val="5"/>
                <w:szCs w:val="5"/>
                <w:color w:val="auto"/>
              </w:rPr>
            </w:pPr>
          </w:p>
        </w:tc>
        <w:tc>
          <w:tcPr>
            <w:tcW w:w="300" w:type="dxa"/>
            <w:vAlign w:val="bottom"/>
            <w:gridSpan w:val="2"/>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w:t>
            </w:r>
          </w:p>
        </w:tc>
        <w:tc>
          <w:tcPr>
            <w:tcW w:w="6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5780" w:type="dxa"/>
            <w:vAlign w:val="bottom"/>
            <w:gridSpan w:val="19"/>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​(14,437,104) ​(20,719,753) ​(22,401,709)​(10,230,560) ​(11,744,834) ​(1,639,515)</w:t>
            </w:r>
          </w:p>
        </w:tc>
        <w:tc>
          <w:tcPr>
            <w:tcW w:w="0" w:type="dxa"/>
            <w:vAlign w:val="bottom"/>
          </w:tcPr>
          <w:p>
            <w:pPr>
              <w:spacing w:after="0"/>
              <w:rPr>
                <w:sz w:val="1"/>
                <w:szCs w:val="1"/>
                <w:color w:val="auto"/>
              </w:rPr>
            </w:pPr>
          </w:p>
        </w:tc>
      </w:tr>
      <w:tr>
        <w:trPr>
          <w:trHeight w:val="68"/>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4"/>
                <w:szCs w:val="4"/>
                <w:b w:val="1"/>
                <w:bCs w:val="1"/>
                <w:color w:val="auto"/>
              </w:rPr>
              <w:t>​​​</w:t>
            </w:r>
          </w:p>
        </w:tc>
        <w:tc>
          <w:tcPr>
            <w:tcW w:w="780" w:type="dxa"/>
            <w:vAlign w:val="bottom"/>
          </w:tcPr>
          <w:p>
            <w:pPr>
              <w:spacing w:after="0"/>
              <w:rPr>
                <w:sz w:val="5"/>
                <w:szCs w:val="5"/>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b w:val="1"/>
                <w:bCs w:val="1"/>
                <w:color w:val="auto"/>
              </w:rPr>
              <w:t>​​​​</w:t>
            </w:r>
          </w:p>
        </w:tc>
        <w:tc>
          <w:tcPr>
            <w:tcW w:w="740" w:type="dxa"/>
            <w:vAlign w:val="bottom"/>
          </w:tcPr>
          <w:p>
            <w:pPr>
              <w:spacing w:after="0"/>
              <w:rPr>
                <w:sz w:val="5"/>
                <w:szCs w:val="5"/>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b w:val="1"/>
                <w:bCs w:val="1"/>
                <w:color w:val="auto"/>
              </w:rPr>
              <w:t>​​​​</w:t>
            </w:r>
          </w:p>
        </w:tc>
        <w:tc>
          <w:tcPr>
            <w:tcW w:w="720" w:type="dxa"/>
            <w:vAlign w:val="bottom"/>
          </w:tcPr>
          <w:p>
            <w:pPr>
              <w:spacing w:after="0"/>
              <w:rPr>
                <w:sz w:val="5"/>
                <w:szCs w:val="5"/>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4"/>
                <w:szCs w:val="4"/>
                <w:b w:val="1"/>
                <w:bCs w:val="1"/>
                <w:color w:val="auto"/>
              </w:rPr>
              <w:t>​​​</w:t>
            </w:r>
          </w:p>
        </w:tc>
        <w:tc>
          <w:tcPr>
            <w:tcW w:w="660" w:type="dxa"/>
            <w:vAlign w:val="bottom"/>
          </w:tcPr>
          <w:p>
            <w:pPr>
              <w:spacing w:after="0"/>
              <w:rPr>
                <w:sz w:val="5"/>
                <w:szCs w:val="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b w:val="1"/>
                <w:bCs w:val="1"/>
                <w:color w:val="auto"/>
              </w:rPr>
              <w:t>​​​​</w:t>
            </w:r>
          </w:p>
        </w:tc>
        <w:tc>
          <w:tcPr>
            <w:tcW w:w="700" w:type="dxa"/>
            <w:vAlign w:val="bottom"/>
          </w:tcPr>
          <w:p>
            <w:pPr>
              <w:spacing w:after="0"/>
              <w:rPr>
                <w:sz w:val="5"/>
                <w:szCs w:val="5"/>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b w:val="1"/>
                <w:bCs w:val="1"/>
                <w:color w:val="auto"/>
              </w:rPr>
              <w:t>​​​​</w:t>
            </w:r>
          </w:p>
        </w:tc>
        <w:tc>
          <w:tcPr>
            <w:tcW w:w="620" w:type="dxa"/>
            <w:vAlign w:val="bottom"/>
          </w:tcPr>
          <w:p>
            <w:pPr>
              <w:spacing w:after="0"/>
              <w:rPr>
                <w:sz w:val="5"/>
                <w:szCs w:val="5"/>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4"/>
                <w:szCs w:val="24"/>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04"/>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746,336​​​</w:t>
            </w:r>
            <w:r>
              <w:rPr>
                <w:rFonts w:ascii="Times New Roman" w:cs="Times New Roman" w:eastAsia="Times New Roman" w:hAnsi="Times New Roman"/>
                <w:sz w:val="18"/>
                <w:szCs w:val="18"/>
                <w:b w:val="1"/>
                <w:bCs w:val="1"/>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(770,560​​​)</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717,274​​​​</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11,514​​​​</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149,668​​​</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96,951​​​​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260,479​​​​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36,361​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1,463,610</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(759,046)</w:t>
            </w:r>
          </w:p>
        </w:tc>
        <w:tc>
          <w:tcPr>
            <w:tcW w:w="160" w:type="dxa"/>
            <w:vAlign w:val="bottom"/>
          </w:tcPr>
          <w:p>
            <w:pPr>
              <w:spacing w:after="0"/>
              <w:rPr>
                <w:sz w:val="24"/>
                <w:szCs w:val="24"/>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149,668</w:t>
            </w:r>
          </w:p>
        </w:tc>
        <w:tc>
          <w:tcPr>
            <w:tcW w:w="220" w:type="dxa"/>
            <w:vAlign w:val="bottom"/>
          </w:tcPr>
          <w:p>
            <w:pPr>
              <w:spacing w:after="0"/>
              <w:rPr>
                <w:sz w:val="24"/>
                <w:szCs w:val="24"/>
                <w:color w:val="auto"/>
              </w:rPr>
            </w:pPr>
          </w:p>
        </w:tc>
        <w:tc>
          <w:tcPr>
            <w:tcW w:w="7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96,951</w:t>
            </w:r>
          </w:p>
        </w:tc>
        <w:tc>
          <w:tcPr>
            <w:tcW w:w="180" w:type="dxa"/>
            <w:vAlign w:val="bottom"/>
          </w:tcPr>
          <w:p>
            <w:pPr>
              <w:spacing w:after="0"/>
              <w:rPr>
                <w:sz w:val="24"/>
                <w:szCs w:val="24"/>
                <w:color w:val="auto"/>
              </w:rPr>
            </w:pP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260,479</w:t>
            </w: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36,361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gridSpan w:val="2"/>
          </w:tcPr>
          <w:p>
            <w:pPr>
              <w:jc w:val="right"/>
              <w:ind w:right="12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720" w:type="dxa"/>
            <w:vAlign w:val="bottom"/>
          </w:tcPr>
          <w:p>
            <w:pPr>
              <w:spacing w:after="0"/>
              <w:rPr>
                <w:sz w:val="7"/>
                <w:szCs w:val="7"/>
                <w:color w:val="auto"/>
              </w:rPr>
            </w:pPr>
          </w:p>
        </w:tc>
        <w:tc>
          <w:tcPr>
            <w:tcW w:w="280" w:type="dxa"/>
            <w:vAlign w:val="bottom"/>
            <w:gridSpan w:val="2"/>
          </w:tcPr>
          <w:p>
            <w:pPr>
              <w:jc w:val="right"/>
              <w:ind w:right="16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tcPr>
          <w:p>
            <w:pPr>
              <w:spacing w:after="0"/>
              <w:rPr>
                <w:sz w:val="7"/>
                <w:szCs w:val="7"/>
                <w:color w:val="auto"/>
              </w:rPr>
            </w:pPr>
          </w:p>
        </w:tc>
        <w:tc>
          <w:tcPr>
            <w:tcW w:w="300" w:type="dxa"/>
            <w:vAlign w:val="bottom"/>
            <w:gridSpan w:val="2"/>
          </w:tcPr>
          <w:p>
            <w:pPr>
              <w:jc w:val="right"/>
              <w:ind w:right="14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700" w:type="dxa"/>
            <w:vAlign w:val="bottom"/>
          </w:tcPr>
          <w:p>
            <w:pPr>
              <w:spacing w:after="0"/>
              <w:rPr>
                <w:sz w:val="7"/>
                <w:szCs w:val="7"/>
                <w:color w:val="auto"/>
              </w:rPr>
            </w:pPr>
          </w:p>
        </w:tc>
        <w:tc>
          <w:tcPr>
            <w:tcW w:w="280" w:type="dxa"/>
            <w:vAlign w:val="bottom"/>
            <w:gridSpan w:val="2"/>
          </w:tcPr>
          <w:p>
            <w:pPr>
              <w:jc w:val="right"/>
              <w:ind w:right="12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tcPr>
          <w:p>
            <w:pPr>
              <w:spacing w:after="0"/>
              <w:rPr>
                <w:sz w:val="7"/>
                <w:szCs w:val="7"/>
                <w:color w:val="auto"/>
              </w:rPr>
            </w:pPr>
          </w:p>
        </w:tc>
        <w:tc>
          <w:tcPr>
            <w:tcW w:w="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2">
            <w:col w:w="3480" w:space="200"/>
            <w:col w:w="6199"/>
          </w:cols>
          <w:pgMar w:left="580" w:top="97"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67" w:lineRule="exact"/>
        <w:rPr>
          <w:sz w:val="20"/>
          <w:szCs w:val="20"/>
          <w:color w:val="auto"/>
        </w:rPr>
      </w:pPr>
    </w:p>
    <w:p>
      <w:pPr>
        <w:ind w:left="1460" w:right="40" w:hanging="179"/>
        <w:spacing w:after="0" w:line="266" w:lineRule="auto"/>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Net loss/(profit) attributable to non-controlling interests</w:t>
      </w:r>
    </w:p>
    <w:p>
      <w:pPr>
        <w:spacing w:after="0" w:line="13" w:lineRule="exact"/>
        <w:rPr>
          <w:sz w:val="20"/>
          <w:szCs w:val="20"/>
          <w:color w:val="auto"/>
        </w:rPr>
      </w:pPr>
    </w:p>
    <w:p>
      <w:pPr>
        <w:ind w:left="1460" w:right="20" w:hanging="179"/>
        <w:spacing w:after="0" w:line="266" w:lineRule="auto"/>
        <w:rPr>
          <w:sz w:val="20"/>
          <w:szCs w:val="20"/>
          <w:color w:val="auto"/>
        </w:rPr>
      </w:pPr>
      <w:r>
        <w:rPr>
          <w:rFonts w:ascii="Times New Roman" w:cs="Times New Roman" w:eastAsia="Times New Roman" w:hAnsi="Times New Roman"/>
          <w:sz w:val="18"/>
          <w:szCs w:val="18"/>
          <w:color w:val="auto"/>
        </w:rPr>
        <w:t>Other comprehensive (income)/loss attributable to 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5780" w:type="dxa"/>
            <w:vAlign w:val="bottom"/>
            <w:gridSpan w:val="18"/>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​(12,973,494) ​(21,478,799) ​(22,252,041)​(10,133,609) ​(11,484,355) ​(1,603,154)</w:t>
            </w:r>
          </w:p>
        </w:tc>
        <w:tc>
          <w:tcPr>
            <w:tcW w:w="0" w:type="dxa"/>
            <w:vAlign w:val="bottom"/>
          </w:tcPr>
          <w:p>
            <w:pPr>
              <w:spacing w:after="0"/>
              <w:rPr>
                <w:sz w:val="1"/>
                <w:szCs w:val="1"/>
                <w:color w:val="auto"/>
              </w:rPr>
            </w:pPr>
          </w:p>
        </w:tc>
      </w:tr>
      <w:tr>
        <w:trPr>
          <w:trHeight w:val="68"/>
        </w:trPr>
        <w:tc>
          <w:tcPr>
            <w:tcW w:w="2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tcPr>
          <w:p>
            <w:pPr>
              <w:spacing w:after="0"/>
              <w:rPr>
                <w:sz w:val="5"/>
                <w:szCs w:val="5"/>
                <w:color w:val="auto"/>
              </w:rPr>
            </w:pPr>
          </w:p>
        </w:tc>
        <w:tc>
          <w:tcPr>
            <w:tcW w:w="3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60" w:type="dxa"/>
            <w:vAlign w:val="bottom"/>
          </w:tcPr>
          <w:p>
            <w:pPr>
              <w:spacing w:after="0"/>
              <w:rPr>
                <w:sz w:val="5"/>
                <w:szCs w:val="5"/>
                <w:color w:val="auto"/>
              </w:rPr>
            </w:pPr>
          </w:p>
        </w:tc>
        <w:tc>
          <w:tcPr>
            <w:tcW w:w="3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20" w:type="dxa"/>
            <w:vAlign w:val="bottom"/>
          </w:tcPr>
          <w:p>
            <w:pPr>
              <w:spacing w:after="0"/>
              <w:rPr>
                <w:sz w:val="5"/>
                <w:szCs w:val="5"/>
                <w:color w:val="auto"/>
              </w:rPr>
            </w:pPr>
          </w:p>
        </w:tc>
        <w:tc>
          <w:tcPr>
            <w:tcW w:w="26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tcPr>
          <w:p>
            <w:pPr>
              <w:spacing w:after="0"/>
              <w:rPr>
                <w:sz w:val="5"/>
                <w:szCs w:val="5"/>
                <w:color w:val="auto"/>
              </w:rPr>
            </w:pPr>
          </w:p>
        </w:tc>
        <w:tc>
          <w:tcPr>
            <w:tcW w:w="4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2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(279,355​​​)</w:t>
            </w:r>
            <w:r>
              <w:rPr>
                <w:rFonts w:ascii="Times New Roman" w:cs="Times New Roman" w:eastAsia="Times New Roman" w:hAnsi="Times New Roman"/>
                <w:sz w:val="18"/>
                <w:szCs w:val="18"/>
                <w:b w:val="1"/>
                <w:bCs w:val="1"/>
                <w:color w:val="auto"/>
              </w:rPr>
              <w:t>​</w:t>
            </w:r>
          </w:p>
        </w:tc>
        <w:tc>
          <w:tcPr>
            <w:tcW w:w="2940" w:type="dxa"/>
            <w:vAlign w:val="bottom"/>
            <w:gridSpan w:val="9"/>
          </w:tcPr>
          <w:p>
            <w:pPr>
              <w:jc w:val="right"/>
              <w:ind w:right="100"/>
              <w:spacing w:after="0"/>
              <w:rPr>
                <w:sz w:val="20"/>
                <w:szCs w:val="20"/>
                <w:color w:val="auto"/>
              </w:rPr>
            </w:pPr>
            <w:r>
              <w:rPr>
                <w:rFonts w:ascii="Times New Roman" w:cs="Times New Roman" w:eastAsia="Times New Roman" w:hAnsi="Times New Roman"/>
                <w:sz w:val="18"/>
                <w:szCs w:val="18"/>
                <w:color w:val="auto"/>
              </w:rPr>
              <w:t>(303,163​​​)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(347,516​​)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(162,546​​​)</w:t>
            </w:r>
            <w:r>
              <w:rPr>
                <w:rFonts w:ascii="Times New Roman" w:cs="Times New Roman" w:eastAsia="Times New Roman" w:hAnsi="Times New Roman"/>
                <w:sz w:val="18"/>
                <w:szCs w:val="18"/>
                <w:b w:val="1"/>
                <w:bCs w:val="1"/>
                <w:color w:val="auto"/>
              </w:rPr>
              <w:t>​</w:t>
            </w: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(292,864​​​)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(40,882​)</w:t>
            </w:r>
          </w:p>
        </w:tc>
        <w:tc>
          <w:tcPr>
            <w:tcW w:w="0" w:type="dxa"/>
            <w:vAlign w:val="bottom"/>
          </w:tcPr>
          <w:p>
            <w:pPr>
              <w:spacing w:after="0"/>
              <w:rPr>
                <w:sz w:val="1"/>
                <w:szCs w:val="1"/>
                <w:color w:val="auto"/>
              </w:rPr>
            </w:pPr>
          </w:p>
        </w:tc>
      </w:tr>
      <w:tr>
        <w:trPr>
          <w:trHeight w:val="405"/>
        </w:trPr>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157,014</w:t>
            </w:r>
          </w:p>
        </w:tc>
        <w:tc>
          <w:tcPr>
            <w:tcW w:w="140" w:type="dxa"/>
            <w:vAlign w:val="bottom"/>
          </w:tcPr>
          <w:p>
            <w:pPr>
              <w:spacing w:after="0"/>
              <w:rPr>
                <w:sz w:val="24"/>
                <w:szCs w:val="24"/>
                <w:color w:val="auto"/>
              </w:rPr>
            </w:pPr>
          </w:p>
        </w:tc>
        <w:tc>
          <w:tcPr>
            <w:tcW w:w="8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(124,051)</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91,533</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2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gridSpan w:val="2"/>
          </w:tcPr>
          <w:p>
            <w:pPr>
              <w:jc w:val="right"/>
              <w:ind w:right="100"/>
              <w:spacing w:after="0" w:line="81" w:lineRule="exact"/>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spacing w:after="0"/>
              <w:rPr>
                <w:sz w:val="7"/>
                <w:szCs w:val="7"/>
                <w:color w:val="auto"/>
              </w:rPr>
            </w:pPr>
          </w:p>
        </w:tc>
        <w:tc>
          <w:tcPr>
            <w:tcW w:w="3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p>
        </w:tc>
        <w:tc>
          <w:tcPr>
            <w:tcW w:w="8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u w:val="single" w:color="auto"/>
                <w:color w:val="auto"/>
              </w:rPr>
              <w:t>(151,299</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u w:val="single" w:color="auto"/>
                <w:color w:val="auto"/>
              </w:rPr>
              <w:t>156,026</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3"/>
        </w:trPr>
        <w:tc>
          <w:tcPr>
            <w:tcW w:w="20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gridSpan w:val="2"/>
          </w:tcPr>
          <w:p>
            <w:pPr>
              <w:jc w:val="right"/>
              <w:ind w:right="100"/>
              <w:spacing w:after="0" w:line="123"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w:t>
            </w:r>
          </w:p>
        </w:tc>
        <w:tc>
          <w:tcPr>
            <w:tcW w:w="740" w:type="dxa"/>
            <w:vAlign w:val="bottom"/>
          </w:tcPr>
          <w:p>
            <w:pPr>
              <w:spacing w:after="0"/>
              <w:rPr>
                <w:sz w:val="10"/>
                <w:szCs w:val="10"/>
                <w:color w:val="auto"/>
              </w:rPr>
            </w:pPr>
          </w:p>
        </w:tc>
        <w:tc>
          <w:tcPr>
            <w:tcW w:w="34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00" w:space="100"/>
            <w:col w:w="617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92"/>
        </w:trPr>
        <w:tc>
          <w:tcPr>
            <w:tcW w:w="240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w w:val="95"/>
              </w:rPr>
              <w:t>Comprehensive loss attributable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 ordinary shareholders of</w:t>
            </w:r>
          </w:p>
        </w:tc>
        <w:tc>
          <w:tcPr>
            <w:tcW w:w="80" w:type="dxa"/>
            <w:vAlign w:val="bottom"/>
          </w:tcPr>
          <w:p>
            <w:pPr>
              <w:spacing w:after="0"/>
              <w:rPr>
                <w:sz w:val="18"/>
                <w:szCs w:val="18"/>
                <w:color w:val="auto"/>
              </w:rPr>
            </w:pPr>
          </w:p>
        </w:tc>
        <w:tc>
          <w:tcPr>
            <w:tcW w:w="5780" w:type="dxa"/>
            <w:vAlign w:val="bottom"/>
            <w:gridSpan w:val="1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​(13,247,134) ​(21,749,987) ​(22,508,024)​(10,287,337) ​(11,771,889) ​(1,643,292)</w:t>
            </w:r>
          </w:p>
        </w:tc>
        <w:tc>
          <w:tcPr>
            <w:tcW w:w="0" w:type="dxa"/>
            <w:vAlign w:val="bottom"/>
          </w:tcPr>
          <w:p>
            <w:pPr>
              <w:spacing w:after="0"/>
              <w:rPr>
                <w:sz w:val="1"/>
                <w:szCs w:val="1"/>
                <w:color w:val="auto"/>
              </w:rPr>
            </w:pPr>
          </w:p>
        </w:tc>
      </w:tr>
      <w:tr>
        <w:trPr>
          <w:trHeight w:val="171"/>
        </w:trPr>
        <w:tc>
          <w:tcPr>
            <w:tcW w:w="240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b w:val="1"/>
                <w:bCs w:val="1"/>
                <w:color w:val="auto"/>
              </w:rPr>
              <w:t>NIO Inc.</w:t>
            </w:r>
          </w:p>
        </w:tc>
        <w:tc>
          <w:tcPr>
            <w:tcW w:w="80" w:type="dxa"/>
            <w:vAlign w:val="bottom"/>
          </w:tcPr>
          <w:p>
            <w:pPr>
              <w:spacing w:after="0"/>
              <w:rPr>
                <w:sz w:val="14"/>
                <w:szCs w:val="14"/>
                <w:color w:val="auto"/>
              </w:rPr>
            </w:pPr>
          </w:p>
        </w:tc>
        <w:tc>
          <w:tcPr>
            <w:tcW w:w="578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96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00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00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9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00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90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Notes:</w:t>
      </w:r>
    </w:p>
    <w:p>
      <w:pPr>
        <w:spacing w:after="0" w:line="104" w:lineRule="exact"/>
        <w:rPr>
          <w:sz w:val="20"/>
          <w:szCs w:val="20"/>
          <w:color w:val="auto"/>
        </w:rPr>
      </w:pPr>
    </w:p>
    <w:p>
      <w:pPr>
        <w:ind w:left="1280"/>
        <w:spacing w:after="0"/>
        <w:tabs>
          <w:tab w:leader="none" w:pos="1620" w:val="left"/>
        </w:tabs>
        <w:rPr>
          <w:sz w:val="20"/>
          <w:szCs w:val="20"/>
          <w:color w:val="auto"/>
        </w:rPr>
      </w:pPr>
      <w:r>
        <w:rPr>
          <w:rFonts w:ascii="Times New Roman" w:cs="Times New Roman" w:eastAsia="Times New Roman" w:hAnsi="Times New Roman"/>
          <w:sz w:val="18"/>
          <w:szCs w:val="18"/>
          <w:color w:val="auto"/>
        </w:rPr>
        <w:t>(1)</w:t>
        <w:tab/>
        <w:t>We currently generate revenues from vehicle sales and other sales.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1620" w:val="left"/>
        </w:tabs>
        <w:rPr>
          <w:sz w:val="20"/>
          <w:szCs w:val="20"/>
          <w:color w:val="auto"/>
        </w:rPr>
      </w:pPr>
      <w:r>
        <w:rPr>
          <w:rFonts w:ascii="Times New Roman" w:cs="Times New Roman" w:eastAsia="Times New Roman" w:hAnsi="Times New Roman"/>
          <w:sz w:val="18"/>
          <w:szCs w:val="18"/>
          <w:color w:val="auto"/>
        </w:rPr>
        <w:t>(2)</w:t>
        <w:tab/>
        <w:t>Share-based compensation expenses were allocated in cost of sales and operating expenses as follows:</w:t>
      </w:r>
    </w:p>
    <w:p>
      <w:pPr>
        <w:spacing w:after="0" w:line="198"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66,914</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83,972</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71,779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28,451</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27,868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1"/>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1,323,370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1,517,206</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1,296,136</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536,093</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569,667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79,522</w:t>
            </w:r>
          </w:p>
        </w:tc>
      </w:tr>
      <w:tr>
        <w:trPr>
          <w:trHeight w:val="231"/>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41"/>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905,612</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767,863</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560,597</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227,620</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299,579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41,820</w:t>
            </w:r>
          </w:p>
        </w:tc>
      </w:tr>
      <w:tr>
        <w:trPr>
          <w:trHeight w:val="20"/>
        </w:trPr>
        <w:tc>
          <w:tcPr>
            <w:tcW w:w="24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63"/>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2,295,896</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2,369,041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1,928,512</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792,164</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897,114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125,232</w:t>
            </w:r>
          </w:p>
        </w:tc>
      </w:tr>
      <w:tr>
        <w:trPr>
          <w:trHeight w:val="21"/>
        </w:trPr>
        <w:tc>
          <w:tcPr>
            <w:tcW w:w="2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left="1640" w:right="399" w:hanging="362"/>
        <w:spacing w:after="0" w:line="261" w:lineRule="auto"/>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mainly consist of revenues from (a) parts, accessories and after-sales vehicle services, including repair, maintenance, service package, extended warranty services and other vehicle services,</w:t>
      </w:r>
    </w:p>
    <w:p>
      <w:pPr>
        <w:jc w:val="both"/>
        <w:ind w:left="1640" w:right="399" w:hanging="2"/>
        <w:spacing w:after="0" w:line="253" w:lineRule="auto"/>
        <w:tabs>
          <w:tab w:leader="none" w:pos="193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power solutions, including sale of charging piles, provision of battery charging and swapping services, battery upgrade service, BaaS battery buy-out service and other power solution services, (c) others, which mainly consist of revenues from sales of used cars, auto financing services, NIO Life merchandise, automotive regulatory credits and other products and services.</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table sets forth certain consolidated balance sheets data as of the dates indicated.</w:t>
      </w:r>
    </w:p>
    <w:p>
      <w:pPr>
        <w:spacing w:after="0" w:line="165"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9"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Restricted cash</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assets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mezzanine equity</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shareholders’ equity</w:t>
      </w:r>
    </w:p>
    <w:p>
      <w:pPr>
        <w:spacing w:after="0" w:line="50" w:lineRule="exact"/>
        <w:rPr>
          <w:sz w:val="20"/>
          <w:szCs w:val="20"/>
          <w:color w:val="auto"/>
        </w:rPr>
      </w:pPr>
    </w:p>
    <w:p>
      <w:pPr>
        <w:ind w:left="1460" w:right="220" w:hanging="179"/>
        <w:spacing w:after="0" w:line="282" w:lineRule="auto"/>
        <w:rPr>
          <w:sz w:val="20"/>
          <w:szCs w:val="20"/>
          <w:color w:val="auto"/>
        </w:rPr>
      </w:pPr>
      <w:r>
        <w:rPr>
          <w:rFonts w:ascii="Times New Roman" w:cs="Times New Roman" w:eastAsia="Times New Roman" w:hAnsi="Times New Roman"/>
          <w:sz w:val="18"/>
          <w:szCs w:val="18"/>
          <w:color w:val="auto"/>
        </w:rPr>
        <w:t>Total liabilities, mezzanine equity and shareholders’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32,935,111​​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19,328,920​​</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7,111,459​​</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992,721​</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5,542,271​​</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8,320,728​​</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9,260,268​​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1,292,684​</w:t>
            </w:r>
          </w:p>
        </w:tc>
        <w:tc>
          <w:tcPr>
            <w:tcW w:w="0" w:type="dxa"/>
            <w:vAlign w:val="bottom"/>
          </w:tcPr>
          <w:p>
            <w:pPr>
              <w:spacing w:after="0"/>
              <w:rPr>
                <w:sz w:val="1"/>
                <w:szCs w:val="1"/>
                <w:color w:val="auto"/>
              </w:rPr>
            </w:pPr>
          </w:p>
        </w:tc>
      </w:tr>
      <w:tr>
        <w:trPr>
          <w:trHeight w:val="257"/>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16,810,107​​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14,137,566​​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10,689,430​​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1,492,187​</w:t>
            </w:r>
          </w:p>
        </w:tc>
        <w:tc>
          <w:tcPr>
            <w:tcW w:w="0" w:type="dxa"/>
            <w:vAlign w:val="bottom"/>
          </w:tcPr>
          <w:p>
            <w:pPr>
              <w:spacing w:after="0"/>
              <w:rPr>
                <w:sz w:val="1"/>
                <w:szCs w:val="1"/>
                <w:color w:val="auto"/>
              </w:rPr>
            </w:pPr>
          </w:p>
        </w:tc>
      </w:tr>
      <w:tr>
        <w:trPr>
          <w:trHeight w:val="256"/>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​​117,383,202​​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​​107,604,612​​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​​100,045,845​​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​​13,965,860​</w:t>
            </w:r>
          </w:p>
        </w:tc>
        <w:tc>
          <w:tcPr>
            <w:tcW w:w="0" w:type="dxa"/>
            <w:vAlign w:val="bottom"/>
          </w:tcPr>
          <w:p>
            <w:pPr>
              <w:spacing w:after="0"/>
              <w:rPr>
                <w:sz w:val="1"/>
                <w:szCs w:val="1"/>
                <w:color w:val="auto"/>
              </w:rPr>
            </w:pPr>
          </w:p>
        </w:tc>
      </w:tr>
      <w:tr>
        <w:trPr>
          <w:trHeight w:val="257"/>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87,787,186​​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94,098,069​​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93,429,881​​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​​13,042,306​</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3,860,384​​</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7,441,997​​</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7,734,861​​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1,079,745​</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25,735,632</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6,064,546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(1,118,897)</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(156,191)</w:t>
            </w:r>
          </w:p>
        </w:tc>
        <w:tc>
          <w:tcPr>
            <w:tcW w:w="0" w:type="dxa"/>
            <w:vAlign w:val="bottom"/>
          </w:tcPr>
          <w:p>
            <w:pPr>
              <w:spacing w:after="0"/>
              <w:rPr>
                <w:sz w:val="1"/>
                <w:szCs w:val="1"/>
                <w:color w:val="auto"/>
              </w:rPr>
            </w:pPr>
          </w:p>
        </w:tc>
      </w:tr>
      <w:tr>
        <w:trPr>
          <w:trHeight w:val="234"/>
        </w:trPr>
        <w:tc>
          <w:tcPr>
            <w:tcW w:w="240" w:type="dxa"/>
            <w:vAlign w:val="bottom"/>
            <w:vMerge w:val="continue"/>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​​117,383,202​​ ​​107,604,612​​ ​​100,045,845​​ ​​13,965,860​</w:t>
      </w:r>
    </w:p>
    <w:p>
      <w:pPr>
        <w:spacing w:after="0" w:line="157" w:lineRule="exact"/>
        <w:rPr>
          <w:sz w:val="20"/>
          <w:szCs w:val="20"/>
          <w:color w:val="auto"/>
        </w:rPr>
      </w:pPr>
    </w:p>
    <w:p>
      <w:pPr>
        <w:sectPr>
          <w:pgSz w:w="11900" w:h="16838" w:orient="portrait"/>
          <w:cols w:equalWidth="0" w:num="2">
            <w:col w:w="4380" w:space="720"/>
            <w:col w:w="4779"/>
          </w:cols>
          <w:pgMar w:left="580" w:top="97" w:right="1440"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8"/>
          <w:szCs w:val="18"/>
          <w:color w:val="auto"/>
        </w:rPr>
        <w:t>The following table sets forth certain consolidated cash flow data for the periods indicated.</w:t>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gridSpan w:val="7"/>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20"/>
                <w:szCs w:val="20"/>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000" w:type="dxa"/>
            <w:vAlign w:val="bottom"/>
            <w:gridSpan w:val="3"/>
          </w:tcPr>
          <w:p>
            <w:pPr>
              <w:jc w:val="center"/>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(unaudited) </w:t>
            </w:r>
            <w:r>
              <w:rPr>
                <w:rFonts w:ascii="Times New Roman" w:cs="Times New Roman" w:eastAsia="Times New Roman" w:hAnsi="Times New Roman"/>
                <w:sz w:val="27"/>
                <w:szCs w:val="27"/>
                <w:b w:val="1"/>
                <w:bCs w:val="1"/>
                <w:color w:val="auto"/>
                <w:vertAlign w:val="subscript"/>
              </w:rPr>
              <w:t>​</w:t>
            </w:r>
          </w:p>
        </w:tc>
      </w:tr>
      <w:tr>
        <w:trPr>
          <w:trHeight w:val="23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OPERATING ACTIVITIES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2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(3,866,008​​​)</w:t>
            </w:r>
            <w:r>
              <w:rPr>
                <w:rFonts w:ascii="Times New Roman" w:cs="Times New Roman" w:eastAsia="Times New Roman" w:hAnsi="Times New Roman"/>
                <w:sz w:val="18"/>
                <w:szCs w:val="18"/>
                <w:b w:val="1"/>
                <w:bCs w:val="1"/>
                <w:color w:val="auto"/>
              </w:rPr>
              <w:t>​</w:t>
            </w:r>
          </w:p>
        </w:tc>
        <w:tc>
          <w:tcPr>
            <w:tcW w:w="470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(1,381,546​​​)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(7,849,168​​​)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(10,027,770​​​)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(10,926,443​​​)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(1,525,273​)</w:t>
            </w:r>
          </w:p>
        </w:tc>
      </w:tr>
      <w:tr>
        <w:trPr>
          <w:trHeight w:val="23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14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10,385,017​​​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(10,885,375​​​)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(4,958,493​​​)</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827,188​​​</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516,797​​​</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72,142​</w:t>
            </w:r>
          </w:p>
        </w:tc>
      </w:tr>
      <w:tr>
        <w:trPr>
          <w:trHeight w:val="23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4140" w:type="dxa"/>
            <w:vAlign w:val="bottom"/>
            <w:gridSpan w:val="14"/>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(1,616,384​​​)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27,662,881​​​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1,772,483​​​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(1,246,702​​​)</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(917,821​​​)</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(128,123​)</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8"/>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23"/>
                <w:szCs w:val="23"/>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23"/>
                <w:szCs w:val="23"/>
                <w:color w:val="auto"/>
              </w:rPr>
            </w:pPr>
          </w:p>
        </w:tc>
        <w:tc>
          <w:tcPr>
            <w:tcW w:w="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980" w:type="dxa"/>
            <w:vAlign w:val="bottom"/>
            <w:gridSpan w:val="3"/>
          </w:tcPr>
          <w:p>
            <w:pPr>
              <w:jc w:val="right"/>
              <w:spacing w:after="0" w:line="26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(unaudited) </w:t>
            </w:r>
            <w:r>
              <w:rPr>
                <w:rFonts w:ascii="Times New Roman" w:cs="Times New Roman" w:eastAsia="Times New Roman" w:hAnsi="Times New Roman"/>
                <w:sz w:val="28"/>
                <w:szCs w:val="28"/>
                <w:b w:val="1"/>
                <w:bCs w:val="1"/>
                <w:color w:val="auto"/>
                <w:vertAlign w:val="subscript"/>
              </w:rPr>
              <w:t>​</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1460" w:right="320" w:hanging="179"/>
        <w:spacing w:after="0" w:line="253" w:lineRule="auto"/>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p>
      <w:pPr>
        <w:spacing w:after="0" w:line="8" w:lineRule="exact"/>
        <w:rPr>
          <w:sz w:val="20"/>
          <w:szCs w:val="20"/>
          <w:color w:val="auto"/>
        </w:rPr>
      </w:pPr>
    </w:p>
    <w:p>
      <w:pPr>
        <w:ind w:left="1460" w:hanging="179"/>
        <w:spacing w:after="0" w:line="272" w:lineRule="auto"/>
        <w:rPr>
          <w:sz w:val="20"/>
          <w:szCs w:val="20"/>
          <w:color w:val="auto"/>
        </w:rPr>
      </w:pPr>
      <w:r>
        <w:rPr>
          <w:rFonts w:ascii="Times New Roman" w:cs="Times New Roman" w:eastAsia="Times New Roman" w:hAnsi="Times New Roman"/>
          <w:sz w:val="17"/>
          <w:szCs w:val="17"/>
          <w:b w:val="1"/>
          <w:bCs w:val="1"/>
          <w:color w:val="auto"/>
        </w:rPr>
        <w:t>NET INCREASE/​(DECREASE) IN CASH, CASH EQUIVALENTS AND RESTRICTED</w:t>
      </w:r>
    </w:p>
    <w:p>
      <w:pPr>
        <w:ind w:left="146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31" w:lineRule="exact"/>
        <w:rPr>
          <w:sz w:val="20"/>
          <w:szCs w:val="20"/>
          <w:color w:val="auto"/>
        </w:rPr>
      </w:pPr>
    </w:p>
    <w:p>
      <w:pPr>
        <w:ind w:left="1460" w:right="180" w:hanging="179"/>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p>
      <w:pPr>
        <w:ind w:left="1460" w:right="160" w:hanging="179"/>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at end of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340" w:val="left"/>
          <w:tab w:leader="none" w:pos="2280" w:val="left"/>
          <w:tab w:leader="none" w:pos="3280" w:val="left"/>
          <w:tab w:leader="none" w:pos="4340" w:val="left"/>
          <w:tab w:leader="none" w:pos="53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(121,896​​​)</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70,254​​​</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161,039​​​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267,670​​​</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29,899​​​</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4,175​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4,780,729​​​​15,466,214​​​​(10,874,139​​​)​(10,179,614​​​)​(11,297,568​​​)​(1,577,079​)</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18,374,564​​​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23,155,293​​​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38,621,507​​​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38,621,507​​​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27,747,368​​​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3,873,383​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23,155,293​​​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38,621,507​​​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27,747,368​​​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28,441,893​​​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16,449,800​​​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2,296,304​</w:t>
      </w:r>
    </w:p>
    <w:p>
      <w:pPr>
        <w:spacing w:after="0" w:line="249" w:lineRule="exact"/>
        <w:rPr>
          <w:sz w:val="20"/>
          <w:szCs w:val="20"/>
          <w:color w:val="auto"/>
        </w:rPr>
      </w:pPr>
    </w:p>
    <w:p>
      <w:pPr>
        <w:sectPr>
          <w:pgSz w:w="11900" w:h="16838" w:orient="portrait"/>
          <w:cols w:equalWidth="0" w:num="2">
            <w:col w:w="3700" w:space="20"/>
            <w:col w:w="61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Offering price</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333" w:lineRule="exact"/>
        <w:rPr>
          <w:sz w:val="20"/>
          <w:szCs w:val="20"/>
          <w:color w:val="auto"/>
        </w:rPr>
      </w:pPr>
    </w:p>
    <w:p>
      <w:pPr>
        <w:ind w:left="1460" w:right="200" w:hanging="179"/>
        <w:spacing w:after="0" w:line="282" w:lineRule="auto"/>
        <w:rPr>
          <w:sz w:val="20"/>
          <w:szCs w:val="20"/>
          <w:color w:val="auto"/>
        </w:rPr>
      </w:pPr>
      <w:r>
        <w:rPr>
          <w:rFonts w:ascii="Times New Roman" w:cs="Times New Roman" w:eastAsia="Times New Roman" w:hAnsi="Times New Roman"/>
          <w:sz w:val="18"/>
          <w:szCs w:val="18"/>
          <w:color w:val="auto"/>
        </w:rPr>
        <w:t>Class A ordinary shares offered by us</w:t>
      </w:r>
    </w:p>
    <w:p>
      <w:pPr>
        <w:spacing w:after="0" w:line="54" w:lineRule="exact"/>
        <w:rPr>
          <w:sz w:val="20"/>
          <w:szCs w:val="20"/>
          <w:color w:val="auto"/>
        </w:rPr>
      </w:pPr>
    </w:p>
    <w:p>
      <w:pPr>
        <w:ind w:left="1460" w:right="20" w:hanging="179"/>
        <w:spacing w:after="0" w:line="282" w:lineRule="auto"/>
        <w:rPr>
          <w:sz w:val="20"/>
          <w:szCs w:val="20"/>
          <w:color w:val="auto"/>
        </w:rPr>
      </w:pPr>
      <w:r>
        <w:rPr>
          <w:rFonts w:ascii="Times New Roman" w:cs="Times New Roman" w:eastAsia="Times New Roman" w:hAnsi="Times New Roman"/>
          <w:sz w:val="18"/>
          <w:szCs w:val="18"/>
          <w:color w:val="auto"/>
        </w:rPr>
        <w:t>ADSs outstanding immediately after the Primary ADS Offering</w:t>
      </w:r>
    </w:p>
    <w:p>
      <w:pPr>
        <w:spacing w:after="0" w:line="270" w:lineRule="exact"/>
        <w:rPr>
          <w:sz w:val="20"/>
          <w:szCs w:val="20"/>
          <w:color w:val="auto"/>
        </w:rPr>
      </w:pPr>
    </w:p>
    <w:p>
      <w:pPr>
        <w:ind w:left="1460" w:right="140" w:hanging="179"/>
        <w:spacing w:after="0" w:line="261" w:lineRule="auto"/>
        <w:rPr>
          <w:sz w:val="20"/>
          <w:szCs w:val="20"/>
          <w:color w:val="auto"/>
        </w:rPr>
      </w:pPr>
      <w:r>
        <w:rPr>
          <w:rFonts w:ascii="Times New Roman" w:cs="Times New Roman" w:eastAsia="Times New Roman" w:hAnsi="Times New Roman"/>
          <w:sz w:val="18"/>
          <w:szCs w:val="18"/>
          <w:color w:val="auto"/>
        </w:rPr>
        <w:t>Class A ordinary shares outstanding immediately after the Primary Ordinary Shares Offering</w:t>
      </w:r>
    </w:p>
    <w:p>
      <w:pPr>
        <w:spacing w:after="0" w:line="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ADSs</w:t>
      </w:r>
    </w:p>
    <w:p>
      <w:pPr>
        <w:spacing w:after="0" w:line="333" w:lineRule="exact"/>
        <w:rPr>
          <w:sz w:val="20"/>
          <w:szCs w:val="20"/>
          <w:color w:val="auto"/>
        </w:rPr>
      </w:pPr>
    </w:p>
    <w:p>
      <w:pPr>
        <w:ind w:left="1460" w:right="34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ADSs</w:t>
      </w: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symbol</w:t>
      </w:r>
    </w:p>
    <w:p>
      <w:pPr>
        <w:spacing w:after="0" w:line="99"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Hong Kong Stock Exchange Code for Class A ordinary shares</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Payment and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Depositary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per ADS and HK$            per Class A ordinary share</w:t>
      </w:r>
    </w:p>
    <w:p>
      <w:pPr>
        <w:spacing w:after="0" w:line="117" w:lineRule="exact"/>
        <w:rPr>
          <w:sz w:val="20"/>
          <w:szCs w:val="20"/>
          <w:color w:val="auto"/>
        </w:rPr>
      </w:pPr>
    </w:p>
    <w:p>
      <w:pPr>
        <w:ind w:right="399" w:firstLine="2"/>
        <w:spacing w:after="0" w:line="282" w:lineRule="auto"/>
        <w:tabs>
          <w:tab w:leader="none" w:pos="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ADSs (or                    ADSs if the underwriters exercise their option to purchase additional ADSs in full).</w:t>
      </w:r>
    </w:p>
    <w:p>
      <w:pPr>
        <w:spacing w:after="0" w:line="269" w:lineRule="exact"/>
        <w:rPr>
          <w:rFonts w:ascii="Times New Roman" w:cs="Times New Roman" w:eastAsia="Times New Roman" w:hAnsi="Times New Roman"/>
          <w:sz w:val="18"/>
          <w:szCs w:val="18"/>
          <w:color w:val="auto"/>
        </w:rPr>
      </w:pPr>
    </w:p>
    <w:p>
      <w:pPr>
        <w:ind w:left="100" w:hanging="98"/>
        <w:spacing w:after="0"/>
        <w:tabs>
          <w:tab w:leader="none" w:pos="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Class A ordinary shares.</w:t>
      </w:r>
    </w:p>
    <w:p>
      <w:pPr>
        <w:spacing w:after="0" w:line="333" w:lineRule="exact"/>
        <w:rPr>
          <w:rFonts w:ascii="Times New Roman" w:cs="Times New Roman" w:eastAsia="Times New Roman" w:hAnsi="Times New Roman"/>
          <w:sz w:val="18"/>
          <w:szCs w:val="18"/>
          <w:color w:val="auto"/>
        </w:rPr>
      </w:pPr>
    </w:p>
    <w:p>
      <w:pPr>
        <w:ind w:right="399" w:firstLine="2"/>
        <w:spacing w:after="0" w:line="282" w:lineRule="auto"/>
        <w:tabs>
          <w:tab w:leader="none" w:pos="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ADSs (or                    ADSs if the underwriters exercise their option to purchase additional ADSs in full).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left="100" w:hanging="98"/>
        <w:spacing w:after="0"/>
        <w:tabs>
          <w:tab w:leader="none" w:pos="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Class A ordinary shares.</w:t>
      </w:r>
    </w:p>
    <w:p>
      <w:pPr>
        <w:spacing w:after="0" w:line="117" w:lineRule="exact"/>
        <w:rPr>
          <w:sz w:val="20"/>
          <w:szCs w:val="20"/>
          <w:color w:val="auto"/>
        </w:rPr>
      </w:pPr>
    </w:p>
    <w:p>
      <w:pPr>
        <w:jc w:val="both"/>
        <w:ind w:right="399"/>
        <w:spacing w:after="0" w:line="282" w:lineRule="auto"/>
        <w:rPr>
          <w:sz w:val="20"/>
          <w:szCs w:val="20"/>
          <w:color w:val="auto"/>
        </w:rPr>
      </w:pPr>
      <w:r>
        <w:rPr>
          <w:rFonts w:ascii="Times New Roman" w:cs="Times New Roman" w:eastAsia="Times New Roman" w:hAnsi="Times New Roman"/>
          <w:sz w:val="18"/>
          <w:szCs w:val="18"/>
          <w:color w:val="auto"/>
        </w:rPr>
        <w:t>Each ADS represents one Class A ordinary share. See “Description of American Depositary Shares” in the accompanying prospectus.</w:t>
      </w:r>
    </w:p>
    <w:p>
      <w:pPr>
        <w:spacing w:after="0" w:line="270" w:lineRule="exact"/>
        <w:rPr>
          <w:sz w:val="20"/>
          <w:szCs w:val="20"/>
          <w:color w:val="auto"/>
        </w:rPr>
      </w:pPr>
    </w:p>
    <w:p>
      <w:pPr>
        <w:jc w:val="both"/>
        <w:ind w:right="399"/>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exercisable within 30 days of this prospectus supplement, to purchase up to an aggregate of 27,272,729 additional ADSs.</w:t>
      </w:r>
    </w:p>
    <w:p>
      <w:pPr>
        <w:spacing w:after="0" w:line="68" w:lineRule="exact"/>
        <w:rPr>
          <w:sz w:val="20"/>
          <w:szCs w:val="20"/>
          <w:color w:val="auto"/>
        </w:rPr>
      </w:pPr>
    </w:p>
    <w:p>
      <w:pPr>
        <w:jc w:val="both"/>
        <w:ind w:right="399"/>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this offering to invest in the research and development of core technologies for smart electric vehicles, develop future technology platforms and vehicle models across our brands, expand our battery swapping and charging network, further strengthen our balance sheet, and for general corporate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 for additional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9866.</w:t>
      </w:r>
    </w:p>
    <w:p>
      <w:pPr>
        <w:spacing w:after="0" w:line="117" w:lineRule="exact"/>
        <w:rPr>
          <w:sz w:val="20"/>
          <w:szCs w:val="20"/>
          <w:color w:val="auto"/>
        </w:rPr>
      </w:pPr>
    </w:p>
    <w:p>
      <w:pPr>
        <w:jc w:val="both"/>
        <w:ind w:right="399"/>
        <w:spacing w:after="0" w:line="255" w:lineRule="auto"/>
        <w:rPr>
          <w:sz w:val="20"/>
          <w:szCs w:val="20"/>
          <w:color w:val="auto"/>
        </w:rPr>
      </w:pPr>
      <w:r>
        <w:rPr>
          <w:rFonts w:ascii="Times New Roman" w:cs="Times New Roman" w:eastAsia="Times New Roman" w:hAnsi="Times New Roman"/>
          <w:sz w:val="18"/>
          <w:szCs w:val="18"/>
          <w:color w:val="auto"/>
        </w:rPr>
        <w:t>We and our directors and executive officers have agreed with the underwriters, subject to certain exceptions, not to sell, transfer or otherwise dispose of, directly or indirectly, our ordinary shares, ADSs or other securities convertible into or exercisable or exchangeable for our ADSs or ordinary shares for a period of 90 days following the date of this prospectus supplement. See “Underwriting” for more information.</w:t>
      </w:r>
    </w:p>
    <w:p>
      <w:pPr>
        <w:spacing w:after="0" w:line="81" w:lineRule="exact"/>
        <w:rPr>
          <w:sz w:val="20"/>
          <w:szCs w:val="20"/>
          <w:color w:val="auto"/>
        </w:rPr>
      </w:pPr>
    </w:p>
    <w:p>
      <w:pPr>
        <w:jc w:val="both"/>
        <w:ind w:right="399"/>
        <w:spacing w:after="0" w:line="256" w:lineRule="auto"/>
        <w:rPr>
          <w:sz w:val="20"/>
          <w:szCs w:val="20"/>
          <w:color w:val="auto"/>
        </w:rPr>
      </w:pPr>
      <w:r>
        <w:rPr>
          <w:rFonts w:ascii="Times New Roman" w:cs="Times New Roman" w:eastAsia="Times New Roman" w:hAnsi="Times New Roman"/>
          <w:sz w:val="18"/>
          <w:szCs w:val="18"/>
          <w:color w:val="auto"/>
        </w:rPr>
        <w:t>The underwriters expect to deliver the ADSs against payment therefor on or about                    , 2025, on a “T+1” basis. The Underwriters expect to deliver the Class A ordinary shares offered in the Primary Ordinary Shares Offering against payment therefor through the facilities of the Central Clearing and Settlement System on or about                    , 2025, on a “T+5” basis.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00" w:lineRule="exact"/>
        <w:rPr>
          <w:sz w:val="20"/>
          <w:szCs w:val="20"/>
          <w:color w:val="auto"/>
        </w:rPr>
      </w:pPr>
    </w:p>
    <w:p>
      <w:pPr>
        <w:sectPr>
          <w:pgSz w:w="11900" w:h="16838" w:orient="portrait"/>
          <w:cols w:equalWidth="0" w:num="2">
            <w:col w:w="3860" w:space="440"/>
            <w:col w:w="55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4280" w:val="left"/>
          <w:tab w:leader="none" w:pos="4700" w:val="left"/>
          <w:tab w:leader="none" w:pos="5280" w:val="left"/>
          <w:tab w:leader="none" w:pos="6080" w:val="left"/>
          <w:tab w:leader="none" w:pos="6500" w:val="left"/>
          <w:tab w:leader="none" w:pos="7040" w:val="left"/>
          <w:tab w:leader="none" w:pos="8080" w:val="left"/>
          <w:tab w:leader="none" w:pos="8880" w:val="left"/>
          <w:tab w:leader="none" w:pos="91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w:t>
        <w:tab/>
        <w:t>“Risk</w:t>
        <w:tab/>
        <w:t>Factors”</w:t>
        <w:tab/>
        <w:t>and</w:t>
        <w:tab/>
        <w:t>other</w:t>
        <w:tab/>
        <w:t>information</w:t>
        <w:tab/>
        <w:t>included</w:t>
        <w:tab/>
        <w:t>in</w:t>
        <w:tab/>
        <w:t>this</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prospectus supplement, the accompanying base prospectus and the</w:t>
      </w:r>
    </w:p>
    <w:p>
      <w:pPr>
        <w:spacing w:after="0" w:line="9"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documents incorporated by reference in this prospectus supplement</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or the accompanying base prospectus for a discussion of factors you</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should carefully consider before deciding to invest in the ADSs and</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 Class A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the ADSs and Class A ordinary shares involves a high degree of risk. Before you decide to buy these securities, you should carefully consider the risks and uncertainties as described in our 2024 Annual Report and the other information contained in this prospectus supplement and the accompanying prospectus, including the documents incorporated by reference therein. If any of these risks actually occurs, our business, financial condition and results of operations could suffer, and you may lose all or part of your investment. Please see “Where You Can Find More Information About Us” and “Incorporation of Documents by Reference” herein and in the accompanying prospectus for information on where you can find the documents we have filed with or furnished to the SEC and which are incorporated by reference.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automotive market is highly competitive, and we face significant challenges in competing in our industry.</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automotive market, particularly the market in China, is highly competitive. Our vehicles compete with both NEV and ICE vehicles, especially those targeting the mid- to high-end segment. Many of our current and potential competitors have significantly greater financial, technical, engineering, manufacturing, marketing and other resources than we do, and may be able to devote greater resources to the design, development, manufacturing, promotion, sale and support of their products.</w:t>
      </w:r>
    </w:p>
    <w:p>
      <w:pPr>
        <w:spacing w:after="0" w:line="10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Moreover, we expect competition in the China automotive market to intensify in light of increased product supply, intense price competition, reduced government subsidies, continuing globalization, and industry consolidation. Increased competition will place greater demand on, among others, product design and performance, technological innovation, pricing, product quality and safety, manufacturing efficiency, sales and marketing capabilities, service and charging options, and user satisfaction. Increasing competition may also lead to lower vehicle unit sales and increasing inventory, which may result in downward price pressure and may adversely affect our business, financial condition, results of operations, and prospects.</w:t>
      </w:r>
    </w:p>
    <w:p>
      <w:pPr>
        <w:spacing w:after="0" w:line="121"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Furthermore, our competitive advantage as a leading and early-moving EV company will be compromised if our competitors achieve higher production and sales volumes, offer more favorable pricing, or introduce new products at a faster pace than we do. If our competitors introduce new vehicles or services that successfully compete with or surpass the quality or performance of our vehicles or services at more competitive prices, we may be unable to satisfy existing customers or attract new customers at the price levels that would allow us to generate attractive rates of return on our investment.</w:t>
      </w:r>
    </w:p>
    <w:p>
      <w:pPr>
        <w:spacing w:after="0" w:line="12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may also be affected by the volatility of the overall China automotive market. Fluctuations in the growth rate of passenger vehicle sales and/or EV sales in China and shifting consumer demands for EVs in China could adversely affect our business, results of operations and financial condition.</w:t>
      </w:r>
    </w:p>
    <w:p>
      <w:pPr>
        <w:spacing w:after="0" w:line="9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ability to successfully compete in our industry is fundamental to our future success in existing and new markets and in growing our market share. There can be no assurance that we will be able to compete successfully in our markets. You should consider our business and prospects in light of the risks and challenges we face in our industry, including, among other things, with respect to our ability to:</w:t>
      </w:r>
    </w:p>
    <w:p>
      <w:pPr>
        <w:spacing w:after="0" w:line="72"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produce safe, reliable and quality vehicles on an ongoing basis;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customer base;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vehicles and services;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price our products and services, and successfully anticipate the sales volume of our vehicle products and the take-rate of services provided to users;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reliable, secure, high-performance and scalable technology infrastructure;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protect our core technologies;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may be materially and adversely affected.</w:t>
      </w:r>
    </w:p>
    <w:p>
      <w:pPr>
        <w:spacing w:after="0" w:line="9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Furthermore, our vehicles are highly technical products that will require maintenance and support. If we were to cease or cut back operations, even years from now, buyers of our vehicles from years earlier might encounter difficulties in maintaining their vehicles and obtaining satisfactory support. We believe that user confidence in our ability to provide our power solutions and assisted and intelligent driving functions and honor our obligations under our service package over a long period of time is one of the key factors in marketing our vehicles. As a result, consumers will be less likely to purchase our vehicles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w:t>
      </w:r>
    </w:p>
    <w:p>
      <w:pPr>
        <w:spacing w:after="0" w:line="181"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and manufacture vehicles of sufficient quality and appeal to customers on schedule and on a large scale is still evolving.</w:t>
      </w:r>
    </w:p>
    <w:p>
      <w:pPr>
        <w:spacing w:after="0" w:line="9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on our plans to develop, manufacture, market and sell our electric vehicles. We plan to manufacture our vehicles in higher volumes than our present production capabilities.</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continued development and manufacturing of our current and future vehicle models are and will be subject to risks, including with respect to:</w:t>
      </w:r>
    </w:p>
    <w:p>
      <w:pPr>
        <w:spacing w:after="0" w:line="54"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necessary funding;</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we use being able to accurately manufacture the vehicle within specified design tolerances;</w:t>
      </w:r>
    </w:p>
    <w:p>
      <w:pPr>
        <w:spacing w:after="0" w:line="30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workplace safety and similar regulations;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necessary components on acceptable terms and in a timely manner;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assess user demand;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manufacture vehicles and expand production capacity;</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of final component designs to our suppliers, or delays in the development and delivery of our core technologies and new vehicle models;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recruit, hire and train skilled employees;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solid partnership with our suppliers;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prevent budget overruns.</w:t>
      </w:r>
    </w:p>
    <w:p>
      <w:pPr>
        <w:spacing w:after="0" w:line="14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Historically, automobile customers have expected auto companies to periodically introduce new and improved vehicle models. However, we have limited experience designing, testing, manufacturing, marketing and selling our electric vehicles and therefore cannot assure you that we will be able to introduce new or improved vehicle models at a pace that meets customer expectations. Nor can we guarantee that the vehicle models we roll out from time to time will achieve market success. If our new vehicle models or upgraded versions of existing vehicle models are not well received by customers, our brand image and business performance may be adversely affected.</w:t>
      </w:r>
    </w:p>
    <w:p>
      <w:pPr>
        <w:spacing w:after="0" w:line="11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Any of the foregoing could have a material adverse effect on our results of operations and growth prospects.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We have not been profitable, and only generated positive cash flows from operations in certain periods.</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have not been profitable since our inception, and only generated positive cash flows from operations in certain periods. We incurred net losses of RMB14,437.1 million, RMB20,719.8 million and RMB22,401.7 million for the years ended December 31, 2022, 2023 and 2024, respectively. For the six months ended June 30, 2024 and 2025, we had net losses of RMB10,230.6 million and RMB11,744.8 million (US$1,639.5 million), respectively. In addition, although we generated positive operating cash flows in 2021, we had negative operating cash flows of RMB3,866.0 million, RMB1,381.5 million and RMB7,849.2 million in 2022, 2023 and 2024, respectively. For the six months ended June 30, 2024 and 2025, we had negative operating cash flows of RMB10,027.8 million and RMB10,926.4 million (US$1,525.3 million), respectively.</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may continue to record net losses and negative operating cash flows in the near future. We may not be able to fulfill our obligations in providing vehicles and services to our users in respect of advances from customers, the failure of which may negatively affect our cash flow position. If we fail to generate sufficient revenue from our operations, or if we fail to maintain sufficient cash and financing, we may not have sufficient cash flows to fund our business, operations and capital expenditure and our business and financial position will be adversely affected.</w:t>
      </w:r>
    </w:p>
    <w:p>
      <w:pPr>
        <w:spacing w:after="0" w:line="11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made significant up-front investments in research and development, power network, sales and service network, manufacturing facilities as well as marketing activities to rapidly develop and expand our business. We expect to continue to invest significantly in these areas to further develop and expand our business, and these investments may not result in an increase in revenue or positive cash flow on a timely basis, or at all. For example, we are developing new products to cover broader market segments and various core technologies such as assisted and intelligent driving technologies. We cannot assure you that we will be able to successfully execute our strategies and compete successfully against existing or future competitors in these areas. Additionally, the electric vehicle industry is witnessing intense price competition as many players adopt aggressive pricing strategies to gain market share. We may need to adjust our pricing, which could lead to a direct contraction of our margin levels, and adversely affect our financial condition and results of operations.</w:t>
      </w:r>
    </w:p>
    <w:p>
      <w:pPr>
        <w:spacing w:after="0" w:line="329"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There can be no assurance that we will not experience liquidity problems in the future. We may not generate sufficient revenues, or we may incur substantial losses for a number of reasons, including lack of demand for our vehicles and services, increasing competition, challenging macro- economic environment, as well as other risks discussed herein, and we may incur unforeseen expenses, or encounter difficulties, complications and delays in generating revenue or achieving profitability. Moreover, our operation efficiency also has a significant impact on our ability to generate profits. Failure to continuously improve our operation efficiency may lead to a decline in our net revenues, income and profitability. If we are unable to achieve profitability, we may have to reduce the scale of our operations, which may impact our business growth and adversely affect our financial condition and results of operations.</w:t>
      </w:r>
    </w:p>
    <w:p>
      <w:pPr>
        <w:spacing w:after="0" w:line="11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we face risks with respect to our capability to obtain sufficient external equity or debt financing. The electric vehicle industry that we operate in is highly capital-intensive, requiring significant capital for research and development, production capacity enhancement, and sales and service network expansion. Our financing efforts may be influenced by a number of factors, including general market conditions, regulatory uncertainties, and investor acceptance of our business plan. In particular, as we continue to advance our expansion into the international markets, we may be unsuccessful in new geographic markets as expected, which could raise concerns among investors and have a material adverse impact on our ability to obtain sufficient financing to support our further business development. If we are unable to obtain external financing in a timely manner on acceptable terms, we may fail to implement our business plans or encounter disruptions in our operating activities, and our business, financial condition and results of operations would be adversely affected.</w:t>
      </w:r>
    </w:p>
    <w:p>
      <w:pPr>
        <w:spacing w:after="0" w:line="200" w:lineRule="exact"/>
        <w:rPr>
          <w:sz w:val="20"/>
          <w:szCs w:val="20"/>
          <w:color w:val="auto"/>
        </w:rPr>
      </w:pPr>
    </w:p>
    <w:p>
      <w:pPr>
        <w:spacing w:after="0" w:line="206" w:lineRule="exact"/>
        <w:rPr>
          <w:sz w:val="20"/>
          <w:szCs w:val="20"/>
          <w:color w:val="auto"/>
        </w:rPr>
      </w:pPr>
    </w:p>
    <w:p>
      <w:pPr>
        <w:jc w:val="both"/>
        <w:ind w:left="1260" w:right="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in independent manufacturing. Any delays in the manufacturing and launching of our products, or ramping up of our production capacity, could have a material adverse effect on our business.</w:t>
      </w:r>
    </w:p>
    <w:p>
      <w:pPr>
        <w:spacing w:after="0" w:line="67"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Currently, we manufacture our vehicles in the first advanced manufacturing base, or the F1 Plant, the second advanced manufacturing base, or the F2 Plant, and the third advanced manufacturing base, or the F3 Plant. As we have limited experience independently operating these manufacturing bases, we are subject to risks of delays in the manufacture and commercial release of new vehicle models. We have been expanding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product portfolio to target a broader market with our future vehicles, and to the extent we need to delay the launch of our vehicles, our growth prospects could be adversely affected as we may fail to grow our market share. We expect to introduce new vehicle models under each of our NIO, ONVO and FIREFLY brands, which will require us to consistently enhance our production capacity. We cannot assure you that we will be able to ramp up our production and deliver the vehicle models at a pace that meets customer expectations. We also plan to periodically perform facelifts or refresh existing models, which could also be subject to delays. We may introduce in the future new or unique manufacturing processes and design features for our products. As we expand our vehicle offerings and global footprint, there is no guarantee that we will be able to successfully and timely introduce and scale such processes or features. Furthermore, we rely on third-party suppliers for the provision and development of many of the key components and materials used in our vehicles. To the extent our suppliers experience any delays in providing us with or developing necessary components, we could experience delays in delivering on our timelines.</w:t>
      </w:r>
    </w:p>
    <w:p>
      <w:pPr>
        <w:spacing w:after="0" w:line="11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our manufacturing model has transitioned from joint manufacturing to independent manufacturing, potentially introducing new risks. Such a shift poses additional challenges due to our limited experience in manufacturing independently. The intricacies of overseeing all aspects of production independently, such as managing the entire production line and supervising production personnel, may lead to unforeseen obstacles in maintaining efficiency and timeliness, and, ultimately, delays in product launch and delivery. Therefore, we may be required to invest in more time and resources to assure that vehicles manufactured at our own facilities comply with our quality standards and regulatory requirements. We have limited experience in managing our manufacturing workforce, and we may also face challenges in providing training to our production personnel. Additionally, we cannot assure you that we will be able to attract or retain qualified personnel or other highly skilled employees in a timely and cost-efficient manner. Any failure to effectively manage or provide adequate training to our manufacturing workforce and production personnel, as well as attract or retain qualified personnel, may result in delays in production, reduced efficiency, and potential quality issues.</w:t>
      </w:r>
    </w:p>
    <w:p>
      <w:pPr>
        <w:spacing w:after="0" w:line="12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Furthermore, we may need to expand or convert our existing manufacturing facilities in the future to ramp up the production of our current and future vehicle models. The expansion or conversion of our manufacturing facilities could experience delays or other difficulties, potentially affecting the timeline for increasing production capacity. Moreover, as we increase our production capacity and improve our operation efficiency, significant capital may also be required to maintain our property, plant and equipment, and such costs may exceed our current anticipations. There is substantial uncertainty about our ability to achieve these objectives. We cannot assure you that we will be able to complete the expansion or conversion of our manufacturing bases or ramp up our production capacity on schedule and within budget.</w:t>
      </w:r>
    </w:p>
    <w:p>
      <w:pPr>
        <w:spacing w:after="0" w:line="119"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Any delay in production ramp-up of our current vehicle models, or in the development, manufacture, launch and production ramp-up of our future vehicle models, including in the build-out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spacing w:after="0" w:line="19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Rising international political tension, including changes in U.S. and European international trade policies and other cross-border investment regulations, particularly with regard to China, may adversely impact our business and operating results.</w:t>
      </w:r>
    </w:p>
    <w:p>
      <w:pPr>
        <w:spacing w:after="0" w:line="10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U.S. government has made statements and taken certain actions that may lead to changes in U.S. and international trade policies towards China. It remains unclear what additional actions, if any, will be taken by the U.S. or other governments with respect to international trade agreements, the imposition of tariffs on goods imported into the United States, tax policy related to international commerce, or other trade matters.</w:t>
      </w:r>
    </w:p>
    <w:p>
      <w:pPr>
        <w:spacing w:after="0" w:line="32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closely monitoring potential changes in international trade policy and assessing the potential impact of these and other trade policy changes on our business operations and financial performance. Tensions between the United States and China in recent years have led to additional or higher tariffs imposed by the United States on products imported from China and restrictions on the sale of certain products into the United States. China has responded by imposing, and proposing to impose, additional or higher tariffs on products imported from the United States, among other measures. Any unfavorable government policies on international trade, such as capital controls or tariffs, may affect the demand for our products and services,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impact the competitive position of our products or prevent us from selling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32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we have been closely monitoring policies in the United States designed to restrict certain Chinese companies from supplying or operating in the U.S. market. These policies include the Clean Network project initiated by the U.S. Department of State in August 2020, the Executive Order on Protecting America’s Sensitive Data from Foreign Adversaries published in June 2021, and new authorities granted to the Department of Commerce to prohibit or restrict the use of certain information and communications technology and services from Chinese companies. Utilizing these new authorities, in January 2025, the Department of Commerce Bureau of Industry and Security (BIS) announced a final rule prohibiting transactions involving the sale or import of connected vehicles when the integrated software has a sufficient nexus to China. Additionally, the U.S. Department of Defense has included dozens of prominent Chinese companies on its list of “Chinese military companies” ​(CMC) that are “operating directly or indirectly in the United States” in accordance with Section 1260H of the National Defense Authorization Act.</w:t>
      </w:r>
    </w:p>
    <w:p>
      <w:pPr>
        <w:spacing w:after="0" w:line="333"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Likewise, we are monitoring policies in the United States aimed at restricting the export of items and technology subject to U.S. jurisdiction to Chinese companies. The United States and various foreign governments have imposed license requirements and restrictions on the export of technologies and products to China, or voiced the intention to do so. For instance, since 2022, the United States has imposed increasingly strict export control measures relating to exports of semiconductors to China. In October 2023, BIS promulgated two new rules that expanded export controls to cover a broader array of advanced semiconductors and semiconductor manufacturing equipment. Similarly, in January 2025, BIS released an interim final rule that established licensing requirements for the export of advanced computing integrated circuits that facilitate advanced artificial intelligence (AI) research and development, as well as certain AI model technology. These recent export controls are, in part, intended to restrict China’s ability to obtain advanced computing chips, develop and maintain supercomputers, and manufacture advanced semiconductors. These measures also restrict the ability of U.S. persons to provide “support” for semiconductor manufacturing and related activities in China and may seriously affect the ability of Chinese companies to purchase or obtain certain semiconductor manufacturing equipment or advanced chips. The implementation, interpretation and impact on our business of these rules and other regulatory actions taken by the U.S. government is uncertain. These actions and/or other actions that may be taken by the governments of either the U.S. or China, or both (including in response to recent increased tensions), could hinder our ability to transfer our U.S.- origin software to China, source U.S.-origin software and components or otherwise access U.S. technology, which could materially and adversely affect our business, results of operations and financial condition.</w:t>
      </w:r>
    </w:p>
    <w:p>
      <w:pPr>
        <w:spacing w:after="0" w:line="33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United States has also taken efforts to limit U.S. investment in China. On October 28, 2024, the U.S. Department of the Treasury issued a final rule to prohibit U.S. investment in Chinese companies active in developing certain national security technologies (Outbound Investment Rule). The Outbound Investment Rule targets investments involving persons and entities associated with “countries of concern,” a designation currently limited to China. In effect since January 2025, the Outbound Investment Rule imposes investment prohibitions and notification requirements on a range of investments in companies engaged in activities relating to three sectors: (i) semiconductors and microelectronics, (ii) quantum technologies, and</w:t>
      </w:r>
    </w:p>
    <w:p>
      <w:pPr>
        <w:spacing w:after="0" w:line="3" w:lineRule="exact"/>
        <w:rPr>
          <w:sz w:val="20"/>
          <w:szCs w:val="20"/>
          <w:color w:val="auto"/>
        </w:rPr>
      </w:pPr>
    </w:p>
    <w:p>
      <w:pPr>
        <w:jc w:val="both"/>
        <w:ind w:left="1260" w:right="419"/>
        <w:spacing w:after="0" w:line="253" w:lineRule="auto"/>
        <w:tabs>
          <w:tab w:leader="none" w:pos="15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systems. Persons from countries of concern engaged in these activities are defined as “covered foreign persons.” Investments by U.S. persons subject to the Outbound Investment Rule include the acquisition of equity or a contingent equity interest, the provision of certain debt financing, the conversion of contingent equity interest into equity interest, involvement in a greenfield or brownfield investment, entrance into a joint venture, and the acquisition of a limited partner interest in non-U.S. pooled investment fund.</w:t>
      </w:r>
    </w:p>
    <w:p>
      <w:pPr>
        <w:spacing w:after="0" w:line="33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Importantly, the Outbound Investment Rule excludes some investments from the scope of covered transactions, including those in publicly traded securities listed on a national stock exchange. U.S. persons’ acquisitions of publicly traded securities, such as our ADSs, will therefore be exempted from the scope of covered transactions under the Outbound Investment Rule. We believe NIO Inc. is not a “Covered Foreign Person” as defined in the Outbound Investment Rule because NIO Inc. does not engage in any “covered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activity” as defined in the Outbound Investment Rule or otherwise meets the definition of Covered Foreign Persons provided in the Outbound Investment Rule. However, there is no assurance that Treasury will take the same view. If NIO Inc. is deemed to be a covered foreign person engaged in the development of specified AI technologies and services, and therefore subject to the Outbound Investment Rule, our ability to raise capital or contingent equity capital from U.S. investors would be limited and could negatively affect our stock price. As a result, our financial condition, business, results of operations and prospects could also be adversely affected.</w:t>
      </w:r>
    </w:p>
    <w:p>
      <w:pPr>
        <w:spacing w:after="0" w:line="336"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On February 21, 2025, the White House released the “America First Investment Policy” memorandum, or the Investment Policy, which outlined several initiatives to restrict investments involving China. While legislative and regulatory actions are required to effect these proposed changes, the Investment Policy may expand enforcement against inbound investment from China to the United States by potentially implementing broader, sector-based restriction on PRC investments in the U.S., expanding CFIUS’ jurisdiction over greenfield investment by Chinese companies, and replacing open-ended mitigation agreements with mitigation agreements prescribing specific timeframes and concrete actions. Additionally, the Investment Policy proposes to create restrictions on U.S. investments in China additional to those already imposed under the Outbound Investment Rule, by potentially expanding industry sectors covered in sectors by existing U.S. outbound investment regulations, supplementing outbound investment restrictions with sanctions, and directing a review to suspend or terminate the 1984 United States-The People’s Republic of China Income Tax Convention. As the Investment Policy and its related legislative and regulatory proposals are still relatively new, it is unclear how these policies, and any future policies concerning investments between the U.S. and China, will be interpreted, amended and implemented by U.S. government authorities. These policies may restrict our ability to implement our investment strategy and could adversely affect our business and prospects.</w:t>
      </w:r>
    </w:p>
    <w:p>
      <w:pPr>
        <w:spacing w:after="0" w:line="34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response, China has implemented, and may further implement, measures in response to the changing trade policies, treaties, tariffs and sanctions and restrictions against Chinese companies initiated by the U.S. Moreover, our deployment of advanced core technologies in ADAS, whether developed internally or acquired from third parties, may exposes us to risks associated with sanctions imposed by the U.S. government.</w:t>
      </w:r>
    </w:p>
    <w:p>
      <w:pPr>
        <w:spacing w:after="0" w:line="32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Furthermore, there have been media reports on deliberations within the U.S. government regarding potentially limiting or restricting China-based companies from accessing U.S. capital markets, and delisting China-based companies from U.S. national securities exchanges. If any such deliberations were to materialize, the share price of China-based issuers listed in the United States such as us would be materially and adverse affected. The risk and uncertainty associated with such deliberations could also have a negative impact on the price of our ADSs. Also, a prohibition against our securities trading in the United States or any threat thereof could significantly affect our ability to raise capital on terms acceptable to us, or at all, which would have a material adverse impact on our business, financial condition, and prospects.</w:t>
      </w:r>
    </w:p>
    <w:p>
      <w:pPr>
        <w:spacing w:after="0" w:line="12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may also face protectionist policies that could, among other things, hinder our ability to execute our business strategies and put us at a competitive disadvantage relative to domestic companies. For example, starting from October 30, 2024, the European Commission imposed definitive countervailing duties on imports of battery electric vehicles (BEVs) from China for a period of five years. These and similar developments may mark a period of increased trade tensions and higher tariff rates.</w:t>
      </w:r>
    </w:p>
    <w:p>
      <w:pPr>
        <w:spacing w:after="0" w:line="11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Furthermore, potential changes in tax policies related to international commerce could also affect our business. For example, 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Various tax jurisdictions have either enacted legislation to adopt certain components of the Pillar Two Model Rules starting in 2024 with additional components to be adopted in later years, or announced their plans to enact such legislation in future years. We will continue to evaluate the impact of such legislative initiatives in various tax jurisdictions in which we operate. However, there are uncertainties regarding the rules and implementations, and we cannot assure you that such changes will not have a negatively effect on our financial condition.</w:t>
      </w:r>
    </w:p>
    <w:p>
      <w:pPr>
        <w:spacing w:after="0" w:line="113"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Rising political tensions could reduce levels of trades, investments, technological exchanges, and other economic activities between the two major economies, which would have a material adverse effect on global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economic conditions and the stability of global financial markets. Any of these factors could have a material adverse effect on our business, prospects, financial condition, and results of operations.</w:t>
      </w:r>
    </w:p>
    <w:p>
      <w:pPr>
        <w:spacing w:after="0" w:line="144"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or elimination of government and economic incentives or governmental policies which are favorable for electric vehicles and domestically produced vehicles could have a material adverse effect on our business.</w:t>
      </w:r>
    </w:p>
    <w:p>
      <w:pPr>
        <w:spacing w:after="0" w:line="10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growth has benefited significantly from the government subsidies, economic incentives and government policies that support the growth of new energy vehicles. Favorable government incentives and subsidies in China include one-time government subsidies, exemption from vehicle purchase tax, exemption from license plate restrictions in certain cities, preferential utility rates for charging facilities and more. Changes in government subsidies, economic incentives and government policies to support NEVs could adversely affect the results of our operations. For example, the Shanghai government has offered exemptions from license plate restrictions for new energy vehicles in recent years, most recently extending the exemption for NEVs until the end of 2025. If the Shanghai government stops offering such exemptions, our sales in Shanghai could be adversely affected. In addition, in recent years, local governments in China have been implementing incentives and subsidy policies for consumers in the NEV sector, such as NEV replacement subsidies. If these favorable government incentives and subsidies are scaled back in the future, it could potentially reduce consumers’ willingness to purchase NEVs, thereby negatively impacting our vehicle sales.</w:t>
      </w:r>
    </w:p>
    <w:p>
      <w:pPr>
        <w:spacing w:after="0" w:line="33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Besides policies of local governments, China’s central government has adopted an NEV credit scheme that incentivizes original equipment manufacturers, or OEMs, to increase the production and sale of NEVs. On June 29, 2023, the Ministry of Industry and Information Technology, the Ministry of Finance, the Ministry of Commerce, the General Administration of Customs, and the State Administration for Market Regulation, jointly promulgated the Decision on Amending Measures for the Parallel Administration of the Average Fuel Consumption and New Energy Vehicle Credits of Passenger Vehicle Enterprises, which took effect on August 1, 2023. Under these measures, each of the vehicle manufacturers and vehicle importers above a certain scale is required to, among other things, maintain its new energy vehicles credits, or the NEV credits above zero, and NEV credits can be earned only by manufacturing or importing NEVs. Excess positive NEV credits, or the automotive regulatory credits, are tradable and may be sold to other enterprises through a credit trading scheme established by the Ministry of Industry and Information Technology. Negative NEV credits can be offset by purchasing NEV credits from other manufacturers or importers. We have earned positive NEV credits through manufacturing new energy vehicles and sold some of the credits to other vehicle manufacturers or importers. We generated revenue from the sale of these credits totaling RMB67.3 million, RMB10.6 million, RMB1.5 million and nil in 2022, 2023 and 2024 and for the six months ended June 30, 2025, respectively. There is no guarantee that we will continue to earn a similar level or amount of credits going forward. Moreover, as the prices for NEV credits are subject to market demand, which affects the amount of credits generated by other vehicle manufacturers during a given period, we cannot assure you that we will continue to sell our credits at the current price or a higher price. Any changes in government policies to restrict or eliminate such credits trading could adversely affect our business, financial condition and results of operations.</w:t>
      </w:r>
    </w:p>
    <w:p>
      <w:pPr>
        <w:spacing w:after="0" w:line="32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June 19, 2023, the Ministry of Industry and Information Technology, the Ministry of Finance and the State Taxation Administration jointly promulgated the Announcement on Continuing and Optimizing the Vehicle Purchase Tax Reduction and Exemption Policies for New Energy Vehicles. Pursuant to such announcement, the NEVs purchased from January 1, 2024 to December 31, 2025, shall be exempt from vehicle purchase tax, with the amount of tax exemption for each new energy passenger vehicle not exceeding RMB30,000, and the exemption from vehicle purchase tax on the NEVs purchased from January 1, 2026 to December 31, 2027, shall be reduced by half such that the amount does not exceeding RMB15,000. The reduction in vehicle purchase tax exemptions may negatively impact our sales performance.</w:t>
      </w:r>
    </w:p>
    <w:p>
      <w:pPr>
        <w:spacing w:after="0" w:line="340"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Furthermore, China’s central government provides certain local governments with funds and subsidies to support the roll-out of charging infrastructure. See “Item 4. Information on the Company — B. Business Overview — Regulations — Favorable Government Policies Relating to New Energy Vehicles in the PRC” in the 2024 Annual Report. These policies are subject to change and beyond our control. We cannot assure you that any changes would be favorable to our business. Furthermore, any reduction, elimination, delayed payment or discriminatory application of government subsidies and economic incentives because of policy changes, the reduced need for such subsidies and incentives due to the perceived success of electric vehicles,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fiscal tightening or other factors may result in the diminished competitiveness of the alternative fuel vehicle industry generally or our electric vehicles in particular. In addition, as we seek to increase our revenues from vehicle sales, we may also experience an increase in accounts receivable relating to government subsidies. However, the collection of the government subsidies is subject to the appropriation arrangement and cadence of the governmental authority. Any uncertainty or delay in collection of the government subsidies may also have an adverse impact on our financial condition. For more details, please refer to “10. Other Non-current Assets” set forth in our consolidated financial statements included in the 2024 Annual Report. Any of the foregoing could materially and adversely affect our business, results of operations, financial condition and prospects.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our suppliers, many of whom are our single source suppliers for the components they supply.</w:t>
      </w:r>
    </w:p>
    <w:p>
      <w:pPr>
        <w:spacing w:after="0" w:line="173"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Each of our vehicle models uses a great amount of purchased parts from suppliers, many of whom are currently our single source suppliers for these components, and we expect that this will be similar for any future vehicle we may produce. The supply chain exposes us to multiple potential sources of delivery failure or component shortages. While we obtain components from multiple sources whenever possible, similar to other players in our industry, many of the components used in our vehicles are components we purchased from a single source. To date, we have not qualified alternative sources for most of the single sourced components used in our vehicles and we do not maintain long-term agreements with some of our single source suppliers. In addition, part of our supply chain is geographically concentrated. The lack of geographic diversification in our suppliers could lead to increased costs and delays in production of our vehicles. Furthermore, our collaboration with startup suppliers poses a potential risk to our operations. These suppliers may lack the experience and resources to effectively manage their supply chains, leading to potential disruptions in the delivery of goods or services to us. In addition, operational inefficiencies within these suppliers may lead to inconsistencies in product or service quality, thereby affecting our own ability to deliver high-quality products or services to our customers. Some of these suppliers may have limited financial resources and rely on external financing to sustain their operations. If they experience financial constraints or fail to sustain their operations, it could impact their ability to meet our requirements, potentially causing delays or disruptions in our operations.</w:t>
      </w:r>
    </w:p>
    <w:p>
      <w:pPr>
        <w:spacing w:after="0" w:line="333"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Any disruption in the supply of components, whether or not from a single source supplier, could temporarily disrupt the production of our vehicles until an alternative supplier is fully qualified or is otherwise able to supply us with the required material. Qualifying alternative suppliers or developing our own replacements for certain highly customized components of our vehicles may be time-consuming and costly. There can be no assurance that we would be able to successfully retain alternative suppliers or supplies on a timely basis, on acceptable terms or at all. In addition, to the extent that we need to find alternative suppliers under time constraints, the alternative suppliers may not fully meet our requirements with respect to delivery speed, quantity or quality, thereby adversely affecting our business operations.</w:t>
      </w:r>
    </w:p>
    <w:p>
      <w:pPr>
        <w:spacing w:after="0" w:line="119"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Changes in business conditions, force majeure and other factors beyond our control or which we do not presently anticipate, could also affect our suppliers’ ability to deliver components to us on a timely basis. For example, the global supply constraint of semiconductor chips had negatively impacted our production activity and volume, as a result of which, we temporarily suspended the vehicle production activity in the F1 Plant for five working days starting from March 29, 2021. In May 2021, our vehicle delivery was adversely impacted for several days due to the volatility of semiconductor supply and certain logistical adjustments. In April 2022, we suspended our vehicle production as a result of the component shortages. In July 2022, the production of our ET7 and EC6 was constrained by the short supply of casting parts. Although the reduced production volume and number of vehicles delivered as a result of supply chain volatilities have not had a material impact on our liquidity and capital resources, our results of operations in these periods have been negatively affected. See “Item 3. Key Information — D. Risk Factors — Risks Related to Our Business and Industry — Our business, financial condition and results of operations may be adversely affected by natural disasters, health epidemics and other outbreaks” in our 2024 Annual Report. While we have been working closely with supply chain partners and have been actively seeking alternative sources of supply, our production activity and results of operations may be impacted should the supply chain volatilities continue. In addition, even if we succeed in locating alternative sources of supply, cooperating with new suppliers will subject us to uncertainties with respect to the reliability of these suppliers and the quality of the components they provide. We cannot assure you that the new sources of component supply will enable us to meet the quality, price, design, engineering,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and production standards, as well as the production volumes to satisfy the market demand for our vehicles. Any defects of or quality issues with these components or any non-compliance incidents associated with these third -party suppliers could result in quality issues with our vehicles and hence compromise our brand image and results of operations. Any of the foregoing could materially and adversely affect our results of operations, financial condition and prospects.</w:t>
      </w:r>
    </w:p>
    <w:p>
      <w:pPr>
        <w:spacing w:after="0" w:line="173"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Battery Asset Company to provide Battery as a Service to our users. If Battery Asset Company fails to achieve smooth and stable operations, our Battery as a Service may be materially and adversely affected.</w:t>
      </w:r>
    </w:p>
    <w:p>
      <w:pPr>
        <w:spacing w:after="0" w:line="9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August 20, 2020, we introduced the Battery as a Service, or BaaS, which allows users to purchase electric vehicles and subscribe for the usage of batteries separately. If users opt to purchase a vehicle and subscribe for the battery under the BaaS, they can enjoy a deduction off the original vehicle purchase price and pay a monthly subscription fee for the battery.</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For each user under the BaaS model, we sell a battery to Wuhan Weineng Battery Asset Co., Ltd., or the Battery Asset Company, and the user subscribes for the usage of the battery from the Battery Asset Company. The service we provide to our users under the BaaS relies, in part, on the smooth operation of and stability and quality of service delivered by the Battery Asset Company, which we cannot guarantee. We invested in the Battery Asset Company with certain other investors since its establishment. The Battery Asset Company subsequently completed additional financings in December 2020, April 2021, August 2021 and July 2022. As of the date of this prospectus supplement, we beneficially own approximately 19.4% of the equity interests in the Battery Asset Company. As a result, we have significant influence, but not control, over the business operations of the Battery Asset Company. If it fails in delivering smooth and stable operations, we will suffer from negative customer reviews and even returns of products or services and our reputation may be materially and adversely affected.</w:t>
      </w:r>
    </w:p>
    <w:p>
      <w:pPr>
        <w:spacing w:after="0" w:line="115"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Additionally, given that we generate a portion of our total revenues from sales of battery and provision of service to the Battery Asset Company, our results of operations and financial performance will be negatively affected if the Battery Asset Company fails to operate smoothly. The Battery Asset Company may finance the purchase of batteries through issuance of equity and debt or bank borrowing. If the Battery Asset Company is unable to obtain future financings from the Battery Asset Company Investors or other third parties to meet its operational needs, it may not be able to make payments to us for the batteries purchased from us on time, to continue purchasing batteries from us and providing them to our users through battery subscription, or to otherwise maintain its healthy and sustainable operations. On the other hand, if the Battery Asset Company bears a significant rate of customer default on its payment obligations, its results of operations and financial performance may be materially impacted, which will in turn reduce the value of our and the Battery Asset Company Investors’ investments in the Battery Asset Company. In addition, in furtherance of the BaaS, we agreed to provide a guarantee to the Battery Asset Company for the default in payment of monthly subscription fees from users, while the maximum amount of guarantee that can be claimed shall not be higher than the accumulated service fees we receive from the Battery Asset Company. As the BaaS user base is expanding, if an increased number of default occurs, our results of operations and financial performance will be negatively affected. As of December 31, 2024, the guarantee liability we provided to Battery Asset Company was immaterial.</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required significant capital to develop and grow our business, including conducting research and development, manufacturing vehicles and enhancing production capacity, and establishing our power network and sales and service network. As our sales volume grows and our business rapidly develops, we expect to continue making significant investments in these areas. In addition, we may incur significant costs in connection with our services, including providing power solutions and honoring our commitments under our service package. Our ability to become profitable in the future will not only depend on our ability to successfully market our vehicles and other products and services but also to control our costs. If we are unable to cost efficiently design, manufacture, market and sell our vehicles and services, our margins, profitability and prospects will be materially and adversely affected.</w:t>
      </w:r>
    </w:p>
    <w:p>
      <w:pPr>
        <w:spacing w:after="0" w:line="12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Furthermore, in order to improve our operational efficiency, we continually evaluate and adjust our organizational structure, which have led to headcount cuts in the past that may have negatively affected our</w:t>
      </w: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reputation, brand image and our ability to retain the remaining qualified staff and skilled employees. We may continue to optimize our organizational structure in the future, the occurrence of which may pose negative implications on our competitive position, cost us qualified employees and subject us to potential employment lawsuits. Any of the above would negatively affect our business, financial condition and results of operations.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customer credit.</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offer auto financing arrangements to users directly through our subsidiaries. Under the financing arrangements we typically receive a small portion of the total vehicle purchase price at the commencement of the financing term, followed by a stream of payments over the financing term. To the extent our users fail to make payments on time under any of the foregoing arrangements, our results of operations may be adversely affected. As of June 30, 2025, the amount of auto financing receivables was RMB1,464.3 million (US$204.4 million). As we continue to grow our business, we may increase the amount of our auto financing receivables. We may fail to effectively manage the credit risks related to our auto financing arrangements. To the extent our users’ default on their obligations to us or fail to make payments on time under any of the foregoing arrangements, our results of operations may be adversely affected.</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credit risk of trade receivables.</w:t>
      </w:r>
    </w:p>
    <w:p>
      <w:pPr>
        <w:spacing w:after="0" w:line="14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trade receivables primarily include amounts of vehicle sales in relation of government subsidy to be collected from government on behalf of customers, current portion of auto financing receivables, current portion of battery installment and others. We have identified the risk characteristics of our customers and the related receivables, prepayments, deposits and other receivables which include size, type of the services or the products we provide, or a combination of these characteristics. Receivables with similar risk characteristics have been grouped into pools. For each pool, we consider the historical credit loss,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our receivables. Additionally, external data and macroeconomic factors are also considered. In 2023 and 2024 and for the six months ended June 30, 2025, we reversed RMB26.3 million, RMB3.8 million and RMB7.0 million (US$ 1.0 million) expected credit loss expense in selling, general and administrative expenses, respectively. As of June 30, 2025, the expected credit loss provision for the current and non-current assets were RMB102.9 million (US$14.4 million). We cannot assure you that all of our customers will not default on their obligations to us in the future, despite our efforts to conduct credit assessments on them.</w:t>
      </w:r>
    </w:p>
    <w:p>
      <w:pPr>
        <w:spacing w:after="0" w:line="389"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and we may issue additional equity or debt securities that may have an adverse effect on our shareholders or may otherwise adversely affect our business.</w:t>
      </w:r>
    </w:p>
    <w:p>
      <w:pPr>
        <w:spacing w:after="0" w:line="7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operate in the electric vehicle industry, which is highly capital-intensive. We will need significant capital to, among other things, conduct research and development and expand our production capacity as well as roll out our power network, and sales and service network. As we ramp up our production capacity and operations, we may also require significant capital to maintain our property, plant and equipment and such costs may be greater than anticipated.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may seek equity or debt financing to finance a portion of our capital expenditures. Such financing might not be available to us in a timely manner or on terms that are acceptable, or at all. Our substantial amount of currently outstanding indebtedness may also affect our ability to obtain financing in a timely manner and on reasonable terms.</w:t>
      </w:r>
    </w:p>
    <w:p>
      <w:pPr>
        <w:spacing w:after="0" w:line="106"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of, delay or cancel some or 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of our planned research, development, manufacturing and marketing activities or substantially change our corporate structure, any of which could materially harm our business. We might not be able to obtain any funding, and we might not have sufficient resources to conduct our business as projected, both of which could mean that we would be forced to curtail or discontinue our operations.</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issue additional equity or debt securities or obtain a credit facility. If we raise funds through the issuance of additional equity or debt, including convertible notes or debt secured by some or all of our assets, holders of any debt securities or preferred shares issued will have rights, preferences and privileges senior to those of holders of our ordinary shares in the event of liquidation. The terms of the convertible notes we issued do not restrict our ability to issue additional debt. If additional debt is issued, there is a possibility that once all senior claims are settled, there may be no assets remaining to pay out to the holders of ordinary shares. In addition, if we raise funds through the issuance of additional equity, whether through private placements or public offerings, such an issuance would dilute ownership of our current shareholders that do not participate in the issuance.</w:t>
      </w:r>
    </w:p>
    <w:p>
      <w:pPr>
        <w:spacing w:after="0" w:line="32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Furthermore, the terms of any additional debt securities we may issue in the future may impose restrictions on our operations, which may include limiting our ability to incur additional indebtedness, pay dividends on or repurchase our share capital, or make certain acquisitions or investments. In addition, we may be subject to covenants requiring us to satisfy certain financial tests and ratios, and our ability to satisfy such covenants may be affected by events outside of our control.</w:t>
      </w:r>
    </w:p>
    <w:p>
      <w:pPr>
        <w:spacing w:after="0" w:line="11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terms of the convertible notes we issued could delay or prevent an attempt to take over our company. The terms of the 2026 Notes, 2027 Notes, 2029 Notes and 2030 Notes require us to repurchase the respective notes in the event of a fundamental change. A takeover of our company would constitute a fundamental change. This could have the effect of delaying or preventing a takeover of our company that may otherwise be beneficial to our shareholders.</w:t>
      </w:r>
    </w:p>
    <w:p>
      <w:pPr>
        <w:spacing w:after="0" w:line="177"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warranty reserves may be insufficient to cover future warranty claims which could adversely affect our financial performance.</w:t>
      </w:r>
    </w:p>
    <w:p>
      <w:pPr>
        <w:spacing w:after="0" w:line="9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offer comprehensive warranty policies covering the entire vehicle as well as key electric components, including the battery, electric motor, and power electronic units. In addition to the standard warranty required by local laws and regulations, we also provide extended warranty services, with specific terms and conditions varying by markets and vehicle models. Our warranty program is similar to other auto company’s warranty programs intended to cover all parts and labor to repair defects in material or workmanship in the body, chassis, interior, electric system, battery, electric powertrain and other related vehicle parts. We plan to record and adjust warranty reserves based on changes in estimated costs and actual warranty costs. However, we have little experience with warranty claims regarding our vehicles or with estimating warranty reserves. As of June 30, 2025, we had warranty reserves in respect of our vehicles of RMB4,964.3 million (US$693.0 million). We cannot assure you that such reserves will be sufficient to cover future claims. We could, in the future, become subject to significant and unexpected warranty claims, resulting in significant expenses, which would in turn materially and adversely affect our results of operations, financial condition and prospects.</w:t>
      </w:r>
    </w:p>
    <w:p>
      <w:pPr>
        <w:spacing w:after="0" w:line="200" w:lineRule="exact"/>
        <w:rPr>
          <w:sz w:val="20"/>
          <w:szCs w:val="20"/>
          <w:color w:val="auto"/>
        </w:rPr>
      </w:pPr>
    </w:p>
    <w:p>
      <w:pPr>
        <w:spacing w:after="0" w:line="207"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patent or trademark infringement claims, which may be time-consuming and would cause us to incur substantial costs.</w:t>
      </w:r>
    </w:p>
    <w:p>
      <w:pPr>
        <w:spacing w:after="0" w:line="9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Companies, organizations or individuals, including our competitors, may hold or obtain patents, trademarks or other proprietary rights that would prevent, limit or interfere with our ability to make, use, develop, sell or market our vehicles or components, which could make it difficult for us to operate our business. From time to time, owners of patents or trademarks may contact us regarding their proprietary rights. Companies holding patents or other intellectual property rights may bring suits alleging infringement of such rights or otherwise assert their rights and urge us to take licenses. Our applications and uses of patented technologies and trademarks relating to, among others, our designs, software or artificial intelligence technologies could subject us to the risk of infringing existing intellectual property rights.</w:t>
      </w:r>
    </w:p>
    <w:p>
      <w:pPr>
        <w:spacing w:after="0" w:line="119"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For example, beginning in 2021, a German automotive manufacturer claimed that we infringed its trademark rights based on resemblance of model designations of certain of our vehicles with those of the manufacturer’s. For that purpose, the manufacturer (i) filed an infringement lawsuit with the Munich Regional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Court against us and (ii) brought certain opposition and cancellation proceedings against our trademark applications and registrations of the aforesaid model designations in front of competent intellectual property authorities in certain jurisdictions. Although we believe the allegations of trademark infringement to be unjustified, we had taken precautionary measures and renamed certain car models involved in the infringement claim before our entry into the European market to avoid substantial impact on our sales operations in Europe and other jurisdictions. In January 2023, the Munich Regional Court made a judgment in favor of the manufacturer, which was upheld by the Munich Higher Regional Court in April 2024. However, this decision had limited impact on our operations in Europe as we had already taken precautionary measures and renamed our car models in Europe. Meanwhile, in November 2024, the competent intellectual property authority in Australia rejected the manufacturer’s objection to our trademarks. As of the date of this prospectus supplement, some proceedings in certain jurisdictions are still ongoing. We cannot assure you that the final decisions in the remaining jurisdictions will be in our favor. We may also be subject to additional patent or trademark disputes with other parties. We may have to incur substantial costs in responding to these disputes, similar to our experience with the German manufacturer discussed above. If we are not permitted to use any of our existing model names in jurisdictions where our vehicles are offered, our sales performance there may be negatively affected, which in turn would harm our results of operations and financial condition.</w:t>
      </w:r>
    </w:p>
    <w:p>
      <w:pPr>
        <w:spacing w:after="0" w:line="33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we are determined to have infringed upon a third party’s intellectual property rights, we may be required to do one or more of the following: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incorporating certain components into, or using vehicles or offering goods or services that incorporate or use the challenged intellectual property;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 license from the holder of the infringed intellectual property right, which license may not be available on reasonable terms or at all;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vehicles or other goods or services;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alternative branding for our products and services.</w:t>
      </w:r>
    </w:p>
    <w:p>
      <w:pPr>
        <w:spacing w:after="0" w:line="14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ind w:left="1260" w:right="41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A filing with the CSRC is required for the Primary Offering, and the approval of or the filing with the CSRC or other PRC government authorities may be required in connection with our future offshore listings and capital raising activities. We cannot predict whether or for how long we will be able to obtain such approval or filing.</w:t>
      </w:r>
    </w:p>
    <w:p>
      <w:pPr>
        <w:spacing w:after="0" w:line="8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require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uncertain. If the CSRC approval is required for any of our offshore listings and capital raising activities, it is uncertain whether we can or how long it will take us to obtain the approval and, even if we obtain such CSRC approval, such CSRC approval could be rescinded. Any failure to obtain or delay in obtaining the CSRC approval for our offshore listings and capital raising activities if such approval is required, or a rescission of such CSRC approval that we have obtained, would subject us to sanctions imposed by the CSRC or other PRC regulatory authorities, which could include fines and penalties on our operations in the PRC, restrictions or limitations on our ability to pay dividends outside of the PRC, and other forms of sanctions that may materially and adversely affect our business, financial condition, and results of operations.</w:t>
      </w:r>
    </w:p>
    <w:p>
      <w:pPr>
        <w:spacing w:after="0" w:line="33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July 6, 2021, the PRC government authorities issued the Opinions on Strictly Cracking Down Illegal Securities Activities in Accordance with the Law, which called for the enhanced administration over illegal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securities activities and supervision of overseas-listed China-based companies, proposed to revise the regulation governing the overseas issuance and listing of shares by such companies and clarified the responsibilities of competent domestic industry regulators and government authorities.</w:t>
      </w:r>
    </w:p>
    <w:p>
      <w:pPr>
        <w:spacing w:after="0" w:line="10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Companies and five supporting guidelines, which took effect on March 31, 2023. According to these rules, the issuer or a major domestic operating company designated by the issuer, as the case may be, shall file with the CSRC, among other things,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Non-compliance with these rules or an overseas listing completed in breach of them may result in a warning on the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which organize or instigate the illegal acts, or conceal matters resulting in the illegal acts, may be fined between RMB1 million to RMB10 million. On February 17, 2023, the CSRC issued the Notice on Administrative Arrangements for the Filing of Domestic Enterprise’s Overseas Offering and Listing, which stipulates the domestic enterprises like us that have completed overseas listings are not required to file with the CSRC in accordance with these rules immediately, but shall carry out filing procedures as required if we conduct refinancing or fall within other circumstances that require filing with the CSRC.</w:t>
      </w:r>
    </w:p>
    <w:p>
      <w:pPr>
        <w:spacing w:after="0" w:line="32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Considering that these rules have been promulgated recently, there are still some uncertainties about how to further refine and implement the requirements, which needs to be further guided and clarified by the CSRC and other regulatory authorities. If we have subsequent filing or reporting matters in the future, such as future offshore listings, refinancing and other capital raising activities, as well as other major events, including but not limited to the change of control, investigated or punished by overseas securities regulatory authorities or competent authorities, changing listing status or listing sector, terminating the listing voluntarily or forcibly, and changing our major business activities, given the substantial uncertainties surrounding the latest CSRC filing requirements at this stage, we cannot assure you that we will be able to complete the filings or reporting and fully comply with the new rules and requirements in a timely manner or at all. See “Item 4. Information on the Company — B. Business Overview — Regulations — M&amp;A Rules and Overseas Listing” in the 2024 Annual Report.</w:t>
      </w:r>
    </w:p>
    <w:p>
      <w:pPr>
        <w:spacing w:after="0" w:line="12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the opinion of Han Kun Law Offices, our counsel as to certain PRC legal matters, other than the CSRC filing that we are required to submit after the completion of the offering made pursuant to this prospectus supplement, we and our PRC subsidiaries are not required to obtain permissions from the CSRC for the Primary Offering. However, there can be no assurance that relevant PRC regulatory authorities, including the CSRC, would reach the same conclusion. If the CSRC disagrees with our view on the applicability of the CSRC filing requirements to the Primary Offering or if we fail to complete the filing procedures with the CSRC for any future overseas securities offering, we may face sanctions by the CSRC, which may include fines and penalties, limitations on our operating privileges in China, restrictions on or prohibition of the payments or remittance of dividends by our subsidiaries in China, restrictions on or delays to our future overseas securities offerings, or other actions that could have a material and adverse effect on our business, financial condition, results of operations, reputation and prospects, as well as the trading price of the ADSs.</w:t>
      </w:r>
    </w:p>
    <w:p>
      <w:pPr>
        <w:spacing w:after="0" w:line="32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CSRC or other PRC regulatory authorities also may take actions requiring us, or making it advisable for us, to halt our offshore listings or future capital raising activities before settlement and delivery of the proceeds hereby. Consequently, if you engage in market trading or other activities in anticipation of and prior to settlement and delivery, you do so at the risk that settlement and delivery may not occur. In addition, if the CSRC or other regulatory authorities later promulgate new rules or explanations requiring that we obtain their approvals or accomplish the required filing or other regulatory procedures for our offshore listings or future capital raising activities, we may be unable to obtain a waiver of such approval requirements, if and when procedures are established to obtain such a waiver. Any uncertainties or negative publicity regarding such approval, filing or other requirements could materially and adversely affect our business, prospects, financial condition, reputation, and the proceeds of the shares.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directors and officers have been named as defendants in shareholder class action lawsuits and legal proceedings, which could have a material adverse impact on our business, financial condition, cash flows and reputation.</w:t>
      </w:r>
    </w:p>
    <w:p>
      <w:pPr>
        <w:spacing w:after="0" w:line="10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Several shareholder class action lawsuits have been filed against us and certain of our directors and officers. Between March and July 2019, several securities class action lawsuits were filed against us, certain of our directors and officers, our underwriters in the IPO and our process agent. Some of these actions have been withdrawn, transferred, consolidated or dismissed. One action commenced during the aforementioned time period remains pending, under the caption In re NIO, Inc. Securities Litigation, 1:19-cv-01424, in the U.S. District Court for the Eastern District of New York (E.D.N.Y.). The plaintiffs in this case allege, in sum and substance, that our statements in the registration statement and/or other public statements were false or misleading and in violation of the U.S. federal securities laws. The Court denied our motion to dismiss in August 2021, and granted plaintiffs’ motion for class certification in August 2023. Discovery is ongoing. The summary judgment briefing schedule is adjourned indefinitely pending resolution of certain discovery issues.</w:t>
      </w:r>
    </w:p>
    <w:p>
      <w:pPr>
        <w:spacing w:after="0" w:line="343"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Separately, between August and September 2022, two complaints were filed against us, our CEO and our then-CFO in the federal district court for the Southern District of New York (S.D.N.Y.), in the actions captioned Saye v. NIO Inc. et al., Case No. 1:22-cv-07252 (S.D.N.Y.) and Bohonok v. NIO Inc. et al., Case No. 1:22-cv-07666 (S.D.N.Y.). Relying on a short seller report (see “Item 3. Key Information — D. Risk Factors — Risks Related to Our ADSs and Class A Ordinary Shares — Techniques employed by short sellers may drive down the market price of our ADSs” in the 2024 Annual Report), these complaints allege that certain of our public disclosures between August 2020 and July 2022 contained false statements or omissions in violation of the Exchange Act. On December 14, 2022, the court consolidated the two actions and appointed a lead plaintiff. Briefing on our motion to dismiss was completed on July 31, 2023. The Court’s decision on the motion to dismiss is pending. On August 28, 2025, a complaint was filed against us, our CEO and our former CFO in S.D.N.Y. (Case No. 1:25-cv-07176). The new action is related to the class action that has been pending in the same court (Saye v. NIO et al., 1:22-cv-7252), as discussed above.</w:t>
      </w:r>
    </w:p>
    <w:p>
      <w:pPr>
        <w:spacing w:after="0" w:line="109"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currently unable to estimate the potential loss, if any, associated with the resolution of such lawsuits, if they proceed. We anticipate that we will continue to be a target for lawsuits in the future, including class action lawsuits brought by shareholders. From time to time, we may also be involved in legal proceedings in the ordinary course of our business.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changes to our business practices, or negative publicity, and thus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ADSs, Class A Ordinary Shares and the Primary Offering</w:t>
      </w:r>
    </w:p>
    <w:p>
      <w:pPr>
        <w:spacing w:after="0" w:line="22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Class A ordinary shares and/or ADSs could adversely affect their market price.</w:t>
      </w:r>
    </w:p>
    <w:p>
      <w:pPr>
        <w:spacing w:after="0" w:line="9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Sales of substantial amounts of our Class A ordinary shares and/or ADSs in the public market, or the perception that these sales could occur, could adversely affect the market price of our Class A ordinary shares and/or ADSs and could materially impair our ability to raise capital through equity offerings in the future. The ADSs sold in the Primary Offering will be freely tradable without restriction or further registration under the Securities Act, and shares held by our shareholders may also be sold in the public market in the future, subject to the restrictions in Rule 144 and Rule 701 under the Securities Act and the applicable lock-up agreements. In connection with the Primary Offering, we and our directors and executive officers have each agreed with the underwriters, subject to certain exceptions, not to sell, transfer or dispose of, directly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indirectly, any ADSs, ordinary shares or securities convertible into or exercisable or exchangeable for our ADSs or ordinary shares for a period of 90 days following the date of this prospectus supplement.</w:t>
      </w:r>
    </w:p>
    <w:p>
      <w:pPr>
        <w:spacing w:after="0" w:line="9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cannot predict what effect, if any, market sales of securities held by our significant shareholders or any other shareholder or the availability of these securities for future sale will have on the market price of our Class A ordinary shares and/or ADSs. In addition, certain holders of our existing shareholders are entitled to certain registration rights, including demand registration rights, piggyback registration rights, and Form F-3 or Form S-3 registration rights. Registration of these shares under the Securities Act would result in these shares becoming freely tradable without restriction under the Securities Act immediately upon the effectiveness of the registration. Sales of these registered shares in the public market, or the perception that such sales could occur, could cause the price of our Class A ordinary shares and/or ADSs to decline.</w:t>
      </w:r>
    </w:p>
    <w:p>
      <w:pPr>
        <w:spacing w:after="0" w:line="18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the Primary Offering and may invest or spend the proceeds in ways with which you do not agree.</w:t>
      </w:r>
    </w:p>
    <w:p>
      <w:pPr>
        <w:spacing w:after="0" w:line="91"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the Primary Offering.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the Primary Offering or our existing cash in ways that achieve expected results, the market price of our Class A ordinary shares and/or ADSs may decline.</w:t>
      </w:r>
    </w:p>
    <w:p>
      <w:pPr>
        <w:spacing w:after="0" w:line="18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adopt different practices as to certain matters as compared with many other companies listed on the Hong Kong Stock Exchange.</w:t>
      </w:r>
    </w:p>
    <w:p>
      <w:pPr>
        <w:spacing w:after="0" w:line="7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trading of our Class A ordinary shares on the Hong Kong Stock Exchange commenced on March 10, 2022 under the stock code “9866.” As a company listed on the Hong Kong Stock Exchange pursuant to Chapter 19C of the Hong Kong Listing Rules, we are not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of our Class A ordinary shares on the Hong Kong Stock Exchange, we have applied for a number of waivers and/or exemptions from strict compliance with the Hong Kong Listing Rules, the Codes on Takeovers and Mergers and Shares Buy-backs issued by the Securities and Futures Commission, and the Securities and Futures Ordinance. As a result, we will adopt different practices as to those matters as compared with other companies listed on the Hong Kong Stock Exchange that do not enjoy those exemptions or waivers.</w:t>
      </w:r>
    </w:p>
    <w:p>
      <w:pPr>
        <w:spacing w:after="0" w:line="343"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thirteenth amended and restated articles of association are specific to us and include certain provisions that may be different from the requirements under the Hong Kong Listing Rules and common practices in Hong Kong. In particular, in our thirteenth amended and restated amended articles of associations put forth in the first annual general meeting after the listing of our Class A ordinary shares on the Hong Kong Stock Exchange, or the First AGM, we refer to the Relevant Period as the period commencing from the date on which any of our Class A ordinary shares first become secondary listed on the Hong Kong Stock Exchange to and including the date immediately before the day which the secondary listing is withdrawn from the Hong Kong Stock Exchange. For example, in order to comply with applicable Hong Kong Listing Rules, during the Relevant Period, (i) NIO Users Trust will not have any director nomination right; (ii) our company shall have only one class of shares with enhanced or weighted voting rights; (iii) our directors shall not have the power to, amongst others, authorize share split or designate a new share class with enhanced or weighted voting rights; and (iv) certain restrictions on the weighted voting right structure of our company under Chapter 8A of the Hong Kong Listing Rules shall apply, including, among others, (a) no further increase in the proportion of WVR shares, (b) only a director or a director holding vehicle being permitted to hold WVR shares, and (c) automatic conversion of WVR shares into Class A ordinary shares under certain circumstances.</w:t>
      </w:r>
    </w:p>
    <w:p>
      <w:pPr>
        <w:spacing w:after="0" w:line="34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Notwithstanding the above and at any time after the Relevant Period, the provisions which are subject to the Relevant Period will continue to apply in the circumstances where the Company has a change of listing status on the Hong Kong Stock Exchange other than in the case where the secondary listing of the Company is withdrawn from the Hong Kong Stock Exchange pursuant to the applicable Hong Kong Listing Rules.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Given certain shareholder protection under the Hong Kong Listing Rules will only be applicable during the Relevant Period, our investors may be afforded less protection after the Relevant Period under our amended articles of association adopted in the First AGM — both in comparison to other companies secondarily listed on the Hong Kong Stock Exchange and to when our company had secondary listing status on the Hong Kong Stock Exchange.</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may only cease to be secondary listed under Chapter 19C of the Hong Kong Listing Rules under one of the following situations:</w:t>
      </w:r>
    </w:p>
    <w:p>
      <w:pPr>
        <w:spacing w:after="0" w:line="54" w:lineRule="exact"/>
        <w:rPr>
          <w:sz w:val="20"/>
          <w:szCs w:val="20"/>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in the case where we are primary listed on another stock exchange and voluntarily withdraw our secondary listing on the Hong Kong Stock Exchange;</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migration of the majority of trading to the Hong Kong Stock Exchange’s markets, in the case where the majority of trading in our listed shares migrates to the Hong Kong Stock Exchange’s markets on a permanent basis;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conversion, i.e., our voluntary conversion to a dual-primary listing on the Hong Kong Stock Exchange;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overseas de-listing, where our shares or depositary receipts issued on our shares cease to be listed on the stock exchange which we are primary listed;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Hong Kong Stock Exchange cancels the listing of our securities;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and Futures Commission of Hong Kong directs the Hong Kong Stock Exchange to cancel the listing of our securities.</w:t>
      </w:r>
    </w:p>
    <w:p>
      <w:pPr>
        <w:spacing w:after="0" w:line="9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scenarios under which we may cease to be secondary listed on the Hong Kong Stock Exchange are subject to the changing market conditions, our listing or de-listing in other jurisdictions, our compliance with the listing rules of the Hong Kong Stock Exchange and other factors beyond our control. As a result, there are substantial uncertainties relating to applicability of the shareholders’ rights and protection under the aforementioned provisions of our amended articles of association adopted in the First AGM particularly in the case where the Company de-lists from the Hong Kong Stock Exchange.</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we are listed as a Non-Grandfathered Greater China Issuer pursuant to Chapter 19C of the Hong Kong Listing Rules, our articles of association must comply with the requirements of the Hong Kong Listing Rules unless waived by the Hong Kong Stock Exchange. We have put forth resolutions to our shareholders at the First AGM convened on August 25, 2022 to amend certain provisions of our articles of association in order to comply with the Hong Kong Listing Rules.</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Furthermore, if 55% or more of the total worldwide trading volume, by dollar value, of our Class A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Codes on Takeovers and Mergers and Shares Buy-backs and the Securities and Futures Ordinance, which could result in us having to amend our corporate structure, articles of association and corporate governance policies to comply with the applicable Hong Kong Listing Rules and we may incur of incremental compliance costs.</w:t>
      </w:r>
    </w:p>
    <w:p>
      <w:pPr>
        <w:spacing w:after="0" w:line="39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change the listing venue of our securities, you may lose the shareholder protection mechanisms afforded under the regulatory regimes of the applicable securities exchange.</w:t>
      </w:r>
    </w:p>
    <w:p>
      <w:pPr>
        <w:spacing w:after="0" w:line="6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 a company listed on the New York Stock Exchange, the Hong Kong Stock Exchange and the Singapore Exchange, we are subject to various listing standards and requirements that are aimed at protecting your rights as shareholders of our company, subject to certain permitted exceptions applicable to foreign companies. For example, after our listing on the Hong Kong Stock Exchange, our thirteenth amended and restated memorandum and articles of association requires that there should only be one class of shares with enhanced voting rights, and that certain reserved matters under the Hong Kong Listing Rules are required to be voted on a one vote per share basis at the general meetings. In the event that we reduce the number of shares in issue, the holders of WVR shares shall reduce their voting rights in the Company proportionately through a conversion of a portion of their Class C shares or otherwise. If we choose to change the listing venue of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securities, including delisting from either exchanges, you may lose the shareholder protection mechanisms afforded under the regulatory regimes of the applicable securities exchange. In particular, various factors will be taken into consideration by the Company in relation to the circumstances under which it may be considered not desirable or viable for the shares to remain listed on a certain stock exchange, such as the then regulatory environment of the listing venue, whether the additional compliance burden arisen by remaining listed in a particular stock exchange will be unduly burdensome for the Company to further its interest, realize its vision or implement certain business plans.</w:t>
      </w:r>
    </w:p>
    <w:p>
      <w:pPr>
        <w:spacing w:after="0" w:line="191"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trading prices of our listed securities have been and are likely to continue to be volatile, which could result in substantial losses to investors.</w:t>
      </w:r>
    </w:p>
    <w:p>
      <w:pPr>
        <w:spacing w:after="0" w:line="9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trading prices of our listed securities have been and are likely to continue to be volatile and could fluctuate widely in response to a variety of factors, many of which are beyond our control. For example, for the six months ended June 30, 2025, the trading price of our ADSs ranged from a low of US$3.02 to a high of US$5.49; the trading price of our Class A ordinary shares listed on the Hong Kong Stock Exchange ranged from a low of HK$23.70 to a high of HK$44.75; the trading price of our Class A ordinary shares listed on the Main Board of the Singapore Exchange ranged from a low of US$3.09 to a high of US$5.72. The market price for our listed securities may continue to be volatile and subject to wide fluctuations in response to factors including, but not limited to, the following:</w:t>
      </w:r>
    </w:p>
    <w:p>
      <w:pPr>
        <w:spacing w:after="0" w:line="78"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cash flows;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automotive markets;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operating performance or market valuations of other automotive companies;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we or our competitors made of new products,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key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RMB and the U.S. dollar;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government investigation or other legal or regulatory proceeding;</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and other transfer restrictions on our Class A ordinary shares or ADSs, issuance of ADSs or ordinary shares upon conversion of the convertible notes we issued, or any ordinary shares or sales of additional ADSs;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illegal acts of our shareholders or management;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China or elsewhere in the world.</w:t>
      </w:r>
    </w:p>
    <w:p>
      <w:pPr>
        <w:spacing w:after="0" w:line="14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Class A ordinary shares and/or ADSs will trade.</w:t>
      </w:r>
    </w:p>
    <w:p>
      <w:pPr>
        <w:spacing w:after="0" w:line="8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the stock market in general, and the market prices for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Class A ordinary shares and/or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market and industry fluctuations may adversely affect the market price of our Class A ordinary shares and/or ADSs. Volatility or a lack of positive performance in our Class A ordinary shares and/or ADSs price may also adversely affect our ability to retain key employees, most of whom have been granted options or other equity incentives.</w:t>
      </w:r>
    </w:p>
    <w:p>
      <w:pPr>
        <w:spacing w:after="0" w:line="133"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Class A ordinary shares and/or ADSs, the market price for our Class A ordinary shares and/or ADSs and trading volume could decline.</w:t>
      </w:r>
    </w:p>
    <w:p>
      <w:pPr>
        <w:spacing w:after="0" w:line="101"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trading market for our Class A ordinary shares and/or ADSs will be influenced by research or reports that industry or securities analysts publish about our business. If one or more analysts who cover us downgrade our Class A ordinary shares and/or ADSs, the market price for our Class A ordinary shares and/or ADSs would likely decline. If one or more of these analysts cease to cover us or fail to regularly publish reports on us, we could lose visibility in the financial markets, which in turn could cause the market price or trading volume for our Class A ordinary shares and/or ADSs to decline.</w:t>
      </w:r>
    </w:p>
    <w:p>
      <w:pPr>
        <w:spacing w:after="0" w:line="135"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spacing w:after="0" w:line="107"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had historically adopted a triple-class voting structure such that our ordinary shares consisted of Class A ordinary shares, Class B ordinary shares and Class C ordinary shares. Upon the listing of our Class A ordinary shares on the Hong Kong Stock Exchange, all of our Class B ordinary shares were converted to Class A ordinary shares pursuant to the conversion notice delivered by the shareholders. As a result, the Class B ordinary shares were eliminated in our currently effective thirteenth amended and restated memorandum and articles of association. Currently, our ordinary shares consist of Class A ordinary shares and Class C ordinary shares. Holders of Class A ordinary shares and Class C ordinary shares have the same rights other than voting and conversion rights. Each holder of our Class A ordinary shares is entitled to one vote per share, and each holder of our Class C ordinary shares is entitled to eight votes per share on all matters submitted to them for a vote. Our Class A ordinary shares and Class C ordinary shares vote together as a single class on all matters submitted to a vote of our shareholders, except as may otherwise be required by law. Each Class C ordinary share is convertible into one Class A ordinary share, whereas Class A ordinary shares are not convertible into Class C ordinary shares under any circumstances. Upon any transfer of Class C ordinary shares by a holder thereof to any person or entity which is not an affiliate of such holder, such Class C ordinary shares are automatically and immediately converted into the equal number of Class A ordinary shares.</w:t>
      </w:r>
    </w:p>
    <w:p>
      <w:pPr>
        <w:spacing w:after="0" w:line="31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the date of this prospectus supplement, Mr. Bin Li, our founder, chairman and chief executive officer, together with his affiliates, beneficially own all of our issued Class C ordinary shares. Due to the disparate voting powers associated with our dual-class share structure, Mr. Li has considerable influence over important corporate matters. As of July 31, 2025, Mr. Li beneficially owned approximately 36.6% of the aggregate voting power of our company through mobike Global Ltd. and Originalwish Limited, companies wholly owned by Mr. Li, and through NIO Users Limited, a holding company ultimately controlled by Mr. Li and through NIO Users Community Limited, a company wholly owned by NIO Users Limited. Mr. Li has considerable influence over matters requiring shareholder approval, including electing directors and approving material mergers, acquisitions or other business combination transactions. This concentrated control will limit the ability of the holders of our Class A ordinary shares and ADSs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 Moreover, Mr. Li may increase the concentration of his voting power and/or share ownership in the future, which may, among other consequences, decrease the liquidity in our Class A ordinary shares and ADSs.</w:t>
      </w:r>
    </w:p>
    <w:p>
      <w:pPr>
        <w:spacing w:after="0" w:line="34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10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passive foreign investment company, or PFIC, for U.S. federal income tax purposes for any taxable year if either (i) 75% or more of its gross income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such year consists of certain types of “passive” income; or (ii) 50% or more of the value of its assets (generally determined on the basis of a quarterly average) during such year is attributable to assets that produce or are held for the production of passive income.</w:t>
      </w:r>
    </w:p>
    <w:p>
      <w:pPr>
        <w:spacing w:after="0" w:line="10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12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Assuming that we are the owner of the VIEs for U.S. federal income tax purposes, and based on the current and anticipated value of our assets and composition of our income and assets, including goodwill and other unbooked intangibles not reflected on our balance sheet (taking into account the expected cash proceeds from this offering), we do not believe that we were a PFIC for the taxable year ended December 31, 2024, and we do not expect to be or become a PFIC in the current taxable year or the foreseeable future.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or become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significantly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non-passive income, or where we determine not to deploy significant amounts of cash for active purposes, our risk of becoming classified as a PFIC may substantially increase. If we were to be or become a PFIC for any taxable year during which a U.S. Holder holds our ADSs or Class A ordinary shares, certain adverse U.S. federal income tax consequences could apply to such U.S.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We estimate that our net proceeds from the Primary Offering will be approximately US$            million (or US$            million if the underwriters exercise their option to purchase additional ADSs in full), after deducting estimated underwriting discounts and commissions and estimated offering expenses payable by us.</w:t>
      </w:r>
    </w:p>
    <w:p>
      <w:pPr>
        <w:spacing w:after="0" w:line="33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invest in the research and development of core technologies for smart electric vehicles, develop future technology platforms and vehicle models across our brands, expand our battery swapping and charging network, further strengthen our balance sheet, and for general corporate purposes.</w:t>
      </w:r>
    </w:p>
    <w:p>
      <w:pPr>
        <w:spacing w:after="0" w:line="99"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utilizing the proceeds of the Primary Offering, as an offshore holding company, we are permitted, under PRC laws and regulations, to provide funding to our PRC subsidiaries only through loans or capital contributions and to our consolidated VIEs only through loans. Subject to satisfaction of applicable government registration and approval requirements, we may extend inter-company loans to our PRC subsidiaries or make additional capital contributions to our PRC subsidiaries to fund their capital expenditures or working capital. We cannot assure you that we will be able to obtain these government registrations or approvals on a timely basis, if at all. PRC regulations on loans to, and direct investment in, PRC entities by offshore holding companies and governmental control of currency conversion may affect our ability to capitalize or otherwise fund our PRC operations. The foregoing represents our current intentions to use and allocate the net proceeds of the Primary Offering based upon our present plans and business conditions. Our management, however, will have significant flexibility and discretion to apply the net proceeds of the Primary Offering. If an unforeseen event occurs or business conditions change, we may use the proceeds of the Primary Offering differently than as described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2025.</w:t>
      </w:r>
    </w:p>
    <w:p>
      <w:pPr>
        <w:spacing w:after="0" w:line="104"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jc w:val="both"/>
        <w:ind w:left="1800" w:right="1260" w:hanging="180"/>
        <w:spacing w:after="0" w:line="25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giving effect to our offer and sale of             ADSs representing Class A ordinary shares and             Class A ordinary shares at the public offering price of US$        per ADS or HK$          per Class A ordinary share pursuant to this prospectus supplement and the receipt of the estimated net proceeds of US$        million by us from the Primary Offering (assuming no exercise by the underwriters of their option to purchase additional ADSs), after deducting estimated underwriting discounts and commissions and estimated offering expenses payable by us.</w:t>
      </w:r>
    </w:p>
    <w:p>
      <w:pPr>
        <w:spacing w:after="0" w:line="39" w:lineRule="exact"/>
        <w:rPr>
          <w:sz w:val="20"/>
          <w:szCs w:val="20"/>
          <w:color w:val="auto"/>
        </w:rPr>
      </w:pPr>
    </w:p>
    <w:p>
      <w:pPr>
        <w:jc w:val="both"/>
        <w:ind w:left="1260" w:right="1260" w:firstLine="360"/>
        <w:spacing w:after="0"/>
        <w:rPr>
          <w:sz w:val="20"/>
          <w:szCs w:val="20"/>
          <w:color w:val="auto"/>
        </w:rPr>
      </w:pPr>
      <w:r>
        <w:rPr>
          <w:rFonts w:ascii="Times New Roman" w:cs="Times New Roman" w:eastAsia="Times New Roman" w:hAnsi="Times New Roman"/>
          <w:sz w:val="18"/>
          <w:szCs w:val="18"/>
          <w:color w:val="auto"/>
        </w:rPr>
        <w:t>You should read this table in conjunction with our audited consolidated financial statements and the related notes and “Item 5. Operating and Financial Review and Prospects” in our 2024 Annual Report, the unaudited condensed consolidated financial statements and related notes included in Exhibit 99.1 to our current report on Form 6-K furnished to the SEC on September 10, 2025, and “Management’s Discussion and Analysis of Financial Condition and Results of Operations” included in Exhibit 99.2 to our current report on Form 6-K furnished to the SEC on September 10, 2025, all of which are incorporated herein by reference.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8"/>
              </w:rPr>
              <w:t>As of June 30, 2025</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2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4"/>
          </w:tcPr>
          <w:p>
            <w:pPr>
              <w:jc w:val="center"/>
              <w:ind w:right="1071"/>
              <w:spacing w:after="0" w:line="250" w:lineRule="exact"/>
              <w:rPr>
                <w:sz w:val="20"/>
                <w:szCs w:val="20"/>
                <w:color w:val="auto"/>
              </w:rPr>
            </w:pPr>
            <w:r>
              <w:rPr>
                <w:rFonts w:ascii="Times New Roman" w:cs="Times New Roman" w:eastAsia="Times New Roman" w:hAnsi="Times New Roman"/>
                <w:sz w:val="14"/>
                <w:szCs w:val="14"/>
                <w:b w:val="1"/>
                <w:bCs w:val="1"/>
                <w:color w:val="auto"/>
              </w:rPr>
              <w:t xml:space="preserve">As Adjusted </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1"/>
                <w:szCs w:val="21"/>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gridSpan w:val="5"/>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RMB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w:t>
            </w:r>
            <w:r>
              <w:rPr>
                <w:rFonts w:ascii="Times New Roman" w:cs="Times New Roman" w:eastAsia="Times New Roman" w:hAnsi="Times New Roman"/>
                <w:sz w:val="28"/>
                <w:szCs w:val="28"/>
                <w:b w:val="1"/>
                <w:bCs w:val="1"/>
                <w:color w:val="auto"/>
                <w:vertAlign w:val="subscript"/>
              </w:rPr>
              <w:t>​</w:t>
            </w:r>
          </w:p>
        </w:tc>
      </w:tr>
      <w:tr>
        <w:trPr>
          <w:trHeight w:val="185"/>
        </w:trPr>
        <w:tc>
          <w:tcPr>
            <w:tcW w:w="12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14"/>
        </w:trPr>
        <w:tc>
          <w:tcPr>
            <w:tcW w:w="12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4"/>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1260" w:type="dxa"/>
            <w:vAlign w:val="bottom"/>
          </w:tcPr>
          <w:p>
            <w:pPr>
              <w:spacing w:after="0"/>
              <w:rPr>
                <w:sz w:val="23"/>
                <w:szCs w:val="23"/>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7,111,459​​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992,721​​ ​</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9,260,268​​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1,292,684​​ ​</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3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10,689,430​​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1,492,187​​ ​</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3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3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5,438,829​​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759,231​​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3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9,113,178​​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3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7,734,861​​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3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7,734,861​​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1,079,745​​</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3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 ordinary shares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(139,156​​)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(19,425​​)</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122,894,093​​</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17,155,354​​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843,138​​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117,698​​</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(124,807,714​​)</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(17,422,485​​)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NIO Inc. Shareholders’ Equity</w:t>
            </w:r>
          </w:p>
        </w:tc>
        <w:tc>
          <w:tcPr>
            <w:tcW w:w="13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(1,205,705​​)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(168,309​​)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3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(1,118,897​​)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(156,191​​)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3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15,729,142​​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2,195,705​​ ​</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89"/>
        </w:trPr>
        <w:tc>
          <w:tcPr>
            <w:tcW w:w="1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S-46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-4714240</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-4714240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-4714240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paid by our subsidiaries in China for our cash requirements, including any payment of dividends to our shareholders. PRC regulations may restrict the ability of our PRC subsidiaries to pay dividends to us. See “Item 3. Key Information — D. Risk Factors — Risks Related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the 2024 Annual Report.</w:t>
      </w:r>
    </w:p>
    <w:p>
      <w:pPr>
        <w:spacing w:after="0" w:line="12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payment of dividends is at the discretion of our board of directors, subject to our thirteenth amended and restated memorandum and articles of association.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32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0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Class A ordinary shares underlying our ADSs to the depositary, as the registered holder of such Class A ordinary shares, and the depositary then will pay such amounts to our ADS holders in proportion to the ordinary shares underlying the ADSs held by such ADS holders, subject to the terms of the deposit agreement, including the fees and expenses payable thereunder. Cash dividends on our ordinary shares, if any, will be paid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62" w:lineRule="exact"/>
        <w:rPr>
          <w:sz w:val="20"/>
          <w:szCs w:val="20"/>
          <w:color w:val="auto"/>
        </w:rPr>
      </w:pPr>
    </w:p>
    <w:p>
      <w:pPr>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July 31, 2025 with respect to:</w:t>
      </w:r>
    </w:p>
    <w:p>
      <w:pPr>
        <w:spacing w:after="0" w:line="55"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ordinary shares.</w:t>
      </w:r>
    </w:p>
    <w:p>
      <w:pPr>
        <w:spacing w:after="0" w:line="144"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calculations in the table below are based on 2,255,084,270 ordinary shares outstanding as of July 31, 2025, comprising of 2,106,584,270 Class A ordinary shares (excluding 9,516,953 Class A ordinary shares issued and reserved for future issuance upon the exercising or vesting of awards granted under our stock incentive plans) and 148,500,000 Class C ordinary shares.</w:t>
      </w:r>
    </w:p>
    <w:p>
      <w:pPr>
        <w:spacing w:after="0" w:line="11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6"/>
              </w:rPr>
              <w:t>Class C</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beneficially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beneficial</w:t>
            </w:r>
          </w:p>
        </w:tc>
        <w:tc>
          <w:tcPr>
            <w:tcW w:w="2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6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w:t>
            </w:r>
          </w:p>
        </w:tc>
        <w:tc>
          <w:tcPr>
            <w:tcW w:w="100" w:type="dxa"/>
            <w:vAlign w:val="bottom"/>
          </w:tcPr>
          <w:p>
            <w:pPr>
              <w:spacing w:after="0"/>
              <w:rPr>
                <w:sz w:val="18"/>
                <w:szCs w:val="18"/>
                <w:color w:val="auto"/>
              </w:rPr>
            </w:pPr>
          </w:p>
        </w:tc>
        <w:tc>
          <w:tcPr>
            <w:tcW w:w="106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ownership </w:t>
            </w:r>
            <w:r>
              <w:rPr>
                <w:rFonts w:ascii="Times New Roman" w:cs="Times New Roman" w:eastAsia="Times New Roman" w:hAnsi="Times New Roman"/>
                <w:sz w:val="24"/>
                <w:szCs w:val="24"/>
                <w:b w:val="1"/>
                <w:bCs w:val="1"/>
                <w:color w:val="auto"/>
                <w:vertAlign w:val="subscript"/>
              </w:rPr>
              <w:t>​ ​</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power</w:t>
            </w:r>
            <w:r>
              <w:rPr>
                <w:rFonts w:ascii="Times New Roman" w:cs="Times New Roman" w:eastAsia="Times New Roman" w:hAnsi="Times New Roman"/>
                <w:sz w:val="17"/>
                <w:szCs w:val="17"/>
                <w:b w:val="1"/>
                <w:bCs w:val="1"/>
                <w:color w:val="auto"/>
                <w:w w:val="97"/>
                <w:vertAlign w:val="super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Bin Li</w:t>
            </w:r>
            <w:r>
              <w:rPr>
                <w:rFonts w:ascii="Times New Roman" w:cs="Times New Roman" w:eastAsia="Times New Roman" w:hAnsi="Times New Roman"/>
                <w:sz w:val="23"/>
                <w:szCs w:val="23"/>
                <w:color w:val="auto"/>
                <w:vertAlign w:val="superscript"/>
              </w:rPr>
              <w:t>(1)</w:t>
            </w:r>
          </w:p>
        </w:tc>
        <w:tc>
          <w:tcPr>
            <w:tcW w:w="360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 ​​ 30,472,069​​ ​​148,500,000​​ ​​178,972,069​​ ​</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7.9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Lihong Qin</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Feng Shen</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2"/>
                <w:szCs w:val="22"/>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2"/>
                <w:szCs w:val="22"/>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Xin Zhou</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Yu Qu</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2"/>
                <w:szCs w:val="22"/>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2"/>
                <w:szCs w:val="22"/>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Ganesh V. Iyer</w:t>
            </w:r>
            <w:r>
              <w:rPr>
                <w:rFonts w:ascii="Times New Roman" w:cs="Times New Roman" w:eastAsia="Times New Roman" w:hAnsi="Times New Roman"/>
                <w:sz w:val="23"/>
                <w:szCs w:val="23"/>
                <w:color w:val="auto"/>
                <w:vertAlign w:val="superscript"/>
              </w:rPr>
              <w:t>(2)</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Hai Wu</w:t>
            </w:r>
            <w:r>
              <w:rPr>
                <w:rFonts w:ascii="Times New Roman" w:cs="Times New Roman" w:eastAsia="Times New Roman" w:hAnsi="Times New Roman"/>
                <w:sz w:val="23"/>
                <w:szCs w:val="23"/>
                <w:color w:val="auto"/>
                <w:vertAlign w:val="superscript"/>
              </w:rPr>
              <w:t>(3)</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Denny Ting Bun Lee</w:t>
            </w:r>
            <w:r>
              <w:rPr>
                <w:rFonts w:ascii="Times New Roman" w:cs="Times New Roman" w:eastAsia="Times New Roman" w:hAnsi="Times New Roman"/>
                <w:sz w:val="23"/>
                <w:szCs w:val="23"/>
                <w:color w:val="auto"/>
                <w:vertAlign w:val="superscript"/>
              </w:rPr>
              <w:t>(4)</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Yu Long</w:t>
            </w:r>
            <w:r>
              <w:rPr>
                <w:rFonts w:ascii="Times New Roman" w:cs="Times New Roman" w:eastAsia="Times New Roman" w:hAnsi="Times New Roman"/>
                <w:sz w:val="23"/>
                <w:szCs w:val="23"/>
                <w:color w:val="auto"/>
                <w:vertAlign w:val="superscript"/>
              </w:rPr>
              <w:t>(5)</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Yonggang Wen</w:t>
            </w:r>
            <w:r>
              <w:rPr>
                <w:rFonts w:ascii="Times New Roman" w:cs="Times New Roman" w:eastAsia="Times New Roman" w:hAnsi="Times New Roman"/>
                <w:sz w:val="23"/>
                <w:szCs w:val="23"/>
                <w:color w:val="auto"/>
                <w:vertAlign w:val="superscript"/>
              </w:rPr>
              <w:t>(6)</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Eddy Georges Skaf</w:t>
            </w:r>
            <w:r>
              <w:rPr>
                <w:rFonts w:ascii="Times New Roman" w:cs="Times New Roman" w:eastAsia="Times New Roman" w:hAnsi="Times New Roman"/>
                <w:sz w:val="23"/>
                <w:szCs w:val="23"/>
                <w:color w:val="auto"/>
                <w:vertAlign w:val="superscript"/>
              </w:rPr>
              <w:t>(7)</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Paul Collins</w:t>
            </w:r>
            <w:r>
              <w:rPr>
                <w:rFonts w:ascii="Times New Roman" w:cs="Times New Roman" w:eastAsia="Times New Roman" w:hAnsi="Times New Roman"/>
                <w:sz w:val="23"/>
                <w:szCs w:val="23"/>
                <w:color w:val="auto"/>
                <w:vertAlign w:val="superscript"/>
              </w:rPr>
              <w:t>(8)</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360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50,936,849​​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148,500,000​​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199,436,849​​ ​</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Founder vehicles</w:t>
            </w:r>
            <w:r>
              <w:rPr>
                <w:rFonts w:ascii="Times New Roman" w:cs="Times New Roman" w:eastAsia="Times New Roman" w:hAnsi="Times New Roman"/>
                <w:sz w:val="23"/>
                <w:szCs w:val="23"/>
                <w:color w:val="auto"/>
                <w:vertAlign w:val="superscript"/>
              </w:rPr>
              <w:t>(9)</w:t>
            </w:r>
          </w:p>
        </w:tc>
        <w:tc>
          <w:tcPr>
            <w:tcW w:w="360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 ​​ 16,967,776​​ ​​148,500,000​​ ​​165,467,776​​ ​</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7.3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CYVN Investments RSC Ltd</w:t>
            </w:r>
            <w:r>
              <w:rPr>
                <w:rFonts w:ascii="Times New Roman" w:cs="Times New Roman" w:eastAsia="Times New Roman" w:hAnsi="Times New Roman"/>
                <w:sz w:val="23"/>
                <w:szCs w:val="23"/>
                <w:color w:val="auto"/>
                <w:vertAlign w:val="superscript"/>
              </w:rPr>
              <w:t>(10)</w:t>
            </w:r>
          </w:p>
        </w:tc>
        <w:tc>
          <w:tcPr>
            <w:tcW w:w="1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​​418,833,157​​ ​​</w:t>
            </w:r>
          </w:p>
        </w:tc>
        <w:tc>
          <w:tcPr>
            <w:tcW w:w="640" w:type="dxa"/>
            <w:vAlign w:val="bottom"/>
            <w:shd w:val="clear" w:color="auto" w:fill="CCEEFF"/>
          </w:tcPr>
          <w:p>
            <w:pPr>
              <w:spacing w:after="0"/>
              <w:rPr>
                <w:sz w:val="24"/>
                <w:szCs w:val="24"/>
                <w:color w:val="auto"/>
              </w:rPr>
            </w:pPr>
          </w:p>
        </w:tc>
        <w:tc>
          <w:tcPr>
            <w:tcW w:w="15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​​418,833,157​​ ​</w:t>
            </w:r>
          </w:p>
        </w:tc>
        <w:tc>
          <w:tcPr>
            <w:tcW w:w="6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-3085465</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-3085465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-3085465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-3085465</wp:posOffset>
            </wp:positionV>
            <wp:extent cx="2854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shares.</w:t>
      </w:r>
    </w:p>
    <w:p>
      <w:pPr>
        <w:spacing w:after="0" w:line="117" w:lineRule="exact"/>
        <w:rPr>
          <w:sz w:val="20"/>
          <w:szCs w:val="20"/>
          <w:color w:val="auto"/>
        </w:rPr>
      </w:pPr>
    </w:p>
    <w:p>
      <w:pPr>
        <w:jc w:val="both"/>
        <w:ind w:left="1620" w:right="41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otherwise disclosed in the footnotes below, the business address of all the directors and executive officers is Building 19, No. 1355, Caobao Road, Minhang District, Shanghai, People’s Republic of China.</w:t>
      </w:r>
    </w:p>
    <w:p>
      <w:pPr>
        <w:spacing w:after="0" w:line="68" w:lineRule="exact"/>
        <w:rPr>
          <w:sz w:val="20"/>
          <w:szCs w:val="20"/>
          <w:color w:val="auto"/>
        </w:rPr>
      </w:pPr>
    </w:p>
    <w:p>
      <w:pPr>
        <w:jc w:val="both"/>
        <w:ind w:left="1620" w:right="419" w:hanging="360"/>
        <w:spacing w:after="0" w:line="259"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C ordinary shares as a single class. Each holder of our Class A ordinary shares is entitled to one vote per share and each holder of our Class C ordinary shares is entitled to eight votes per share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all matters submitted to them for a vote. Our Class A ordinary shares and Class C ordinary shares vote together as a single class on all matters submitted to a vote of our shareholders, except as may otherwise be required by law.</w:t>
      </w:r>
    </w:p>
    <w:p>
      <w:pPr>
        <w:spacing w:after="0" w:line="21" w:lineRule="exact"/>
        <w:rPr>
          <w:sz w:val="20"/>
          <w:szCs w:val="20"/>
          <w:color w:val="auto"/>
        </w:rPr>
      </w:pPr>
    </w:p>
    <w:p>
      <w:pPr>
        <w:jc w:val="both"/>
        <w:ind w:left="1620" w:right="419" w:hanging="360"/>
        <w:spacing w:after="0" w:line="253"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4,293 Class A ordinary shares in the form of ADSs, (ii) 13,500,000 Class A ordinary shares issuable to Mr. Bin Li upon exercise of options within 60 days of July 31, 2025, (iii) 89,013,451 Class C ordinary shares held by Originalwish Limited, a British Virgin Islands company wholly owned by Mr. Bin Li, (iv) 26,454,325 Class C ordinary shares held by mobike Global Ltd., a British Virgin Islands company wholly owned by Mr. Bin Li, and (v) 16,967,776 Class A ordinary shares and 33,032,224 Class C ordinary shares held by NIO Users Limited, a holding company controlled by NIO Users Trust, which is under the control of Mr. Bin Li, among which 14,967,776 Class A ordinary shares and 33,032,224 Class C ordinary shares were held on record by NIO Users Limited and 2,000,000 Class A ordinary shares were held on record by NIO Users Community Limited, a British Virgin Islands company wholly owned by NIO Users Limited.</w:t>
      </w:r>
    </w:p>
    <w:p>
      <w:pPr>
        <w:spacing w:after="0" w:line="5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Iyer is 3151 Zanker Road, San Jose, CA 95134.</w:t>
      </w:r>
    </w:p>
    <w:p>
      <w:pPr>
        <w:spacing w:after="0" w:line="7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Wu is No. 53, Gaoyou Road, Xuhui District, Shanghai, People’s Republic of China.</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Lee is No. 4 Dianthus Road, Yau Yat Chuen, Kowloon, Hong Kong.</w:t>
      </w:r>
    </w:p>
    <w:p>
      <w:pPr>
        <w:spacing w:after="0" w:line="55" w:lineRule="exact"/>
        <w:rPr>
          <w:rFonts w:ascii="Times New Roman" w:cs="Times New Roman" w:eastAsia="Times New Roman" w:hAnsi="Times New Roman"/>
          <w:sz w:val="18"/>
          <w:szCs w:val="18"/>
          <w:color w:val="auto"/>
        </w:rPr>
      </w:pPr>
    </w:p>
    <w:p>
      <w:pPr>
        <w:ind w:left="1620" w:right="419" w:hanging="360"/>
        <w:spacing w:after="0" w:line="230"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Long is Unit 1610,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West Tower, Genesis Beijing, 8 Xinyuan South Road, Chaoyang District, Beijing 100027, People’s Republic of China.</w:t>
      </w:r>
    </w:p>
    <w:p>
      <w:pPr>
        <w:spacing w:after="0" w:line="4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Wen is N4-02c-95, Nanyang Avenue, Singapore 639798.</w:t>
      </w:r>
    </w:p>
    <w:p>
      <w:pPr>
        <w:spacing w:after="0" w:line="90"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Skaf is Maryah Tower, 18th Floor, Al Maryah Island, Abu Dhabi, United Arab Emirates.</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Collins is McLaren Technology Centre, Chertsey Road, Woking, Surrey, GU21 4YH.</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89,013,451 Class C ordinary shares held by Originalwish Limited, a British Virgin Islands company wholly owned by Mr. Bin Li, (ii) 26,454,325 Class C ordinary shares held by mobike Global Ltd., a British Virgin Islands company wholly owned by Mr. Bin Li, and (iii) 16,967,776 Class A ordinary shares and 33,032,224 Class C ordinary shares held by NIO Users Limited, a holding company controlled by NIO Users Trust, which is under the control of Mr. Bin Li, among which ordinary shares 14,967,776 Class A ordinary shares and 33,032,224 Class C ordinary shares were held on record by NIO Users Limited and 2,000,000 Class A ordinary shares were held on record by NIO Users Community Limited, a British Virgin Islands company wholly owned by NIO Users Limited. The registered address of Originalwish Limited and mobike Global Ltd. is Sertus Chambers, P.O. Box 905, Quastisky Building, Road Town, Tortola, British Virgin Islands. The registered address of NIO Users Limited is Maples Corporate Services (BVI) Limited, Kingston Chambers, PO Box 173, Road Town, Tortola, British Virgin Islands.</w:t>
      </w:r>
    </w:p>
    <w:p>
      <w:pPr>
        <w:spacing w:after="0" w:line="259"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418,833,157 Class A ordinary shares held by CYVN Investments RSC Ltd, according to the statement on Schedule 13D/A filed on February 28, 2024 by CYVN Investments RSC Ltd. CYVN Investments RSC Ltd is a restricted scope company incorporated in the Abu Dhabi Global Market, Abu Dhabi, United Arab Emirates, and is wholly-owned by the Government of Abu Dhabi represented by the Abu Dhabi Department of Finance. The principal business address of CYVN Investments RSC Ltd is Office at Maryah Tower, 18th Floor, Al Maryah Island, Abu Dhabi, United Arab Emirates.</w:t>
      </w:r>
    </w:p>
    <w:p>
      <w:pPr>
        <w:spacing w:after="0" w:line="12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of July 31, 2025, to our knowledge, 536,590,738 of our Class A ordinary shares were held by one record holder in the United States, which was Deutsche Bank Trust Company Americas, the depositary of our ADR program. The number of beneficial owners of our ADSs in the United States is likely to be much larger than the number of record holders of our ordinary shares in the United States. We are not aware of any arrangement that may, at a subsequent date, result in a change of control of our company.</w:t>
      </w:r>
    </w:p>
    <w:p>
      <w:pPr>
        <w:spacing w:after="0" w:line="1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Currently, our ordinary shares consist of Class A ordinary shares and Class C ordinary shares. Holders of Class A ordinary shares are entitled to one vote per share, and holders of Class C ordinary shares are entitled to eight votes per share. We issued Class A ordinary shares represented by our ADSs in our initial public offering in September 2018. Holders of our Class C ordinary shares may choose to convert their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respective Class C ordinary shares into the same number of Class A ordinary shares at any time. Class A ordinary shares are not convertible into Class C ordinary shares under any circumstance. See “Item 10. Additional Information — B. Memorandum and Articles of Association” in the 2024 Annual Report for a more detailed description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Cayman Islands currently has no form of income, corporate or capital gains tax and no estate duty, inheritance tax or gift tax.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spacing w:after="0" w:line="11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Taxation Administration issued the Circular on Issues Relating to Identification of PRC-Controlled Overseas Registered Enterprises as Resident Enterprises in Accordance with the De Facto Standards of Organizational Management, or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Taxation Administration issued the Bulletin on Promulgation of the Administrative Measures for Income Tax of Chinese-Controlled Offshore-Incorporated Resident Enterprises (Trial Implementation), which took effect in September 2011, to provide more guidance on the implementation of Circular 82. This bulletin provides for procedures and administration details of determination on resident status and administration on post-determination matters.</w:t>
      </w:r>
    </w:p>
    <w:p>
      <w:pPr>
        <w:spacing w:after="0" w:line="200" w:lineRule="exact"/>
        <w:rPr>
          <w:sz w:val="20"/>
          <w:szCs w:val="20"/>
          <w:color w:val="auto"/>
        </w:rPr>
      </w:pPr>
    </w:p>
    <w:p>
      <w:pPr>
        <w:spacing w:after="0" w:line="333"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NIO Inc.’s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32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Enterprise Income Tax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Circular on Certain Issues with Respect to the Enforcement of Dividend Provisions in Tax Treaties, or STA Circular 81, issued on February 20, 2009 by the State Taxation Administration,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Treaties, which took effect in January 2020, require that non-resident enterprises must obtain approval from the tax authority in order to enjoy the reduced tax rate. There are also other conditions for enjoying the reduced tax rate according to other tax rules and regulations. Accordingly, our subsidiaries may be able to enjoy the 5% tax rate for the dividends it receives from its PRC incorporated subsidiaries if they satisfy the conditions prescribed under STA Circular 81 and other tax rules and regulations and obtain the approvals as required. However, according to STA Circular 81, if the tax authorities determine our transactions or arrangements are for the primary purpose of enjoying a favorable tax treatment, the tax authorities may adjust the favorable tax rate on dividends in the future.</w:t>
      </w:r>
    </w:p>
    <w:p>
      <w:pPr>
        <w:spacing w:after="0" w:line="35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Provided that our Cayman Islands holding company, NIO Inc., is not deemed to be a PRC resident enterprise, holders of our ADSs and Class A ordinary shares who are not PRC residents will not be subject to PRC income tax on dividends that we distributed or gains realized from the sale or other disposition of our shares or ADSs.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“Item 3. Key Information — D. Risk Factors — Risks Related to Doing Business in China — We face uncertainty with respect to indirect transfers of equity interests in PRC resident enterprises by their non-PRC holding companies” in the 2024 Annual Report.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Class A ordinary shares by a U.S. Holder (as defined below) that acquires our ADSs and holds our ADSs as “capital assets” ​(generally, property held for investment) under the U.S. Internal Revenue Code of 1986, as amended (the “Code”) and the Treasury Regulations promulgated thereunder. This discussion is based upon existing U.S. federal income tax law, which is subject to differing interpretations or changes, possibly with retroactive effect. There can be no assurance that the Internal Revenue Service (the “IRS”) or a court will not take a contrary position. This discussion, moreover, does not address the U.S. federal estate, gift, Medicare,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ADSs or Class A ordinary shares pursuant to any employee share option or otherwise as compensation;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as part of a straddle, hedge, conversion, constructive sale or other integrated transaction for U.S. federal income tax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a functional currency other than the U.S. dollar;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directly, indirectly, constructively own 10% or more of our stock (by vote or value);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ADSs or Class A ordinary shares through such entities.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of the foregoing may be subject to tax rules that differ significantly from those discussed below.</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Class A ordinary shares that is, for U.S. federal income tax purposes:</w:t>
      </w:r>
    </w:p>
    <w:p>
      <w:pPr>
        <w:spacing w:after="0" w:line="54"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non- U.S. corporation, such as our company, will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1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112"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Assuming that we are the owner of the VIEs for U.S. federal income tax purposes, and based on the current and anticipated value of our assets and composition of our income and assets, including goodwill and other unbooked intangibles not reflected on our balance sheet (taking into account the expected cash proceeds from this offering), we do not believe that we were a PFIC for the taxable year ended December 31, 2024, and we do not expect to be or become a PFIC in the current taxable year or the foreseeable future.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non-passive income, or where we determine not to deploy significant amounts of cash for active purposes, our risk of becoming classified as a PFIC may substantially increase.</w:t>
      </w:r>
    </w:p>
    <w:p>
      <w:pPr>
        <w:spacing w:after="0" w:line="13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we are classified as a PFIC for any year during which a U.S. Holder holds our ADSs or Class A ordinary shares, the PFIC rules discussed below under “— Passive Foreign Investment Company Rules” generally will apply to such U.S. Holder for such taxable year, and unless the U.S. Holder makes certain elections, will apply in future years even if we cease to be a PFIC.</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(the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readily tradeable on the New York Stock Exchange, which is an established securities market in the United States. There can be no assurance, however, that our ADSs will be considered readily tradeable on an established securities market in later years.</w:t>
      </w:r>
    </w:p>
    <w:p>
      <w:pPr>
        <w:spacing w:after="0" w:line="33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 People’s Republic of China Taxation” above),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1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4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Treaty. Pursuant to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our ADSs or Class A ordinary shares.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or deduction under their particular circumstances, their eligibility for benefits under the Treaty and the potential impact of the Treasury Regulations.</w:t>
      </w:r>
    </w:p>
    <w:p>
      <w:pPr>
        <w:spacing w:after="0" w:line="200" w:lineRule="exact"/>
        <w:rPr>
          <w:sz w:val="20"/>
          <w:szCs w:val="20"/>
          <w:color w:val="auto"/>
        </w:rPr>
      </w:pPr>
    </w:p>
    <w:p>
      <w:pPr>
        <w:spacing w:after="0" w:line="2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U.S. Holder’s holding period for the ADSs or Class A ordinary shares), and (ii) any gain realized on the sale or other disposition of ADSs or Class A ordinary shares. Under the PFIC rules:</w:t>
      </w:r>
    </w:p>
    <w:p>
      <w:pPr>
        <w:spacing w:after="0" w:line="54" w:lineRule="exact"/>
        <w:rPr>
          <w:sz w:val="20"/>
          <w:szCs w:val="20"/>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9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and any of our subsidiaries, the VIEs or any of the subsidiaries of the VIEs are also a PFIC or we otherwise have any investment in a non-U.S. company that is treated as an equity interest in a PFIC for U.S. federal income tax purposes (any such subsidiary, VIE, subsidiary of the VIE, or non-U.S. company, a “lower-tier PFIC”), such U.S. Holder would be treated as owning a proportionate amount (by value) of the shares of the lower-tier PFIC for purposes of the application of these rules. U.S. Holders are urged to consult their tax advisors regarding the application of the PFIC rules to any of our lower-tier PFICs.</w:t>
      </w:r>
    </w:p>
    <w:p>
      <w:pPr>
        <w:spacing w:after="0" w:line="12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on a qualified exchange, as defined in applicable U.S. Treasury regulations. For those purposes, our ADSs, but not our Class A ordinary shares, are traded on the New York Stock Exchange which is a qualified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327"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Because a mark-to-market election technically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33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the holder must generally file an annual IRS Form 8621. Each U.S. Holder should consult its tax advisor regarding the U.S. federal income tax consequences of owning and disposing of our ADSs or Class A ordinary shares if we are or become a PFIC.</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the underwriters named below, for whom Morgan Stanley Asia Limited, UBS Securities LLC, UBS AG Hong Kong Branch and Deutsche Bank AG, Hong Kong Branch are acting as representatives, have severally agreed to purchase, and we have agreed to sell to them, severally, the number of ADSs and Class A ordinary shares indicated below:</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Number (in</w:t>
            </w:r>
          </w:p>
        </w:tc>
      </w:t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Class A</w:t>
            </w:r>
          </w:p>
        </w:tc>
      </w:t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5"/>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8"/>
              </w:rPr>
              <w:t>Ordinary</w:t>
            </w:r>
          </w:p>
        </w:tc>
      </w:tr>
      <w:tr>
        <w:trPr>
          <w:trHeight w:val="214"/>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ADSs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gridSpan w:val="2"/>
          </w:tcPr>
          <w:p>
            <w:pPr>
              <w:spacing w:after="0"/>
              <w:rPr>
                <w:sz w:val="18"/>
                <w:szCs w:val="18"/>
                <w:color w:val="auto"/>
              </w:rPr>
            </w:pPr>
          </w:p>
        </w:tc>
        <w:tc>
          <w:tcPr>
            <w:tcW w:w="88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r>
      <w:tr>
        <w:trPr>
          <w:trHeight w:val="20"/>
        </w:trPr>
        <w:tc>
          <w:tcPr>
            <w:tcW w:w="4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 ​ ​</w:t>
            </w:r>
          </w:p>
        </w:tc>
        <w:tc>
          <w:tcPr>
            <w:tcW w:w="68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 ​ ​ ​</w:t>
            </w:r>
          </w:p>
        </w:tc>
        <w:tc>
          <w:tcPr>
            <w:tcW w:w="84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UBS Securities LLC/UBS AG Hong Kong Branch</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Hong Kong Branch</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8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w:t>
            </w:r>
          </w:p>
        </w:tc>
        <w:tc>
          <w:tcPr>
            <w:tcW w:w="20" w:type="dxa"/>
            <w:vAlign w:val="bottom"/>
          </w:tcPr>
          <w:p>
            <w:pPr>
              <w:spacing w:after="0"/>
              <w:rPr>
                <w:sz w:val="23"/>
                <w:szCs w:val="23"/>
                <w:color w:val="auto"/>
              </w:rPr>
            </w:pPr>
          </w:p>
        </w:tc>
        <w:tc>
          <w:tcPr>
            <w:tcW w:w="96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w:t>
            </w:r>
          </w:p>
        </w:tc>
        <w:tc>
          <w:tcPr>
            <w:tcW w:w="11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​181,818,190</w:t>
            </w:r>
            <w:r>
              <w:rPr>
                <w:rFonts w:ascii="Times New Roman" w:cs="Times New Roman" w:eastAsia="Times New Roman" w:hAnsi="Times New Roman"/>
                <w:sz w:val="28"/>
                <w:szCs w:val="28"/>
                <w:color w:val="auto"/>
                <w:vertAlign w:val="subscript"/>
              </w:rPr>
              <w:t>​</w:t>
            </w:r>
          </w:p>
        </w:tc>
      </w:tr>
      <w:tr>
        <w:trPr>
          <w:trHeight w:val="21"/>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-702310</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-702310</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-702310</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5"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ADSs and Class A ordinary shares in the Primary Offering subject to their acceptance of the ADSs and Class A ordinary shares from us and subject to prior sale. The underwriting agreement provides that the obligations of the several underwriters are subject to the approval of certain legal matters by their counsel and to certain other conditions, such as lack of material adverse change, or any development involving a prospective material adverse change, in the business, financial condition and results of operations of the Company. The underwriters are obligated, severally but not jointly, to take and pay for all of the ADSs and Class A ordinary shares in the Primary Offering offered by this prospectus supplement if any such ADSs or Class A ordinary shares are taken. However, the underwriters are not required to take or pay for the ADSs covered by the underwriters’ option to purchase additional ADSs described below.</w:t>
      </w:r>
    </w:p>
    <w:p>
      <w:pPr>
        <w:spacing w:after="0" w:line="32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the ADSs and Class A ordinary shares directly to the public at the offering prices listed on the cover page of this prospectus supplement and to certain dealers. After the initial offering of the ADSs and Class A ordinary share, the offering prices and other selling terms may from time to time be varied by the representatives.</w:t>
      </w:r>
    </w:p>
    <w:p>
      <w:pPr>
        <w:spacing w:after="0" w:line="11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Some of the underwriters are expected to make offers and sales both inside and outside the United States through their respective selling agents. Any offers or sales in the United States will be conducted by broker-dealers registered with the SEC. Morgan Stanley Asia Limited is not a broker-dealer registered with the SEC, and, to the extent that its conduct may be deemed to involve participation in offers or sales of the ADSs or Class A ordinary shares in the United States, those offers or sales will be made through one or more SEC-registered broker-dealers in compliance with applicable laws and regulations. UBS AG Hong Kong Branch will offer ADSs or Class A ordinary shares in the United States through its SEC-registered broker-dealer affiliate in the United States, UBS Securities LLC. Deutsche Bank AG, Hong Kong Branch will offer ADSs or Class A ordinary shares in the United States through its SEC-registered broker-dealer affiliate in the United States, Deutsche Bank Securities Inc.</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to Purchase Additional ADSs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up to 27,272,729 additional ADSs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shows the per ADS, per Class A ordinary share and total public offering price, underwriting discounts and commissions, and proceeds before expenses to us. These amounts are shown assuming both no exercise and full exercise of the underwriters’ option to purchase up to an additional 27,272,729 ADSs.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Class A</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Full</w:t>
            </w:r>
          </w:p>
        </w:tc>
        <w:tc>
          <w:tcPr>
            <w:tcW w:w="220" w:type="dxa"/>
            <w:vAlign w:val="bottom"/>
          </w:tcPr>
          <w:p>
            <w:pPr>
              <w:spacing w:after="0"/>
              <w:rPr>
                <w:sz w:val="14"/>
                <w:szCs w:val="1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220" w:type="dxa"/>
            <w:vAlign w:val="bottom"/>
          </w:tcPr>
          <w:p>
            <w:pPr>
              <w:spacing w:after="0"/>
              <w:rPr>
                <w:sz w:val="14"/>
                <w:szCs w:val="14"/>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Full</w:t>
            </w:r>
          </w:p>
        </w:tc>
        <w:tc>
          <w:tcPr>
            <w:tcW w:w="40" w:type="dxa"/>
            <w:vAlign w:val="bottom"/>
          </w:tcPr>
          <w:p>
            <w:pPr>
              <w:spacing w:after="0"/>
              <w:rPr>
                <w:sz w:val="14"/>
                <w:szCs w:val="14"/>
                <w:color w:val="auto"/>
              </w:rPr>
            </w:pPr>
          </w:p>
        </w:tc>
      </w:tr>
      <w:tr>
        <w:trPr>
          <w:trHeight w:val="214"/>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gridSpan w:val="6"/>
          </w:tcPr>
          <w:p>
            <w:pPr>
              <w:ind w:left="5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Exercise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Exercise </w:t>
            </w:r>
            <w:r>
              <w:rPr>
                <w:rFonts w:ascii="Times New Roman" w:cs="Times New Roman" w:eastAsia="Times New Roman" w:hAnsi="Times New Roman"/>
                <w:sz w:val="24"/>
                <w:szCs w:val="24"/>
                <w:b w:val="1"/>
                <w:bCs w:val="1"/>
                <w:color w:val="auto"/>
                <w:vertAlign w:val="subscript"/>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148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Exercise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Exercise</w:t>
            </w:r>
            <w:r>
              <w:rPr>
                <w:rFonts w:ascii="Times New Roman" w:cs="Times New Roman" w:eastAsia="Times New Roman" w:hAnsi="Times New Roman"/>
                <w:sz w:val="24"/>
                <w:szCs w:val="24"/>
                <w:b w:val="1"/>
                <w:bCs w:val="1"/>
                <w:color w:val="auto"/>
                <w:vertAlign w:val="subscript"/>
              </w:rPr>
              <w:t>​</w:t>
            </w:r>
          </w:p>
        </w:tc>
      </w:tr>
      <w:tr>
        <w:trPr>
          <w:trHeight w:val="20"/>
        </w:trPr>
        <w:tc>
          <w:tcPr>
            <w:tcW w:w="3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US$</w:t>
            </w:r>
          </w:p>
        </w:tc>
        <w:tc>
          <w:tcPr>
            <w:tcW w:w="16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10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 paid by us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US$</w:t>
            </w:r>
          </w:p>
        </w:tc>
        <w:tc>
          <w:tcPr>
            <w:tcW w:w="16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10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US$</w:t>
            </w:r>
          </w:p>
        </w:tc>
        <w:tc>
          <w:tcPr>
            <w:tcW w:w="16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10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US$</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-624840</wp:posOffset>
            </wp:positionV>
            <wp:extent cx="52120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estimated offering expenses payable by us, inclusive of the underwriting discounts and commissions, are approximately US$            million. We have agreed to reimburse the underwriters for certain of their expenses in an amount up to US$            million. The underwriters have agreed to reimburse us for certain expenses incurred in connection with this offering.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Discretionary Sales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ADSs and Class A ordinary shares offered by them.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 of ADSs and Class A Ordinary Shares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ADSs are listed on the New York Stock Exchange under the trading symbol “NIO”. Our Class A ordinary shares are listed on The Stock Exchange of Hong Kong Limited, or the Hong Kong Stock Exchange, under the stock code “9866,” and on the Singapore Exchange under the symbol “NIO”.</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representatives on behalf of the underwriters, we will not, during the period ending 90 days after the date of this prospectus supplement, or the restricted period:</w:t>
      </w:r>
    </w:p>
    <w:p>
      <w:pPr>
        <w:spacing w:after="0" w:line="68" w:lineRule="exact"/>
        <w:rPr>
          <w:sz w:val="20"/>
          <w:szCs w:val="20"/>
          <w:color w:val="auto"/>
        </w:rPr>
      </w:pPr>
    </w:p>
    <w:p>
      <w:pPr>
        <w:jc w:val="both"/>
        <w:ind w:left="1800" w:right="419" w:hanging="180"/>
        <w:spacing w:after="0" w:line="258"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ADSs or ordinary shares beneficially owned (as such term is used in Rule 13d-3 of the Exchange Act) or any other securities so owned convertible into or exercisable or exchangeable for our ADSs or ordinary shares;</w:t>
      </w:r>
    </w:p>
    <w:p>
      <w:pPr>
        <w:spacing w:after="0" w:line="7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our ADSs or ordinary shares; or</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ADSs or ordinary shares or any securities convertible into or exercisable or exchangeable for our ADSs or ordinary shares,</w:t>
      </w:r>
    </w:p>
    <w:p>
      <w:pPr>
        <w:spacing w:after="0" w:line="95"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our ADSs, ordinary shares or such other securities, in cash or otherwise.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17"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and Class A ordinary shares to be sold in this offering;</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our ADSs or ordinary shares upon the exercise of an option or a warrant or other share-based right pursuant to the terms of our existing or future share incentive plans, or the conversion of a security outstanding on the date of this prospectus supplement and which is described herein;</w:t>
      </w:r>
    </w:p>
    <w:p>
      <w:pPr>
        <w:spacing w:after="0" w:line="4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securities in connection with any bona fide strategic investment, transactions and partnerships approved by our directors; or</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our ADSs or ordinary shares, provided that (i) such plan does not provide for the transfer of our ADSs or ordinary shares during the restricted period and (ii) no public announcement or filing under the Exchange Act is required of or voluntarily made by or on behalf of us regarding the establishment of such plan.</w:t>
      </w:r>
    </w:p>
    <w:p>
      <w:pPr>
        <w:spacing w:after="0" w:line="33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have agreed that, without the prior written consent of the representatives on behalf of the underwriters, they will not, during the restricted period:</w:t>
      </w:r>
    </w:p>
    <w:p>
      <w:pPr>
        <w:spacing w:after="0" w:line="54" w:lineRule="exact"/>
        <w:rPr>
          <w:sz w:val="20"/>
          <w:szCs w:val="20"/>
          <w:color w:val="auto"/>
        </w:rPr>
      </w:pPr>
    </w:p>
    <w:p>
      <w:pPr>
        <w:jc w:val="both"/>
        <w:ind w:left="1800" w:right="419" w:hanging="180"/>
        <w:spacing w:after="0" w:line="258"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ADSs or ordinary shares beneficially owned (as such term is used in Rule 13d-3 of the Securities Exchange Act of 1934, as amended) or any other securities so owned convertible into or exercisable or exchangeable for our ADSs or ordinary shares; or</w:t>
      </w:r>
    </w:p>
    <w:p>
      <w:pPr>
        <w:spacing w:after="0" w:line="6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our ADSs or ordinary shares,</w:t>
      </w:r>
    </w:p>
    <w:p>
      <w:pPr>
        <w:spacing w:after="0" w:line="81"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our ADSs, ordinary shares or such other securities, in cash or otherwise. In addition, each such person agrees that, without the prior written consent of the representatives on behalf of the underwriters, such person will not, during the restricted period, make any demand for, or exercise any right with respect to, the registration of any shares of ADSs or ordinary shares or any security convertible into or exercisable or exchangeable for our ADSs or ordinary shares.</w:t>
      </w:r>
    </w:p>
    <w:p>
      <w:pPr>
        <w:spacing w:after="0" w:line="32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are subject to certain exceptions, including, among others:</w:t>
      </w:r>
    </w:p>
    <w:p>
      <w:pPr>
        <w:spacing w:after="0" w:line="54" w:lineRule="exact"/>
        <w:rPr>
          <w:sz w:val="20"/>
          <w:szCs w:val="20"/>
          <w:color w:val="auto"/>
        </w:rPr>
      </w:pPr>
    </w:p>
    <w:p>
      <w:pPr>
        <w:jc w:val="both"/>
        <w:ind w:left="1800" w:right="419" w:hanging="180"/>
        <w:spacing w:after="0" w:line="259"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our ADSs, ordinary shares or other securities acquired in open market transactions after the completion of the offering; provided that no filing under the Exchange Act or other public announcement shall be required or shall be voluntarily made in connection with subsequent sales of ADSs, ordinary shares or other securities acquired in such open market transactions;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ADSs, ordinary shares or any security convertible into our ADSs or ordinary shares as a bona fide gift;</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of our ADSs, ordinary shares or any security convertible into our ADSs or ordinary shares to affiliates, limited partners or shareholders of such person;</w:t>
      </w:r>
    </w:p>
    <w:p>
      <w:pPr>
        <w:spacing w:after="0" w:line="26"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sales, transfers or dispositions of up to 20 million ordinary shares (or such number of ADSs represented thereby) held by NIO Users Limited, a holding company controlled by NIO Users Trust, which is under the control of Mr. Bin Li and his affiliates;</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our ADSs or ordinary shares, provided that (i) such plan does not provide for the transfer of our ADSs or ordinary shares during the restricted period and (ii) no public announcement or filing under the Exchange Act is required of or voluntarily made by or on behalf of us regarding the establishment of such plan; or</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operation of law, including pursuant to an order of a court (including a domestic order or a negotiated divorce settlement) or regulatory agency, provided that no public announcement shall be required or made voluntarily during the restricted period in connection with such transaction.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our ordinary shares and ADSs and other securities subject to the lock-up agreements described above in whole or in part at any time.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ADSs in the open market. These transactions may include short sales in accordance with Regulation M under the Exchange Act, stabilizing transactions and purchases to cover positions created by short sales. Short sales involve the sale by the underwriters of a greater number of ADSs than they are required to purchase in the offering. “Covered” short sales are sales made in an amount not greater than the underwriters’ option to purchase additional ADSs in the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additional ADSs pursuant to the option granted to them.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22"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323"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the ADSs, and together with the imposition of the penalty bid, may stabilize, maintain or otherwise affect the market price of the ADSs. As a result, the price of the ADSs may be higher than the price that otherwise might exist in the open market. If these activities are commenced, they are required to be conducted in accordance with applicable laws and regulations, and they may be discontinued at any time. These transactions may be effected on the New York Stock Exchange, the over-the-counter market or otherwise.</w:t>
      </w:r>
    </w:p>
    <w:p>
      <w:pPr>
        <w:spacing w:after="0" w:line="32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Any stabilization actions taken, if any, will be limited to ADSs only. The underwriters will not engage in transactions to stabilize the price of the Class A ordinary shares traded on the Hong Kong Stock Exchange.</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 electric format may be made available on websites maintained by one or more underwriters, or selling group members, if any, participating in this offering. The representatives may agree to allocate a number of ADSs or Class A ordinary shares to underwriters for sale to their online brokerage account holders. Internet distributions will be allocated by the representatives to underwriters that may make Internet distributions on the same basis as other allocations.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0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No action may be taken in any jurisdiction other than the United States that would permit a public offering of the ADSs or the Class A ordinary shares, or the possession, circulation or distribution of this prospectus supplement in any jurisdiction where action for that purpose is required. Accordingly, the ADSs and the Class A ordinary shares may not be offered or sold, directly or indirectly, and neither the prospectus supplement nor any other offering material or advertisements in connection with the ADSs or the Class A ordinary shares may be distributed or published in or from any country or jurisdiction except under circumstances that will result in compliance with any applicable laws, rules and regulations of any such country or jurisdiction.</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17" w:lineRule="exact"/>
        <w:rPr>
          <w:sz w:val="20"/>
          <w:szCs w:val="20"/>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or the Corporations Act;</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ADSs and the Class A ordinary shares may not be directly or indirectly offered for subscription or purchased or sold, and no invitations to subscribe for or buy the ADSs or the Class A ordinary shares may be issued, and no draft or definitive prospectus, advertisement or other offering material relating to any ADSs or Class A ordinary shares may be distributed in Australia, except where disclosure to investors is not required under Chapter 6D of the Corporations Act or is otherwise in compliance with all applicable Australian laws and regulations. By submitting an application for the ADSs or the Class A ordinary shares, you represent and warrant to us that you are an Exempt Investor.</w:t>
      </w:r>
    </w:p>
    <w:p>
      <w:pPr>
        <w:spacing w:after="0" w:line="11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any offer of ADSs and Class A ordinary shares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or Class A ordinary shares you undertake to us that you will not, for a period of 12 months from the date of issue of the ADSs or the Class A ordinary shares, offer, transfer, assign or otherwise alienate those ADSs or Class A ordinary shares to investors in Australia except in circumstances where disclosure to investors is not required under Chapter 6D.2 of the Corporations Act or where a compliant disclosure document is prepared and lodged with ASIC.</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ADSs and the Class A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or the Class A ordinary shares must be made in accordance with an exemption from, or in a transaction not subject to, the prospectus requirements of applicable securities laws.</w:t>
      </w:r>
    </w:p>
    <w:p>
      <w:pPr>
        <w:spacing w:after="0" w:line="11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This prospectus supplement does not constitute an invitation or offer to the public in the Cayman Islands of the ADSs or Class A ordinary shares, whether by way of sale or subscription. The underwriters have not offered or sold, and will not offer or sell, directly or indirectly, any ADSs or Class A ordinary shares in the Cayman Islands.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Center, or DIFC</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2012 of the Dubai Financial Services Authority, or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32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each a Relevant State, no ADSs or Class A ordinary shares have been offered or will be offered pursuant to this offering to the public in that Relevant State prior to the publication of a prospectus in relation to the ADSs and Class A ordinary shares which has been approved by the competent authority in that Relevant State or, where appropriate, approved in another Relevant State and notified to the competent authority in that Relevant State, all in accordance with the Prospectus Regulation, except that offers of ADSs or Class A ordinary shares may be made to the public in that Relevant State at any time under the following exemptions under the Prospectus Regulation:</w:t>
      </w:r>
    </w:p>
    <w:p>
      <w:pPr>
        <w:spacing w:after="0" w:line="114" w:lineRule="exact"/>
        <w:rPr>
          <w:sz w:val="20"/>
          <w:szCs w:val="20"/>
          <w:color w:val="auto"/>
        </w:rPr>
      </w:pPr>
    </w:p>
    <w:p>
      <w:pPr>
        <w:ind w:left="1980" w:right="419" w:hanging="360"/>
        <w:spacing w:after="0" w:line="261"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341"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or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4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ADSs or Class A ordinary shares shall require us or any underwriter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 a prospectus pursuant to Article 3 of the Prospectus Regulation or supplement a prospectus pursuant to Article 23 of the Prospectus Regulation and each person who initially acquires any ADSs or Class A ordinary shares or to whom any offer is made will be deemed to have represented, acknowledged and agreed to and with each of the underwriters and us that it is a “qualified investor” within the meaning of Article 2(e) of the Prospectus Regulation. In the case of any ADSs or Class A ordinary shares being offered to a financial intermediary as that term is used in the Prospectus Regulation, each such financial intermediary will be deemed to have represented, acknowledged and agreed that the ADSs or Class A ordinary shares acquired by it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offer have not been acquired on a non-discretionary basis on behalf of, nor have they been acquired with a view to their offer or resale to, persons in circumstances which may give rise to an offer of any ADSs or Class A ordinary shares to the public other than their offer or resale in a Relevant State to qualified investors as so defined or in circumstances in which the prior consent of the underwriters have been obtained to each such proposed offer or resale.</w:t>
      </w:r>
    </w:p>
    <w:p>
      <w:pPr>
        <w:spacing w:after="0" w:line="11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ADSs or Class A ordinary shares in any Relevant State means the communication in any form and by any means of sufficient information on the terms of the offer and any ADSs or Class A ordinary shares to be offered so as to enable an investor to decide to purchase or subscribe for any ADSs or Class A ordinary shares, and the expression “Prospectus Regulation” means Regulation (EU) 2017/1129 (as amended).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No ADSs or Class A ordinary shares have been offered or will be offered pursuant to the offering to the public in the United Kingdom prior to the publication of a prospectus in relation to the ADSs or Class A ordinary shares which have been approved by the Financial Conduct Authority, except that the ADSs and Class A ordinary shares may be offered to the public in the United Kingdom at any time:</w:t>
      </w:r>
    </w:p>
    <w:p>
      <w:pPr>
        <w:spacing w:after="0" w:line="110" w:lineRule="exact"/>
        <w:rPr>
          <w:sz w:val="20"/>
          <w:szCs w:val="20"/>
          <w:color w:val="auto"/>
        </w:rPr>
      </w:pPr>
    </w:p>
    <w:p>
      <w:pPr>
        <w:ind w:left="1980" w:right="419" w:hanging="360"/>
        <w:spacing w:after="0" w:line="282" w:lineRule="auto"/>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80"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56"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ADSs or Class A ordinary shares shall require us or any underwriter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publish a prospectus pursuant to Section 85 of the FSMA or supplement a prospectus pursuant to Article 23 of the UK Prospectus Regulation. For the purposes of this provision, the expression an “offer to the public” in relation to the ADSs or Class A ordinary shares in the United Kingdom means the communication in any form and by any means of sufficient information on the terms of the offer and any ADSs or Class A ordinary shares to be offered so as to enable an investor to decide to purchase or subscribe for any ADSs or Class A ordinary shares and the expression “UK Prospectus Regulation” means Regulation (EU) 2017/1129 as it forms part of domestic law by virtue of the European Union (Withdrawal) Act 2018.</w:t>
      </w:r>
    </w:p>
    <w:p>
      <w:pPr>
        <w:spacing w:after="0" w:line="11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addition, in the United Kingdom, this prospectus supplement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or Class A ordinary shares in the United Kingdom within the meaning of the Financial Services and Markets Act 2000.</w:t>
      </w:r>
    </w:p>
    <w:p>
      <w:pPr>
        <w:spacing w:after="0" w:line="11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Germany</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Directive-compliant prospectus in accordance with the German Securities Prospectus Act (Wertpapierprospektgesetz) and does therefore not allow any public offering in the Federal Republic of Germany, or Germany, or any other Relevant Member State pursuant to § 17 and § 18 of the German Securities Prospectus Act. No action has been or will be taken in Germany that would permit a public offering of the ADSs or Class A ordinary shares, or distribution of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prospectus or any other offering material relating to the ADSs or Class A ordinary shares. In particular, no securities prospectus (Wertpapierprospekt) within the meaning of the German Securities Prospectus Act or any other applicable laws of Germany, has been or will be published within Germany, nor has this prospectus supplement been filed with or approved by the German Federal Financial Supervisory Authority (Bundesanstalt für Finanzdienstleistungsaufsicht) for publication within Germany.</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Each underwriter will represent, agree and undertake (i) that it has not offered, sold or delivered and will not offer, sell or deliver the ADSs or Class A ordinary shares within Germany other than in accordance with the German Securities Prospectus Act (Wertpapierprospektgesetz) and any other applicable laws in Germany governing the issue, sale and offering of ADSs or Class A ordinary shares, and (ii) that it will distribute in Germany any offering material relating to the ADSs and Class A ordinary shares only under circumstances that will result in compliance with the applicable rules and regulations of Germany.</w:t>
      </w:r>
    </w:p>
    <w:p>
      <w:pPr>
        <w:spacing w:after="0" w:line="11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This prospectus supplement is strictly for use of the person who has received it. It may not be forwarded to other persons or published in Germany.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ADSs and/or Class A ordinary shares have not been offered or sold and will not be offered or sold in Hong Kong, by means of any document, other than (a) to “professional investors” as defined in the Securities and Futures Ordinance (Cap. 571 of the Laws of Hong Kong) and any rules made thereunder; or</w:t>
      </w:r>
    </w:p>
    <w:p>
      <w:pPr>
        <w:jc w:val="both"/>
        <w:ind w:left="1260" w:right="419"/>
        <w:spacing w:after="0"/>
        <w:tabs>
          <w:tab w:leader="none" w:pos="15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ADSs and/or Class A ordinary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and/or Class A ordinary shares which are or are intended to be disposed of only to persons outside Hong Kong or only to “professional investors” as defined in the SFO and any rules made thereunder.</w:t>
      </w:r>
    </w:p>
    <w:p>
      <w:pPr>
        <w:spacing w:after="0" w:line="180"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Notice to Capital Market Intermediaries and Prospective Investors Pursuant to Paragraph 21 of the Hong Kong SFC Code of Conduct — Important Notice to Prospective Investors</w:t>
      </w:r>
    </w:p>
    <w:p>
      <w:pPr>
        <w:spacing w:after="0" w:line="7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Prospective investors should be aware that certain intermediaries in the context of this offering of the securities, including the underwriters, are “capital market intermediaries” ​(together, the “CMIs”) subject to Paragraph 21 of the Code of Conduct for Persons Licensed by or Registered with the Securities and Futures Commission (the “SFC Code”). This notice to prospective investors is a summary of certain obligations the SFC Code imposes on such CMIs, which require the attention and cooperation of prospective investors. Certain CMIs may also be acting as “overall coordinators” (the​ “OCs”) for this offering and are subject to additional requirements under the SFC Code.</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Prospective investors who are the directors, employees or major shareholders of the issuer, a CMI or its group companies would be considered under the SFC Code as having an association (“association”) with the issuer, the CMI or the relevant group company (as the case may be). Prospective investors associated with the issuer or any CMI (including its group companies) should specifically disclose this when placing an order for the relevant securities and should disclose, at the same time, if such orders may negatively impact the price discovery process in relation to this offering. Prospective investors who do not disclose their associations are hereby deemed not to be so associated. Where prospective investors disclose their associations but do not disclose that such order may negatively impact the price discovery process in relation to this offering, such order is hereby deemed not to negatively impact the price discovery process in relation to this offering.</w:t>
      </w:r>
    </w:p>
    <w:p>
      <w:pPr>
        <w:spacing w:after="0" w:line="32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Prospective investors should ensure, and by placing an order prospective investors are deemed to confirm, that orders placed are bona fide, are not inflated and do not constitute duplicated orders (i.e., two or more corresponding or identical orders placed via two or more CMIs). If a prospective investor is an asset management arm affiliated with any relevant underwriter(s), such prospective investor should indicate when placing an order if it is for a fund or portfolio where the relevant underwriter(s) or its group company has more than 50% interest, in which case it will be classified as a “proprietary order” and subject to appropriate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handling by CMIs in accordance with the SFC Code and should disclose, at the same time, if such “proprietary order” may negatively impact the price discovery process in relation to this offering. Prospective investors who do not indicate this information when placing an order are hereby deemed to confirm that their order is not such a “proprietary order”. If a prospective investor is otherwise affiliated with any relevant underwriter(s), such that its order may be considered to be a “proprietary order” (pursuant​</w:t>
      </w:r>
    </w:p>
    <w:p>
      <w:pPr>
        <w:spacing w:after="0" w:line="3"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to the SFC Code), such prospective investor should indicate to the relevant underwriter(s) when placing such order and such orders will be subject to applicable requirements in accordance with the SFC Code. Prospective investors who do not indicate this information when placing an order are hereby deemed to confirm that their order is not a “proprietary order”. Where prospective investors disclose such information but do not disclose that such “proprietary order” may negatively impact the price discovery process in relation to this offering, such “proprietary order” is hereby deemed not to negatively impact the price discovery process in relation to this offering.</w:t>
      </w:r>
    </w:p>
    <w:p>
      <w:pPr>
        <w:spacing w:after="0" w:line="11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Prospective investors should be aware that certain information may be disclosed by CMIs (including private banks) which is personal and/or confidential in nature to the prospective investor. By placing an order, prospective investors are deemed to have understood and consented to the collection, disclosure, use and transfer of such information by the relevant underwriter(s) and/or any other third parties as may be required by the SFC Code, including to the issuer, any OCs, relevant regulators and/or any other third parties as may be required by the SFC Code, it being understood and agreed that such information shall only be used for the purpose of complying with the SFC Code, during the bookbuilding process for this offering. Failure to provide such information may result in that order being rejected.</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4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under the Israeli Securities Law, 5728-1968, and has not been filed with or approved by the Israel Securities Authority. In Israel, this prospectus supplement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 supplement.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Italy</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offering of ADSs and Class A ordinary shares has not been registered with the Commissione Nazionale per le Società e la Borsa, or CONSOB, pursuant to Italian securities legislation and, accordingly, no ADSs or Class A ordinary shares may be offered, sold or delivered, nor copies of this prospectus supplement or any other documents relating to the ADSs or Class A ordinary shares may be distributed in Italy except:</w:t>
      </w:r>
    </w:p>
    <w:p>
      <w:pPr>
        <w:spacing w:after="0" w:line="282" w:lineRule="exact"/>
        <w:rPr>
          <w:sz w:val="20"/>
          <w:szCs w:val="20"/>
          <w:color w:val="auto"/>
        </w:rPr>
      </w:pPr>
    </w:p>
    <w:p>
      <w:pPr>
        <w:jc w:val="both"/>
        <w:ind w:left="1800" w:right="419" w:hanging="180"/>
        <w:spacing w:after="0" w:line="258"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as referred to in Article 100 of Legislative Decree No. 58 of February 24, 1998, as amended, or the Decree No. 58, and defined in Article 26, paragraph 1, letter d) of CONSOB Regulation No. 16190 of October 29, 2007, as amended, or Regulation No. 16190, pursuant to Article 34-ter, paragraph 1, letter. b) of CONSOB Regulation No. 11971 of May 14, 1999, as amended, or Regulation No. 11971; or</w:t>
      </w:r>
    </w:p>
    <w:p>
      <w:pPr>
        <w:spacing w:after="0" w:line="7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where an express exemption from compliance with the offer restrictions applies, as provided under Decree No. 58 or Regulation No. 11971.</w:t>
      </w:r>
    </w:p>
    <w:p>
      <w:pPr>
        <w:spacing w:after="0" w:line="9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Any offer, sale or delivery of the ADSs or Class A ordinary shares or distribution of copies of this prospectus supplement or any other documents relating to the ADSs or Class A ordinary shares in the Republic of Italy must be:</w:t>
      </w:r>
    </w:p>
    <w:p>
      <w:pPr>
        <w:spacing w:after="0" w:line="61" w:lineRule="exact"/>
        <w:rPr>
          <w:sz w:val="20"/>
          <w:szCs w:val="20"/>
          <w:color w:val="auto"/>
        </w:rPr>
      </w:pPr>
    </w:p>
    <w:p>
      <w:pPr>
        <w:jc w:val="both"/>
        <w:ind w:left="1800" w:right="41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investment firms, banks or financial intermediaries permitted to conduct such activities in the Republic of Italy in accordance with Legislative Decree No. 385 of September 1, 1993, as amended, or the Banking Law, Decree No. 58 and Regulation No. 16190 and any other applicable laws and regulations;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Law, and the implementing guidelines of the Bank of Italy, as amended;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notification requirement or limitation which may be imposed, from time to time, by CONSOB or the Bank of Italy or other competent authority.</w:t>
      </w:r>
    </w:p>
    <w:p>
      <w:pPr>
        <w:spacing w:after="0" w:line="9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Please note that, in accordance with Article 100-bis of Decree No. 58, where no exemption from the rules on public offerings applies, the subsequent distribution of the ADSs or Class A ordinary shares on the secondary market in Italy must be made in compliance with the public offer and the prospectus requirement rules provided under Decree No. 58 and Regulation No. 11971.</w:t>
      </w:r>
    </w:p>
    <w:p>
      <w:pPr>
        <w:spacing w:after="0" w:line="11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Furthermore, ADSs and Class A ordinary shares which are initially offered and placed in Italy or abroad to qualified investors only but in the following year are regularly distributed on the secondary market in Italy to non-qualified investors become subject to the public offer and the prospectus requirement rules provided under Decree No. 58 and Regulation No. 11971. Failure to comply with such rules may result in the sale of the ADSs and Class A ordinary shares being declared null and void and in the liability of the intermediary transferring the ADSs or Class A ordinary shares for any damages suffered by such non-qualified investors.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ADSs and Class A ordinary shares have not been and will not be registered pursuant to Article 4, Paragraph 1 of the Financial Instruments and Exchange Act. Accordingly, none of the ADSs or Class A ordinary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Kuwait</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or Class A ordinary shares, these may not be marketed, offered for sale, nor sold in the State of Kuwait. Neither this prospectus supplement (including any related document), nor any of the information contained therein is intended to lead to the conclusion of any contract of whatsoever nature within Kuwait.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will not be circulated or distributed in the PRC and the ADSs and Class A ordinary shares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ADSs and Class A ordinary shares described in this prospectus supplement have not been, and will not be, offered, sold or delivered, at any time, directly or indirectly in the State of Qatar in a manner that would constitute a public offering. This prospectus supplement has not been, and will not be, registered with or approved by the Qatar Financial Markets Authority or Qatar Central Bank and may not be publicly distributed. This prospectus supplement is intended for the original recipient only and must not be provided to any other person. It is not for general circulation in the State of Qatar and may not be reproduced or used for any other purpose.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has not been and will not be registered as a prospectus with the Monetary Authority of Singapore. Accordingly, this prospectus supplement and any other document or material in connection with the offer or sale, or invitation for subscription or purchase, of any ADSs or Class A ordinary shares may not be circulated or distributed, nor may any ADSs or Class A ordinary shares be offered or sold, or be made the subject of an invitation for subscription or purchase, whether directly or indirectly, to any person in Singapore other than:</w:t>
      </w:r>
    </w:p>
    <w:p>
      <w:pPr>
        <w:spacing w:after="0" w:line="133" w:lineRule="exact"/>
        <w:rPr>
          <w:sz w:val="20"/>
          <w:szCs w:val="20"/>
          <w:color w:val="auto"/>
        </w:rPr>
      </w:pPr>
    </w:p>
    <w:p>
      <w:pPr>
        <w:ind w:left="1980" w:right="419" w:hanging="360"/>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SFA) pursuant to Section 274 of the SFA; or</w:t>
      </w:r>
    </w:p>
    <w:p>
      <w:pPr>
        <w:spacing w:after="0" w:line="10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accredited investor (as defined in Section 4A of the SFA), pursuant to and in accordance with the conditions specified in Section 275 of the SFA.</w:t>
      </w:r>
    </w:p>
    <w:p>
      <w:pPr>
        <w:spacing w:after="0" w:line="8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ADSs and Class A ordinary shares may not be publicly offered in Switzerland and will not be listed on the SIX Swiss Exchange, or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ADSs, Class A ordinary shares or the offering may be publicly distributed or otherwise made publicly available in Switzerland.</w:t>
      </w:r>
    </w:p>
    <w:p>
      <w:pPr>
        <w:spacing w:after="0" w:line="34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us, the ADSs or the Class A ordinary shares have been or will be filed with or approved by any Swiss regulatory authority. In particular, this prospectus supplement will not be filed with, and the offer of ADSs and Class A ordinary shares will not be supervised by, the Swiss Financial Market Supervisory Authority FINMA (FINMA), and the offer of ADSs and Class A ordinary shares has not been and will not be authorized under the Swiss Federal Act on Collective Investment Schemes, or CISA. The investor protection afforded to acquirers of interests in collective investment schemes under the CISA does not extend to acquirers of ADSs or Class A ordinary shares.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ADSs and Class A ordinary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or Class A ordinary shares in Taiwan.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ADSs and Class A ordinary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and is not intended to be a public offer. This prospectus supplement has not been approved by or filed with the Central Bank of the United Arab Emirates, the Securities and Commodities Authority or the Dubai Financial Services Authority.</w:t>
      </w:r>
    </w:p>
    <w:p>
      <w:pPr>
        <w:spacing w:after="0" w:line="16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Notice to Capital Market Intermediaries and Prospective Investors pursuant to paragraph 21 of the Hong Kong SFC Code of Conduct — Important Notice to CMIs (including private banks)</w:t>
      </w:r>
    </w:p>
    <w:p>
      <w:pPr>
        <w:spacing w:after="0" w:line="7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notice to CMIs (including private banks) is a summary of certain obligations the SFC Code imposes on CMIs, which require the attention and cooperation of other CMIs (including private banks). Certain CMIs may also be acting as OCs for this offering and are subject to additional requirements under the SFC Code.</w:t>
      </w:r>
    </w:p>
    <w:p>
      <w:pPr>
        <w:spacing w:after="0" w:line="323"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Paragraph 21.3.3(c) of the SFC Code requires that a CMI should take all reasonable steps to identify whether investors may have any associations with the issuer and provide sufficient information to the OCs to enable it to assess whether orders placed by these investors may negatively impact the price discovery process.</w:t>
      </w:r>
    </w:p>
    <w:p>
      <w:pPr>
        <w:spacing w:after="0" w:line="323"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Prospective investors who are the directors, employees or major shareholders of the issuer, a CMI or its group companies would be considered under the SFC Code as having an association with the issuer, the CMI or the relevant group company (as the case may be). CMIs should specifically disclose whether their investor clients have any Association when submitting orders for the relevant securities. In addition, private banks should take all reasonable steps to identify whether their investor clients may have any associations with the issuer, or any CMI (including its group companies) and inform the underwriter accordingly.</w:t>
      </w:r>
    </w:p>
    <w:p>
      <w:pPr>
        <w:spacing w:after="0" w:line="11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CMIs are informed that the marketing and investor targeting strategy for this offering includes institutional investors, long-only investors, sovereign wealth funds, pension funds and hedge funds, in each case, subject to the selling restrictions set out elsewhere in this prospectus supplement.</w:t>
      </w:r>
    </w:p>
    <w:p>
      <w:pPr>
        <w:spacing w:after="0" w:line="10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CMIs should ensure that orders placed are bona fide, are not inflated and do not constitute duplicated orders (i.e., two or more corresponding or identical orders placed via two or more CMIs). CMIs should enquire with their investor clients regarding any orders which appear unusual or irregular. CMIs should disclose the identities of all investors when submitting orders for the relevant securities (except for omnibus orders where underlying investor information should be provided to the OCs when submitting orders). Failure to provide underlying investor information for omnibus orders, where required to do so, may result in that order being rejected. CMI should not place “X-orders” into the order book.</w:t>
      </w:r>
    </w:p>
    <w:p>
      <w:pPr>
        <w:spacing w:after="0" w:line="1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CMIs should segregate and clearly identify their own proprietary orders (and those of their group companies, including private banks as the case may be) in the order book and book messages.</w:t>
      </w:r>
    </w:p>
    <w:p>
      <w:pPr>
        <w:spacing w:after="0" w:line="9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CMIs (including private banks) should not offer any rebates to prospective investors or pass on any rebates provided by the issuer. In addition, CMIs (including private banks) should not enter into arrangements which may result in prospective investors paying different prices for the securities.</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SFC Code requires that a CMI disclose complete and accurate information in a timely manner on the status of the order book and other relevant information it receives to targeted investors for them to make an informed decision. In order to do this, those underwriters in control of the order book should consider disclosing order book updates to all CMIs.</w:t>
      </w:r>
    </w:p>
    <w:p>
      <w:pPr>
        <w:spacing w:after="0" w:line="9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When placing an order for the securities, private banks should disclose, at the same time, if such order is placed other than on a “principal” basis (whereby it is deploying its own balance sheet for onward selling to investors). Private banks who do not provide such disclosure are hereby deemed to be placing their order on such a “principal” basis. Private banks who disclose that they are placing their order other than on a “principal” basis (i.e., they are acting as an agent) should note that such order may be considered to be an omnibus order pursuant to the SFC Code. Private banks should be aware that if any of their group companies is a CMI of this offering, placing an order on a “principal” basis may require the underwriter to apply the “proprietary orders” of the SFC Code to such order and will require the underwriter to apply the “rebates” requirements of the SFC Code to such order.</w:t>
      </w:r>
    </w:p>
    <w:p>
      <w:pPr>
        <w:spacing w:after="0" w:line="121"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In relation to omnibus orders, when submitting such orders, CMIs (including private banks) are requested to provide the following underlying investor information, preferably in Excel Workbook format, in respect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each order constituting the relevant omnibus order (failure to provide such information may result in that order being rejected). To the extent information being disclosed by CMIs and investors is personal and/or confidential in nature, CMIs (including private banks) agree and warrant: (A) to take appropriate steps to safeguard the transmission of such information to the OCs; (B) that they have obtained the necessary consents from the underlying investors to disclose such information to the OCs. By submitting an order and providing such information to the OCs, each CMI (including private banks) further warrants that they and the underlying investors have understood and consented to the collection, disclosure, use and transfer of such information by the OCs and/or any other third parties as may be required by the SFC Code, including to the issuer, relevant regulators and/or any other third parties as may be required by the SFC Code, for the purpose of complying with the SFC Code, during the bookbuilding process for this offering. CMIs that receive such underlying investor information are reminded that such information should be used only for submitting orders in this offering. The underwriter may be asked to demonstrate compliance with their obligations under the SFC Code, and may request other CMIs (including private banks) to provide evidence showing compliance with the obligations above (in particular, that the necessary consents have been obtained). In such event, other CMIs (including private banks) are required to provide the relevant underwriter with such evidence within the timeline requested.</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​Offering:</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Date:</w:t>
      </w:r>
    </w:p>
    <w:p>
      <w:pPr>
        <w:ind w:left="1260"/>
        <w:spacing w:after="0" w:line="181"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Name of prospective investor:</w:t>
      </w:r>
    </w:p>
    <w:p>
      <w:pPr>
        <w:ind w:left="1260" w:right="20"/>
        <w:spacing w:after="0" w:line="290"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Type of unique identification of prospective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line="313" w:lineRule="auto"/>
        <w:rPr>
          <w:sz w:val="20"/>
          <w:szCs w:val="20"/>
          <w:color w:val="auto"/>
        </w:rPr>
      </w:pPr>
      <w:r>
        <w:rPr>
          <w:rFonts w:ascii="Times New Roman" w:cs="Times New Roman" w:eastAsia="Times New Roman" w:hAnsi="Times New Roman"/>
          <w:sz w:val="18"/>
          <w:szCs w:val="18"/>
          <w:color w:val="auto"/>
        </w:rPr>
        <w:t>​Unique identification number of prospective investor:</w:t>
      </w:r>
    </w:p>
    <w:p>
      <w:pPr>
        <w:ind w:left="1260"/>
        <w:spacing w:after="0" w:line="221"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Order size (and any price limits)</w:t>
      </w:r>
    </w:p>
    <w:p>
      <w:pPr>
        <w:ind w:left="1260"/>
        <w:spacing w:after="0" w:line="184"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Other information:</w:t>
      </w:r>
    </w:p>
    <w:p>
      <w:pPr>
        <w:spacing w:after="0" w:line="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b/>
        <w:t>Associations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216"/>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 ​ bluerise_ms_all@morganstanley.com</w:t>
            </w:r>
          </w:p>
        </w:tc>
        <w:tc>
          <w:tcPr>
            <w:tcW w:w="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16"/>
        </w:trPr>
        <w:tc>
          <w:tcPr>
            <w:tcW w:w="4200" w:type="dxa"/>
            <w:vAlign w:val="bottom"/>
            <w:gridSpan w:val="5"/>
          </w:tcPr>
          <w:p>
            <w:pPr>
              <w:ind w:left="220"/>
              <w:spacing w:after="0"/>
              <w:rPr>
                <w:sz w:val="20"/>
                <w:szCs w:val="20"/>
                <w:color w:val="auto"/>
              </w:rPr>
            </w:pPr>
            <w:r>
              <w:rPr>
                <w:rFonts w:ascii="Times New Roman" w:cs="Times New Roman" w:eastAsia="Times New Roman" w:hAnsi="Times New Roman"/>
                <w:sz w:val="18"/>
                <w:szCs w:val="18"/>
                <w:i w:val="1"/>
                <w:iCs w:val="1"/>
                <w:color w:val="auto"/>
              </w:rPr>
              <w:t>ol-gb+-project-bluerise@ubs.com</w:t>
            </w:r>
          </w:p>
        </w:tc>
        <w:tc>
          <w:tcPr>
            <w:tcW w:w="60" w:type="dxa"/>
            <w:vAlign w:val="bottom"/>
          </w:tcPr>
          <w:p>
            <w:pPr>
              <w:spacing w:after="0"/>
              <w:rPr>
                <w:sz w:val="18"/>
                <w:szCs w:val="18"/>
                <w:color w:val="auto"/>
              </w:rPr>
            </w:pPr>
          </w:p>
        </w:tc>
      </w:tr>
      <w:tr>
        <w:trPr>
          <w:trHeight w:val="236"/>
        </w:trPr>
        <w:tc>
          <w:tcPr>
            <w:tcW w:w="4200" w:type="dxa"/>
            <w:vAlign w:val="bottom"/>
            <w:gridSpan w:val="5"/>
          </w:tcPr>
          <w:p>
            <w:pPr>
              <w:ind w:left="220"/>
              <w:spacing w:after="0"/>
              <w:rPr>
                <w:sz w:val="20"/>
                <w:szCs w:val="20"/>
                <w:color w:val="auto"/>
              </w:rPr>
            </w:pPr>
            <w:r>
              <w:rPr>
                <w:rFonts w:ascii="Times New Roman" w:cs="Times New Roman" w:eastAsia="Times New Roman" w:hAnsi="Times New Roman"/>
                <w:sz w:val="18"/>
                <w:szCs w:val="18"/>
                <w:i w:val="1"/>
                <w:iCs w:val="1"/>
                <w:color w:val="auto"/>
              </w:rPr>
              <w:t>‘project.bluerise@list.db.com</w:t>
            </w:r>
          </w:p>
        </w:tc>
        <w:tc>
          <w:tcPr>
            <w:tcW w:w="60" w:type="dxa"/>
            <w:vAlign w:val="bottom"/>
          </w:tcPr>
          <w:p>
            <w:pPr>
              <w:spacing w:after="0"/>
              <w:rPr>
                <w:sz w:val="20"/>
                <w:szCs w:val="20"/>
                <w:color w:val="auto"/>
              </w:rPr>
            </w:pPr>
          </w:p>
        </w:tc>
      </w:tr>
      <w:tr>
        <w:trPr>
          <w:trHeight w:val="203"/>
        </w:trPr>
        <w:tc>
          <w:tcPr>
            <w:tcW w:w="4200" w:type="dxa"/>
            <w:vAlign w:val="bottom"/>
            <w:gridSpan w:val="5"/>
          </w:tcPr>
          <w:p>
            <w:pPr>
              <w:ind w:left="220"/>
              <w:spacing w:after="0" w:line="202" w:lineRule="exact"/>
              <w:rPr>
                <w:sz w:val="20"/>
                <w:szCs w:val="20"/>
                <w:color w:val="auto"/>
              </w:rPr>
            </w:pPr>
            <w:r>
              <w:rPr>
                <w:rFonts w:ascii="Times New Roman" w:cs="Times New Roman" w:eastAsia="Times New Roman" w:hAnsi="Times New Roman"/>
                <w:sz w:val="18"/>
                <w:szCs w:val="18"/>
                <w:i w:val="1"/>
                <w:iCs w:val="1"/>
                <w:color w:val="auto"/>
              </w:rPr>
              <w:t>CMIs submitting orders should send ALL of the</w:t>
            </w:r>
          </w:p>
        </w:tc>
        <w:tc>
          <w:tcPr>
            <w:tcW w:w="6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200" w:type="dxa"/>
            <w:vAlign w:val="bottom"/>
            <w:gridSpan w:val="5"/>
          </w:tcPr>
          <w:p>
            <w:pPr>
              <w:ind w:left="220"/>
              <w:spacing w:after="0"/>
              <w:rPr>
                <w:sz w:val="20"/>
                <w:szCs w:val="20"/>
                <w:color w:val="auto"/>
              </w:rPr>
            </w:pPr>
            <w:r>
              <w:rPr>
                <w:rFonts w:ascii="Times New Roman" w:cs="Times New Roman" w:eastAsia="Times New Roman" w:hAnsi="Times New Roman"/>
                <w:sz w:val="18"/>
                <w:szCs w:val="18"/>
                <w:i w:val="1"/>
                <w:iCs w:val="1"/>
                <w:color w:val="auto"/>
              </w:rPr>
              <w:t>below information, at the same time as such order is</w:t>
            </w:r>
          </w:p>
        </w:tc>
        <w:tc>
          <w:tcPr>
            <w:tcW w:w="60" w:type="dxa"/>
            <w:vAlign w:val="bottom"/>
          </w:tcPr>
          <w:p>
            <w:pPr>
              <w:spacing w:after="0"/>
              <w:rPr>
                <w:sz w:val="18"/>
                <w:szCs w:val="18"/>
                <w:color w:val="auto"/>
              </w:rPr>
            </w:pPr>
          </w:p>
        </w:tc>
      </w:tr>
      <w:tr>
        <w:trPr>
          <w:trHeight w:val="196"/>
        </w:trPr>
        <w:tc>
          <w:tcPr>
            <w:tcW w:w="4200" w:type="dxa"/>
            <w:vAlign w:val="bottom"/>
            <w:gridSpan w:val="5"/>
          </w:tcPr>
          <w:p>
            <w:pPr>
              <w:ind w:left="220"/>
              <w:spacing w:after="0" w:line="196" w:lineRule="exact"/>
              <w:rPr>
                <w:sz w:val="20"/>
                <w:szCs w:val="20"/>
                <w:color w:val="auto"/>
              </w:rPr>
            </w:pPr>
            <w:r>
              <w:rPr>
                <w:rFonts w:ascii="Times New Roman" w:cs="Times New Roman" w:eastAsia="Times New Roman" w:hAnsi="Times New Roman"/>
                <w:sz w:val="18"/>
                <w:szCs w:val="18"/>
                <w:i w:val="1"/>
                <w:iCs w:val="1"/>
                <w:color w:val="auto"/>
              </w:rPr>
              <w:t>submitted,  to  EACH  OC  contact  set  out  above.</w:t>
            </w:r>
          </w:p>
        </w:tc>
        <w:tc>
          <w:tcPr>
            <w:tcW w:w="6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200" w:type="dxa"/>
            <w:vAlign w:val="bottom"/>
            <w:gridSpan w:val="5"/>
          </w:tcPr>
          <w:p>
            <w:pPr>
              <w:ind w:left="220"/>
              <w:spacing w:after="0"/>
              <w:rPr>
                <w:sz w:val="20"/>
                <w:szCs w:val="20"/>
                <w:color w:val="auto"/>
              </w:rPr>
            </w:pPr>
            <w:r>
              <w:rPr>
                <w:rFonts w:ascii="Times New Roman" w:cs="Times New Roman" w:eastAsia="Times New Roman" w:hAnsi="Times New Roman"/>
                <w:sz w:val="18"/>
                <w:szCs w:val="18"/>
                <w:i w:val="1"/>
                <w:iCs w:val="1"/>
                <w:color w:val="auto"/>
              </w:rPr>
              <w:t>Failure to do so may result in such order being</w:t>
            </w:r>
          </w:p>
        </w:tc>
        <w:tc>
          <w:tcPr>
            <w:tcW w:w="60" w:type="dxa"/>
            <w:vAlign w:val="bottom"/>
          </w:tcPr>
          <w:p>
            <w:pPr>
              <w:spacing w:after="0"/>
              <w:rPr>
                <w:sz w:val="18"/>
                <w:szCs w:val="18"/>
                <w:color w:val="auto"/>
              </w:rPr>
            </w:pPr>
          </w:p>
        </w:tc>
      </w:tr>
      <w:tr>
        <w:trPr>
          <w:trHeight w:val="236"/>
        </w:trPr>
        <w:tc>
          <w:tcPr>
            <w:tcW w:w="4200" w:type="dxa"/>
            <w:vAlign w:val="bottom"/>
            <w:gridSpan w:val="5"/>
          </w:tcPr>
          <w:p>
            <w:pPr>
              <w:ind w:left="220"/>
              <w:spacing w:after="0"/>
              <w:rPr>
                <w:sz w:val="20"/>
                <w:szCs w:val="20"/>
                <w:color w:val="auto"/>
              </w:rPr>
            </w:pPr>
            <w:r>
              <w:rPr>
                <w:rFonts w:ascii="Times New Roman" w:cs="Times New Roman" w:eastAsia="Times New Roman" w:hAnsi="Times New Roman"/>
                <w:sz w:val="18"/>
                <w:szCs w:val="18"/>
                <w:i w:val="1"/>
                <w:iCs w:val="1"/>
                <w:color w:val="auto"/>
              </w:rPr>
              <w:t>rejected.</w:t>
            </w:r>
          </w:p>
        </w:tc>
        <w:tc>
          <w:tcPr>
            <w:tcW w:w="60" w:type="dxa"/>
            <w:vAlign w:val="bottom"/>
          </w:tcPr>
          <w:p>
            <w:pPr>
              <w:spacing w:after="0"/>
              <w:rPr>
                <w:sz w:val="20"/>
                <w:szCs w:val="20"/>
                <w:color w:val="auto"/>
              </w:rPr>
            </w:pPr>
          </w:p>
        </w:tc>
      </w:tr>
    </w:tbl>
    <w:p>
      <w:pPr>
        <w:spacing w:after="0" w:line="36" w:lineRule="exact"/>
        <w:rPr>
          <w:sz w:val="20"/>
          <w:szCs w:val="20"/>
          <w:color w:val="auto"/>
        </w:rPr>
      </w:pPr>
    </w:p>
    <w:p>
      <w:pPr>
        <w:jc w:val="both"/>
        <w:ind w:left="224" w:right="359" w:hanging="215"/>
        <w:spacing w:after="0" w:line="269" w:lineRule="auto"/>
        <w:rPr>
          <w:sz w:val="20"/>
          <w:szCs w:val="20"/>
          <w:color w:val="auto"/>
        </w:rPr>
      </w:pPr>
      <w:r>
        <w:rPr>
          <w:rFonts w:ascii="Times New Roman" w:cs="Times New Roman" w:eastAsia="Times New Roman" w:hAnsi="Times New Roman"/>
          <w:sz w:val="18"/>
          <w:szCs w:val="18"/>
          <w:color w:val="auto"/>
        </w:rPr>
        <w:t>​ ​           American depositary shares and          Class A​ ordinary shares</w:t>
      </w:r>
    </w:p>
    <w:p>
      <w:pPr>
        <w:spacing w:after="0" w:line="2" w:lineRule="exact"/>
        <w:rPr>
          <w:sz w:val="20"/>
          <w:szCs w:val="20"/>
          <w:color w:val="auto"/>
        </w:rPr>
      </w:pPr>
    </w:p>
    <w:p>
      <w:pPr>
        <w:ind w:left="4"/>
        <w:spacing w:after="0"/>
        <w:tabs>
          <w:tab w:leader="none" w:pos="4183"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4"/>
        <w:spacing w:after="0"/>
        <w:tabs>
          <w:tab w:leader="none" w:pos="4183"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ind w:left="224" w:right="359" w:hanging="215"/>
        <w:spacing w:after="0" w:line="315" w:lineRule="auto"/>
        <w:rPr>
          <w:sz w:val="20"/>
          <w:szCs w:val="20"/>
          <w:color w:val="auto"/>
        </w:rPr>
      </w:pPr>
      <w:r>
        <w:rPr>
          <w:rFonts w:ascii="Times New Roman" w:cs="Times New Roman" w:eastAsia="Times New Roman" w:hAnsi="Times New Roman"/>
          <w:sz w:val="18"/>
          <w:szCs w:val="18"/>
          <w:i w:val="1"/>
          <w:iCs w:val="1"/>
          <w:color w:val="auto"/>
        </w:rPr>
        <w:t xml:space="preserve">​ ​ For </w:t>
      </w:r>
      <w:r>
        <w:rPr>
          <w:rFonts w:ascii="Times New Roman" w:cs="Times New Roman" w:eastAsia="Times New Roman" w:hAnsi="Times New Roman"/>
          <w:sz w:val="18"/>
          <w:szCs w:val="18"/>
          <w:b w:val="1"/>
          <w:bCs w:val="1"/>
          <w:i w:val="1"/>
          <w:iCs w:val="1"/>
          <w:color w:val="auto"/>
        </w:rPr>
        <w:t>individual investor clients</w:t>
      </w:r>
      <w:r>
        <w:rPr>
          <w:rFonts w:ascii="Times New Roman" w:cs="Times New Roman" w:eastAsia="Times New Roman" w:hAnsi="Times New Roman"/>
          <w:sz w:val="18"/>
          <w:szCs w:val="18"/>
          <w:i w:val="1"/>
          <w:iCs w:val="1"/>
          <w:color w:val="auto"/>
        </w:rPr>
        <w:t>, indicate one of the​ following:</w:t>
      </w:r>
    </w:p>
    <w:p>
      <w:pPr>
        <w:spacing w:after="0" w:line="37" w:lineRule="exact"/>
        <w:rPr>
          <w:sz w:val="20"/>
          <w:szCs w:val="20"/>
          <w:color w:val="auto"/>
        </w:rPr>
      </w:pPr>
    </w:p>
    <w:p>
      <w:pPr>
        <w:ind w:left="224"/>
        <w:spacing w:after="0"/>
        <w:tabs>
          <w:tab w:leader="none" w:pos="563"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i w:val="1"/>
          <w:iCs w:val="1"/>
          <w:color w:val="auto"/>
        </w:rPr>
        <w:t>HKID card; or</w:t>
      </w:r>
    </w:p>
    <w:p>
      <w:pPr>
        <w:spacing w:after="0" w:line="117" w:lineRule="exact"/>
        <w:rPr>
          <w:sz w:val="20"/>
          <w:szCs w:val="20"/>
          <w:color w:val="auto"/>
        </w:rPr>
      </w:pPr>
    </w:p>
    <w:p>
      <w:pPr>
        <w:ind w:left="224" w:right="1299"/>
        <w:spacing w:after="0" w:line="38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national identification document; or</w:t>
      </w:r>
      <w:r>
        <w:rPr>
          <w:rFonts w:ascii="Times New Roman" w:cs="Times New Roman" w:eastAsia="Times New Roman" w:hAnsi="Times New Roman"/>
          <w:sz w:val="18"/>
          <w:szCs w:val="18"/>
          <w:color w:val="auto"/>
        </w:rPr>
        <w:t xml:space="preserve"> (iii) </w:t>
      </w:r>
      <w:r>
        <w:rPr>
          <w:rFonts w:ascii="Times New Roman" w:cs="Times New Roman" w:eastAsia="Times New Roman" w:hAnsi="Times New Roman"/>
          <w:sz w:val="18"/>
          <w:szCs w:val="18"/>
          <w:i w:val="1"/>
          <w:iCs w:val="1"/>
          <w:color w:val="auto"/>
        </w:rPr>
        <w:t>passport.</w:t>
      </w:r>
    </w:p>
    <w:p>
      <w:pPr>
        <w:spacing w:after="0" w:line="1" w:lineRule="exact"/>
        <w:rPr>
          <w:sz w:val="20"/>
          <w:szCs w:val="20"/>
          <w:color w:val="auto"/>
        </w:rPr>
      </w:pPr>
    </w:p>
    <w:p>
      <w:pPr>
        <w:ind w:left="224" w:right="419"/>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For </w:t>
      </w:r>
      <w:r>
        <w:rPr>
          <w:rFonts w:ascii="Times New Roman" w:cs="Times New Roman" w:eastAsia="Times New Roman" w:hAnsi="Times New Roman"/>
          <w:sz w:val="18"/>
          <w:szCs w:val="18"/>
          <w:b w:val="1"/>
          <w:bCs w:val="1"/>
          <w:i w:val="1"/>
          <w:iCs w:val="1"/>
          <w:color w:val="auto"/>
        </w:rPr>
        <w:t>corporate investor clients</w:t>
      </w:r>
      <w:r>
        <w:rPr>
          <w:rFonts w:ascii="Times New Roman" w:cs="Times New Roman" w:eastAsia="Times New Roman" w:hAnsi="Times New Roman"/>
          <w:sz w:val="18"/>
          <w:szCs w:val="18"/>
          <w:i w:val="1"/>
          <w:iCs w:val="1"/>
          <w:color w:val="auto"/>
        </w:rPr>
        <w:t>, indicate one of the following:</w:t>
      </w:r>
    </w:p>
    <w:p>
      <w:pPr>
        <w:spacing w:after="0" w:line="76" w:lineRule="exact"/>
        <w:rPr>
          <w:sz w:val="20"/>
          <w:szCs w:val="20"/>
          <w:color w:val="auto"/>
        </w:rPr>
      </w:pPr>
    </w:p>
    <w:p>
      <w:pPr>
        <w:ind w:left="584" w:hanging="368"/>
        <w:spacing w:after="0"/>
        <w:tabs>
          <w:tab w:leader="none" w:pos="5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entity identifier (LEI) registration; or</w:t>
      </w:r>
    </w:p>
    <w:p>
      <w:pPr>
        <w:spacing w:after="0" w:line="117" w:lineRule="exact"/>
        <w:rPr>
          <w:rFonts w:ascii="Times New Roman" w:cs="Times New Roman" w:eastAsia="Times New Roman" w:hAnsi="Times New Roman"/>
          <w:sz w:val="18"/>
          <w:szCs w:val="18"/>
          <w:color w:val="auto"/>
        </w:rPr>
      </w:pPr>
    </w:p>
    <w:p>
      <w:pPr>
        <w:ind w:left="584" w:hanging="368"/>
        <w:spacing w:after="0"/>
        <w:tabs>
          <w:tab w:leader="none" w:pos="5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incorporation identifier; or</w:t>
      </w:r>
    </w:p>
    <w:p>
      <w:pPr>
        <w:spacing w:after="0" w:line="117" w:lineRule="exact"/>
        <w:rPr>
          <w:rFonts w:ascii="Times New Roman" w:cs="Times New Roman" w:eastAsia="Times New Roman" w:hAnsi="Times New Roman"/>
          <w:sz w:val="18"/>
          <w:szCs w:val="18"/>
          <w:color w:val="auto"/>
        </w:rPr>
      </w:pPr>
    </w:p>
    <w:p>
      <w:pPr>
        <w:ind w:left="584" w:hanging="368"/>
        <w:spacing w:after="0"/>
        <w:tabs>
          <w:tab w:leader="none" w:pos="5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registration identifier; or</w:t>
      </w:r>
    </w:p>
    <w:p>
      <w:pPr>
        <w:spacing w:after="0" w:line="117" w:lineRule="exact"/>
        <w:rPr>
          <w:rFonts w:ascii="Times New Roman" w:cs="Times New Roman" w:eastAsia="Times New Roman" w:hAnsi="Times New Roman"/>
          <w:sz w:val="18"/>
          <w:szCs w:val="18"/>
          <w:color w:val="auto"/>
        </w:rPr>
      </w:pPr>
    </w:p>
    <w:p>
      <w:pPr>
        <w:ind w:left="584" w:hanging="368"/>
        <w:spacing w:after="0"/>
        <w:tabs>
          <w:tab w:leader="none" w:pos="5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equivalent identity document identifier.</w:t>
      </w:r>
    </w:p>
    <w:p>
      <w:pPr>
        <w:spacing w:after="0" w:line="38" w:lineRule="exact"/>
        <w:rPr>
          <w:rFonts w:ascii="Times New Roman" w:cs="Times New Roman" w:eastAsia="Times New Roman" w:hAnsi="Times New Roman"/>
          <w:sz w:val="18"/>
          <w:szCs w:val="18"/>
          <w:color w:val="auto"/>
        </w:rPr>
      </w:pPr>
    </w:p>
    <w:p>
      <w:pPr>
        <w:jc w:val="right"/>
        <w:ind w:left="224" w:right="359" w:hanging="224"/>
        <w:spacing w:after="0" w:line="276" w:lineRule="auto"/>
        <w:tabs>
          <w:tab w:leader="none" w:pos="1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  the  unique  identification  number  which​ corresponds  with  the  above  “type”  of  unique</w:t>
      </w:r>
    </w:p>
    <w:p>
      <w:pPr>
        <w:ind w:left="224"/>
        <w:spacing w:after="0" w:line="238" w:lineRule="auto"/>
        <w:rPr>
          <w:sz w:val="20"/>
          <w:szCs w:val="20"/>
          <w:color w:val="auto"/>
        </w:rPr>
      </w:pPr>
      <w:r>
        <w:rPr>
          <w:rFonts w:ascii="Times New Roman" w:cs="Times New Roman" w:eastAsia="Times New Roman" w:hAnsi="Times New Roman"/>
          <w:sz w:val="18"/>
          <w:szCs w:val="18"/>
          <w:color w:val="auto"/>
        </w:rPr>
        <w:t>identification</w:t>
      </w:r>
    </w:p>
    <w:p>
      <w:pPr>
        <w:ind w:left="4"/>
        <w:spacing w:after="0"/>
        <w:tabs>
          <w:tab w:leader="none" w:pos="4183"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4"/>
        <w:spacing w:after="0"/>
        <w:tabs>
          <w:tab w:leader="none" w:pos="4183"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ind w:left="224" w:right="359" w:hanging="215"/>
        <w:spacing w:after="0" w:line="266" w:lineRule="auto"/>
        <w:rPr>
          <w:sz w:val="20"/>
          <w:szCs w:val="20"/>
          <w:color w:val="auto"/>
        </w:rPr>
      </w:pPr>
      <w:r>
        <w:rPr>
          <w:rFonts w:ascii="Times New Roman" w:cs="Times New Roman" w:eastAsia="Times New Roman" w:hAnsi="Times New Roman"/>
          <w:sz w:val="18"/>
          <w:szCs w:val="18"/>
          <w:i w:val="1"/>
          <w:iCs w:val="1"/>
          <w:color w:val="auto"/>
        </w:rPr>
        <w:t>​ ​ Identify any “Associations” (as​ defined above) and,​ if any Associations identified, provide sufficient information to enable the OCs to assess whether such order may negatively impact the price discovery process.</w:t>
      </w:r>
    </w:p>
    <w:p>
      <w:pPr>
        <w:spacing w:after="0" w:line="200" w:lineRule="exact"/>
        <w:rPr>
          <w:sz w:val="20"/>
          <w:szCs w:val="20"/>
          <w:color w:val="auto"/>
        </w:rPr>
      </w:pPr>
    </w:p>
    <w:p>
      <w:pPr>
        <w:sectPr>
          <w:pgSz w:w="11900" w:h="16838" w:orient="portrait"/>
          <w:cols w:equalWidth="0" w:num="2">
            <w:col w:w="4600" w:space="656"/>
            <w:col w:w="4623"/>
          </w:cols>
          <w:pgMar w:left="580" w:top="97" w:right="1440" w:bottom="1440" w:gutter="0" w:footer="0" w:header="0"/>
          <w:type w:val="continuous"/>
        </w:sectPr>
      </w:pPr>
    </w:p>
    <w:p>
      <w:pPr>
        <w:spacing w:after="0" w:line="1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b/>
        <w:t>Proprietary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20" w:right="80" w:hanging="359"/>
        <w:spacing w:after="0" w:line="266" w:lineRule="auto"/>
        <w:tabs>
          <w:tab w:leader="none" w:pos="1600" w:val="left"/>
        </w:tabs>
        <w:rPr>
          <w:sz w:val="20"/>
          <w:szCs w:val="20"/>
          <w:color w:val="auto"/>
        </w:rPr>
      </w:pPr>
      <w:r>
        <w:rPr>
          <w:rFonts w:ascii="Times New Roman" w:cs="Times New Roman" w:eastAsia="Times New Roman" w:hAnsi="Times New Roman"/>
          <w:sz w:val="18"/>
          <w:szCs w:val="18"/>
          <w:color w:val="auto"/>
        </w:rPr>
        <w:t>​—</w:t>
        <w:tab/>
        <w:t>Duplicated Orders (i.e., two or more corresponding or identical orders placed via two or more CMIs)</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Contact information of CMI submitting the order: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359" w:hanging="215"/>
        <w:spacing w:after="0" w:line="260" w:lineRule="auto"/>
        <w:rPr>
          <w:sz w:val="20"/>
          <w:szCs w:val="20"/>
          <w:color w:val="auto"/>
        </w:rPr>
      </w:pPr>
      <w:r>
        <w:rPr>
          <w:rFonts w:ascii="Times New Roman" w:cs="Times New Roman" w:eastAsia="Times New Roman" w:hAnsi="Times New Roman"/>
          <w:sz w:val="18"/>
          <w:szCs w:val="18"/>
          <w:i w:val="1"/>
          <w:iCs w:val="1"/>
          <w:color w:val="auto"/>
        </w:rPr>
        <w:t>​ ​ Identify if this order is a “Proprietary Order” (as​​ used in the SFC Code) and, if so, provide sufficient information to enable the OCs to assess whether such order may negatively impact the price discovery process</w:t>
      </w:r>
    </w:p>
    <w:p>
      <w:pPr>
        <w:spacing w:after="0" w:line="203" w:lineRule="exact"/>
        <w:rPr>
          <w:sz w:val="20"/>
          <w:szCs w:val="20"/>
          <w:color w:val="auto"/>
        </w:rPr>
      </w:pPr>
    </w:p>
    <w:p>
      <w:pPr>
        <w:jc w:val="both"/>
        <w:ind w:right="359" w:hanging="215"/>
        <w:spacing w:after="0" w:line="267"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If</w:t>
      </w:r>
      <w:r>
        <w:rPr>
          <w:sz w:val="20"/>
          <w:szCs w:val="20"/>
          <w:color w:val="auto"/>
        </w:rPr>
        <w:t xml:space="preserve"> </w:t>
      </w:r>
      <w:r>
        <w:rPr>
          <w:rFonts w:ascii="Times New Roman" w:cs="Times New Roman" w:eastAsia="Times New Roman" w:hAnsi="Times New Roman"/>
          <w:sz w:val="18"/>
          <w:szCs w:val="18"/>
          <w:i w:val="1"/>
          <w:iCs w:val="1"/>
          <w:color w:val="auto"/>
        </w:rPr>
        <w:t>the prospective investor has placed an/any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order(s) via other CMIs in this offering, identify if this order is (i) a separate/unique order or (ii) a duplicated order.</w:t>
      </w:r>
    </w:p>
    <w:p>
      <w:pPr>
        <w:spacing w:after="0" w:line="200" w:lineRule="exact"/>
        <w:rPr>
          <w:sz w:val="20"/>
          <w:szCs w:val="20"/>
          <w:color w:val="auto"/>
        </w:rPr>
      </w:pPr>
    </w:p>
    <w:p>
      <w:pPr>
        <w:jc w:val="both"/>
        <w:ind w:right="359" w:hanging="215"/>
        <w:spacing w:after="0" w:line="279" w:lineRule="auto"/>
        <w:rPr>
          <w:sz w:val="20"/>
          <w:szCs w:val="20"/>
          <w:color w:val="auto"/>
        </w:rPr>
      </w:pPr>
      <w:r>
        <w:rPr>
          <w:rFonts w:ascii="Times New Roman" w:cs="Times New Roman" w:eastAsia="Times New Roman" w:hAnsi="Times New Roman"/>
          <w:sz w:val="18"/>
          <w:szCs w:val="18"/>
          <w:i w:val="1"/>
          <w:iCs w:val="1"/>
          <w:color w:val="auto"/>
        </w:rPr>
        <w:t>​ ​ Provide 24-hour contact details (telephone and​ email) of relevant individual(s) who may be contacted in relation to this order.</w:t>
      </w:r>
    </w:p>
    <w:p>
      <w:pPr>
        <w:spacing w:after="0" w:line="200" w:lineRule="exact"/>
        <w:rPr>
          <w:sz w:val="20"/>
          <w:szCs w:val="20"/>
          <w:color w:val="auto"/>
        </w:rPr>
      </w:pPr>
    </w:p>
    <w:p>
      <w:pPr>
        <w:sectPr>
          <w:pgSz w:w="11900" w:h="16838" w:orient="portrait"/>
          <w:cols w:equalWidth="0" w:num="2">
            <w:col w:w="5020" w:space="460"/>
            <w:col w:w="4399"/>
          </w:cols>
          <w:pgMar w:left="580" w:top="97" w:right="1440" w:bottom="1440" w:gutter="0" w:footer="0" w:header="0"/>
          <w:type w:val="continuous"/>
        </w:sectPr>
      </w:pPr>
    </w:p>
    <w:p>
      <w:pPr>
        <w:spacing w:after="0" w:line="45"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the context of any offering of securities, the underwriters and other intermediaries are “capital market intermediaries” ​(CMIs) subject to Paragraph 21 of the SFC Code.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Restricted Investors and Proprietary Orders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Prospective investors to whom the allocation of shares will be subject to restrictions or require prior consent from The Stock Exchange of Hong Kong Limited (SEHK) under The Rules Governing the Listing of Securities on the SEHK (Listing Rules) and other regulatory requirements or guidance issued by the SEHK from time to time (SEHK Requirements) would be considered as “Restricted Investors”. Shares may only be allocated to Restricted Investors in accordance with applicable SEHK Requirements. Prospective investors should specifically disclose whether they are Restricted Investors to underwriters (and we may be required to pass such information to the Issuer and certain other CMIs) when placing an order for such securities. Prospective investors who do not disclose whether they are Restricted Investors are deemed not to be Restricted Investors. If an investor is an asset management arm affiliated with underwriters, such prospective investor should indicate when placing an order if it is for a fund or portfolio where underwriters or their group company has more than 50% interest, in which case it will be classified as a “proprietary order” and subject to appropriate handling by CMIs in accordance with the SFC Code and the Listing Rules. Prospective investors who do not indicate that their order is such a “proprietary order” are hereby deemed to confirm that their order is not such a “proprietary order”. If a prospective investor is otherwise affiliated with underwriters, such that its order may be considered to be a “proprietary order” ​(pursuant to the SFC Code), such prospective investor should indicate to underwriters when placing such order and such orders will be subject to applicable requirements in accordance with the SFC Code and the Listing Rules. Prospective investors who do not indicate this information when placing an order are hereby deemed to confirm that their order is not such a “proprietary order”.</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Order Book Transparency</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Prospective investors should ensure, and by placing an order prospective investors are deemed to confirm, that orders placed with underwriters are bona fide, are not inflated and do not constitute duplicated orders (i.e. two or more corresponding or identical orders placed via two or more CMIs). In addition, any other CMIs (including Private Banks) submitting orders with underwriters should disclose the identities of all investors when submitting orders with us. When placing an order, Private Banks should disclose, at the same time, if such order is placed other than on a “principal” basis (whereby it is deploying its own balance sheet for onward selling to investors). Private Banks who do not provide such disclosure are hereby deemed to be placing their order on such a “principal” basis. Private Banks who disclose that they are placing their order other than on a “principal” basis (i.e. they are acting as an agent) should note that such order may be considered to be an omnibus order (see further below) pursuant to the SFC Code. Private Banks should be aware that if any of their group companies is a CMI of this offering, placing an order on a “principal” basis may require underwriters to apply the “proprietary orders” requirements of the SFC Code to such order. In the case of omnibus orders placed with underwriters, CMIs (including Private Banks) should, at the same time, provide underlying investor information (name and unique identification number) in the format and to the relevant recipients indicated to you by underwriters at the relevant time. Failure to provide such information will result in that order being rejected. In sharing such underlying investor information, which may be personal and/or confidential in nature, you should (i) take appropriate steps to safeguard the transmission of such information; (ii) are deemed to have obtained the necessary consents to disclose such</w:t>
      </w:r>
    </w:p>
    <w:p>
      <w:pPr>
        <w:sectPr>
          <w:pgSz w:w="11900" w:h="16838" w:orient="portrait"/>
          <w:cols w:equalWidth="0" w:num="1">
            <w:col w:w="9879"/>
          </w:cols>
          <w:pgMar w:left="580" w:top="97" w:right="1440" w:bottom="1440" w:gutter="0" w:footer="0" w:header="0"/>
          <w:type w:val="continuous"/>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information; and (iii) are deemed to have authorized the collection, disclosure, use and transfer of such information by underwriters and/or any other third parties as may be required by the SFC Code. In addition, prospective investors should be aware that certain information may be disclosed by us and other CMIs which is personal and/or confidential in nature to the prospective investor. By placing an order with us, prospective investors are deemed to have authorised the collection, disclosure, use and transfer of such information by underwriters to the Issuer, certain other CMIs, relevant regulators and/or any other third parties as may be required by the SFC Code, it being understood and agreed that such information shall only be used in connection with the relevant offering.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Rebates and Preferential Treatment</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terms and conditions of the relevant offering will be set out in full in the applicable offering document(s), pricing supplement or equivalent document. If the applicable offering document(s), pricing supplement or equivalent document discloses any rebate (if permissible) (including a rebate to Private Banks), prospective investors should contact their usual underwriters Sales contact for further details, including the details required to be provided to prospective investors pursuant to Paragraph 21.3.7(b) of the SFC Code. CMIs (including Private Banks) should not offer any rebates to prospective investor clients or pass on any rebates provided by the Issuer to prospective investors nor enter into any arrangements which may enable prospective investors to pay for each of the shares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are being represented by Skadden, Arps, Slate, Meagher &amp; Flom LLP with respect to certain legal matters as to United States federal securities law and New York state law. The underwriters are being represented by Latham &amp; Watkins LLP with respect to certain legal matters as to United States federal securities law and New York State law. The validity of the Class A ordinary shares and/or the ordinary shares represented by the ADSs registered hereby and legal matters as to Cayman Islands law will be passed upon for us by Maples and Calder (Hong Kong) LLP. Certain legal matters as to PRC law will be passed upon for us by Han Kun Law Offices and for the underwriters by Commerce &amp; Finance Law Offices. Skadden, Arps, Slate, Meagher &amp; Flom LLP may rely upon Maples and Calder (Hong Kong) LLP with respect to matters governed by Cayman Islands law and Han Kun Law Offices with respect to matters governed by PRC law. Latham &amp; Watkins LLP may rely upon Commerce &amp; Finance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or the Exchange Act, that are applicable to a foreign private issuer. We file reports, including annual reports on Form 20-F, and other information with the SEC pursuant to the Exchange Act and the rules and regulations of the SEC that apply to foreign private issuers. Our SEC filings are available over the internet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website is ir.nio.com. The information contained on, or linked from, our website is not a part of this prospectus supplement.</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with the SEC, using a shelf registration process under the Securities Act, relating to the securities to be offered. This prospectus supplement and the accompanying prospectus omit some information contained in the registration statement in accordance with SEC rules and regulations. You should review the information and exhibits in the registration statement for further information on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We incorporate by reference the documents listed below in this prospectus supplement:</w:t>
      </w:r>
    </w:p>
    <w:p>
      <w:pPr>
        <w:spacing w:after="0" w:line="117" w:lineRule="exact"/>
        <w:rPr>
          <w:sz w:val="20"/>
          <w:szCs w:val="20"/>
          <w:color w:val="auto"/>
        </w:rPr>
      </w:pPr>
    </w:p>
    <w:p>
      <w:pPr>
        <w:ind w:left="1800" w:right="419" w:hanging="180"/>
        <w:spacing w:after="0" w:line="282" w:lineRule="auto"/>
        <w:tabs>
          <w:tab w:leader="none" w:pos="1800" w:val="left"/>
        </w:tabs>
        <w:numPr>
          <w:ilvl w:val="0"/>
          <w:numId w:val="44"/>
        </w:numPr>
        <w:rPr>
          <w:rFonts w:ascii="Times New Roman" w:cs="Times New Roman" w:eastAsia="Times New Roman" w:hAnsi="Times New Roman"/>
          <w:sz w:val="18"/>
          <w:szCs w:val="18"/>
          <w:color w:val="0000EE"/>
        </w:rPr>
      </w:pPr>
      <w:hyperlink r:id="rId11">
        <w:r>
          <w:rPr>
            <w:rFonts w:ascii="Times New Roman" w:cs="Times New Roman" w:eastAsia="Times New Roman" w:hAnsi="Times New Roman"/>
            <w:sz w:val="18"/>
            <w:szCs w:val="18"/>
            <w:u w:val="single" w:color="auto"/>
            <w:color w:val="0000EE"/>
          </w:rPr>
          <w:t>Our annual report on Form 20-F for the fiscal year ended December 31, 2024 filed with the SEC on</w:t>
        </w:r>
      </w:hyperlink>
      <w:r>
        <w:rPr>
          <w:rFonts w:ascii="Times New Roman" w:cs="Times New Roman" w:eastAsia="Times New Roman" w:hAnsi="Times New Roman"/>
          <w:sz w:val="18"/>
          <w:szCs w:val="18"/>
          <w:u w:val="single" w:color="auto"/>
          <w:color w:val="0000EE"/>
        </w:rPr>
        <w:t xml:space="preserve"> </w:t>
      </w:r>
      <w:hyperlink r:id="rId11">
        <w:r>
          <w:rPr>
            <w:rFonts w:ascii="Times New Roman" w:cs="Times New Roman" w:eastAsia="Times New Roman" w:hAnsi="Times New Roman"/>
            <w:sz w:val="18"/>
            <w:szCs w:val="18"/>
            <w:u w:val="single" w:color="auto"/>
            <w:color w:val="0000EE"/>
          </w:rPr>
          <w:t>April 8, 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jc w:val="both"/>
        <w:ind w:left="1800" w:right="41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6-K with the Unaudited Interim Condensed Consolidated Financial Statements attached as Exhibit 99.1 and the “Management’s Discussion and Analysis of Financial Condition and Results of Operations” attached as Exhibit 99.2 furnished with the SEC on September 10, 2025;</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4"/>
        </w:numPr>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auto"/>
          </w:rPr>
          <w:t xml:space="preserve">The description of the securities contained in our registration statement on </w:t>
        </w:r>
        <w:r>
          <w:rPr>
            <w:rFonts w:ascii="Times New Roman" w:cs="Times New Roman" w:eastAsia="Times New Roman" w:hAnsi="Times New Roman"/>
            <w:sz w:val="18"/>
            <w:szCs w:val="18"/>
            <w:u w:val="single" w:color="auto"/>
            <w:color w:val="0000EE"/>
          </w:rPr>
          <w:t>Form 8-A filed on</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EE"/>
          </w:rPr>
          <w:t>August 28, 2018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Section 12 of the Exchange Act, together with all amendments and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filed for the purpose of updating that description; and</w:t>
      </w:r>
    </w:p>
    <w:p>
      <w:pPr>
        <w:spacing w:after="0" w:line="67" w:lineRule="exact"/>
        <w:rPr>
          <w:rFonts w:ascii="Times New Roman" w:cs="Times New Roman" w:eastAsia="Times New Roman" w:hAnsi="Times New Roman"/>
          <w:sz w:val="18"/>
          <w:szCs w:val="18"/>
          <w:color w:val="0000EE"/>
        </w:rPr>
      </w:pPr>
    </w:p>
    <w:p>
      <w:pPr>
        <w:jc w:val="both"/>
        <w:ind w:left="1800" w:right="41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offering of the securities under this prospectus supplement, all subsequent reports on Form 20-F, and any report on Form 6-K that indicates it (or any applicable portions thereof) is being incorporated by reference that we file with or furnish to the SEC on or after the date hereof and until the termination or completion of the offering by means of this prospectus supplement.</w:t>
      </w:r>
    </w:p>
    <w:p>
      <w:pPr>
        <w:spacing w:after="0" w:line="99" w:lineRule="exact"/>
        <w:rPr>
          <w:rFonts w:ascii="Times New Roman" w:cs="Times New Roman" w:eastAsia="Times New Roman" w:hAnsi="Times New Roman"/>
          <w:sz w:val="18"/>
          <w:szCs w:val="18"/>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112"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NIO Inc.</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Building 19, No. 1355, Caobao Road</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Minhang District, Shanghai</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Tel: +86 21 6908-2018</w:t>
      </w:r>
    </w:p>
    <w:p>
      <w:pPr>
        <w:spacing w:after="0" w:line="9" w:lineRule="exact"/>
        <w:rPr>
          <w:rFonts w:ascii="Times New Roman" w:cs="Times New Roman" w:eastAsia="Times New Roman" w:hAnsi="Times New Roman"/>
          <w:sz w:val="18"/>
          <w:szCs w:val="18"/>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Investor Relations Department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S-74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130175</wp:posOffset>
            </wp:positionV>
            <wp:extent cx="917575" cy="3175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91757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15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i w:val="1"/>
          <w:iCs w:val="1"/>
          <w:color w:val="auto"/>
        </w:rPr>
        <w:t>CLASS A ORDINARY SHARES</w:t>
      </w:r>
    </w:p>
    <w:p>
      <w:pPr>
        <w:spacing w:after="0" w:line="1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We may from time to time in one or more offerings offer and sell our Class A ordinary shares, including</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 A ordinary shares represented by American depositary shares, or ADSs. Each ADS represents one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 A ordinary share.</w:t>
      </w:r>
    </w:p>
    <w:p>
      <w:pPr>
        <w:spacing w:after="0" w:line="137"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In addition, from time to time, the selling shareholders to be named in a prospectus supplement may offer and sell our Class A ordinary shares held by them. The selling shareholders may sell our Class A ordinary shares through public or private transactions at prevailing market prices or at privately negotiated prices. We will not receive any proceeds from the sale of our Class A ordinary shares by the selling shareholders.</w:t>
      </w:r>
    </w:p>
    <w:p>
      <w:pPr>
        <w:spacing w:after="0" w:line="318"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We will provide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33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they hold to purchase additional securities will be described in the applicable prospectus supplement. For a more complete description of the plan of distribution of these securities, see the section entitled “Plan of Distribution” beginning on page 40 of this prospectus.</w:t>
      </w:r>
    </w:p>
    <w:p>
      <w:pPr>
        <w:spacing w:after="0" w:line="11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ADSs are listed on the New York Stock Exchange under the symbol “NIO.” On May 20, 2024, the last reported sale price of the ADSs on the New York Stock Exchange was US$5.22 per ADS. Our Class A ordinary shares are listed on The Stock Exchange of Hong Kong Limited, or the Hong Kong Stock Exchange, under the stock code “9866.” On May 20, 2024, the last reported trading price of the Class A ordinary shares on the Hong Kong Stock Exchange was HK$39.85 per share, or US$5.10 per ADS based on an exchange rate of HK$7.8109 to US$1.00 as of December 29, 2023. Our Class A ordinary shares are listed on The Singapore Exchange Securities Trading Limited, or the Singapore Exchange, under the symbol “NIO.” On May 20, 2024, the last reported trading price of the Class A ordinary shares on the Singapore Exchange was US$5.16 per share, or US$5.16 per ADS.</w:t>
      </w:r>
    </w:p>
    <w:p>
      <w:pPr>
        <w:spacing w:after="0" w:line="105" w:lineRule="exact"/>
        <w:rPr>
          <w:sz w:val="20"/>
          <w:szCs w:val="20"/>
          <w:color w:val="auto"/>
        </w:rPr>
      </w:pPr>
    </w:p>
    <w:p>
      <w:pPr>
        <w:jc w:val="both"/>
        <w:ind w:left="1260" w:right="419" w:firstLine="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Investing in our securities involves a high degree of risk. You should carefully consider the “Risk Factors” which may be included in any prospectus supplement or are incorporated by reference into this prospectus.</w:t>
      </w:r>
    </w:p>
    <w:p>
      <w:pPr>
        <w:spacing w:after="0" w:line="66" w:lineRule="exact"/>
        <w:rPr>
          <w:sz w:val="20"/>
          <w:szCs w:val="20"/>
          <w:color w:val="auto"/>
        </w:rPr>
      </w:pPr>
    </w:p>
    <w:p>
      <w:pPr>
        <w:jc w:val="both"/>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prospectus may not be used to offer or sell any securities unless accompanied by a prospectus supplement.</w:t>
      </w:r>
    </w:p>
    <w:p>
      <w:pPr>
        <w:spacing w:after="0" w:line="89"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The date of this prospectus is May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ENFORCEABILITY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By using an automatic shelf registration statement, we or a selling shareholder may, at any time and from time to time, offer and sell the securities described in this prospectus in one or more offerings. We may also add, update or change information contained in this prospectus by means of a prospectus supplement or by incorporating by reference information that we file with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33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 In this prospectus, unless otherwise indicated or unless the context otherwise requires:</w:t>
      </w:r>
    </w:p>
    <w:p>
      <w:pPr>
        <w:spacing w:after="0" w:line="79" w:lineRule="exact"/>
        <w:rPr>
          <w:sz w:val="20"/>
          <w:szCs w:val="20"/>
          <w:color w:val="auto"/>
        </w:rPr>
      </w:pPr>
    </w:p>
    <w:p>
      <w:pPr>
        <w:jc w:val="both"/>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“we,” “us,” “our company,” “our” and “NIO” refer to NIO Inc., our Cayman Islands holding company and its subsidiaries, its consolidated variable interest entities and the subsidiaries of the consolidated variable interest entities;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“ordinary shares” refer to our Class A ordinary shares and Class C ordinary shares, each of par value US$0.00025 per share, “Class A ordinary shares” refers to our Class A ordinary shares, par value US$0.00025 per share, and “Class C ordinary shares” refers to our Class C ordinary shares, par value US$0.00025 per share;</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one Class A ordinary share;</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excluding, for the purpose of this registration statement only, Hong Kong, Macau and Taiwan;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“U.S. dollars” and “US$” are to the legal currency of the United States, all references to “HK$” are to the legal currency of Hong Kong, and all references to “S$” are to the legal currency of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“intend,” “plan,” “believe,” “estimate,”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 our goals and growth strategies, our future business development, financial condition and results of operations, our expectations regarding demand for and market acceptance of our products and services, and assumptions underlying or related to any of the foregoing.</w:t>
      </w:r>
    </w:p>
    <w:p>
      <w:pPr>
        <w:spacing w:after="0" w:line="12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Although we believe that our expectations expressed in the forward-looking statements included in this prospectus, any prospectus supplement and the documents incorporated by reference are reasonable, our expectations may later be found to be incorrect. Our actual results could be materially different from our expectations. These forward-looking statements are subject to risks, uncertainties and assumptions about our company. Our actual results of operations may differ materially from the forward-looking statements as a result of the risk factors disclosed in the documents incorporated by reference herein or in any accompanying prospectus supplement.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thoroughly read this prospectus, any prospectus supplement and the documents incorporated by reference with the understanding that our actual future results may be materially different from, or worse than, what we expect. We qualify all of our forward-looking statements by these cautionary statements.</w:t>
      </w:r>
    </w:p>
    <w:p>
      <w:pPr>
        <w:spacing w:after="0" w:line="33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the documents incorporated by reference herein or in any accompanying prospectus supplement for a more complete discussion of the risks of an investment in our securities and other risks outlined in our other filings with the SEC. The forward-looking statements included in this prospectus or incorporated by reference into this prospectus are made only as of the date of this prospectus or the date of the incorporated document, and we do not undertake any obligation to update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08"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 xml:space="preserve">Our Chinese name, Weilai ( </w:t>
      </w:r>
      <w:r>
        <w:rPr>
          <w:sz w:val="1"/>
          <w:szCs w:val="1"/>
          <w:color w:val="auto"/>
        </w:rPr>
        <w:drawing>
          <wp:inline distT="0" distB="0" distL="0" distR="0">
            <wp:extent cx="231140" cy="1117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31140" cy="111760"/>
                    </a:xfrm>
                    <a:prstGeom prst="rect">
                      <a:avLst/>
                    </a:prstGeom>
                    <a:noFill/>
                    <a:ln>
                      <a:noFill/>
                    </a:ln>
                  </pic:spPr>
                </pic:pic>
              </a:graphicData>
            </a:graphic>
          </wp:inline>
        </w:drawing>
      </w:r>
      <w:r>
        <w:rPr>
          <w:rFonts w:ascii="Times New Roman" w:cs="Times New Roman" w:eastAsia="Times New Roman" w:hAnsi="Times New Roman"/>
          <w:sz w:val="18"/>
          <w:szCs w:val="18"/>
          <w:color w:val="auto"/>
        </w:rPr>
        <w:t>), which means Blue Sky Coming, reflects our commitment to a more environmentally friendly future.</w:t>
      </w:r>
    </w:p>
    <w:p>
      <w:pPr>
        <w:spacing w:after="0" w:line="10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are a pioneer and a leading company in the premium smart electric vehicle market. We design, develop, manufacture, and sell premium smart electric vehicles, driving innovations in next-generation technologies in assisted and intelligent driving, digital technologies, electric powertrains and batteries. We differentiate ourselves through our continuous technological breakthroughs and innovations, such as our industry-leading battery swapping technologies, Battery as a Service, or BaaS, as well as our proprietary NIO assisted and intelligent driving and its subscription services.</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introduced the EP9 supercar in 2016, which was the then fastest electric vehicle, setting the Nürburgring Nordschleife all -electric vehicle lap record. Starting from December 2017, we launched a succession of well-positioned vehicle models and established a competitive product portfolio, including the ES8, a six-seater smart electric flagship SUV, the ES7 (or the EL7), a mid-large five-seater smart electric SUV, the ES6 (or the EL6), a five-seater all -round smart electric SUV, the EC7, a five-seater smart electric flagship coupe SUV, the EC6, a five-seater smart electric coupe SUV, the ET9, a smart electric executive flagship, the ET7, a smart electric flagship sedan, the ET5, a mid-size smart electric sedan, and the ET5T, a smart electric tourer.</w:t>
      </w:r>
    </w:p>
    <w:p>
      <w:pPr>
        <w:spacing w:after="0" w:line="32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2023, we completed our product lineup on the NIO Technology 2.0 (NT2.0) by starting deliveries of the EC7, All-New ES6, All-New ES8, ET5T, and All-New EC6. With enhanced driving and riding experiences with exquisite design, high performance, superior comfort, and advanced digital systems, our product portfolio caters to wide-ranging journeys of users for their family, business and leisure needs. In December 2023, we launched the ET9, a smart electric executive flagship. The ET9 embodies our latest advancements in technological research and development, presenting a combination of flagship-style exterior, innovative executive space, leading driving and riding experience, intelligent technologies, efficient power solutions, and comprehensive safety standards. We expect to start deliveries of the ET9 in the first quarter of 2025.</w:t>
      </w:r>
    </w:p>
    <w:p>
      <w:pPr>
        <w:spacing w:after="0" w:line="32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Inheriting our high -performance DNA marked by dual- motor intelligent All-Wheel-Drive system, all NIO models are able to achieve outstanding performances in 0-100 km/h and braking distance. Enabled by battery swapping technology, all our models are compatible with different battery packs including Standard Range Battery, Long Range Battery and Ultra-Long Range Battery, supporting different driving ranges and providing an upgradable and flexible user experience. We aim to deliver products with the highest safety and quality standards to our users in line with our core values and commitments.</w:t>
      </w:r>
    </w:p>
    <w:p>
      <w:pPr>
        <w:spacing w:after="0" w:line="11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believe our vehicles are well-positioned in the premium smart electric vehicle market. We delivered 160,038 vehicles, including 92,186 premium smart electric SUVs and 67,852 premium smart electric sedans in 2023. In 2024, we expect to launch a new brand and commence deliveries of its first product, complementing our product portfolio and contributing to our vehicle sales. We are also developing more products to expand our addressable market segments.</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Since our inception, we have remained committed to innovation and dedicated to investing in research and development of core technologies. Our technological breakthroughs and innovations differentiate us from our peers, creating better user experiences and enhancing our users’ confidence in us. We have strategically focused on building in- house capabilities including battery swapping, assisted and intelligent driving, digital technologies, electric powertrain and battery, vehicle engineering and design, among others, to control the design and development of the vehicle software and hardware architecture and the critical components that go into our products. Our capabilities have given us greater flexibility to continually improve our current products and allow us to launch new products. By integrating these industry-leading technologies, all of our vehicles can create a relaxing, interactive, intelligent and immersive experience for our users.</w:t>
      </w:r>
    </w:p>
    <w:p>
      <w:pPr>
        <w:spacing w:after="0" w:line="32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have strategically located our research and development offices in locations where we believe give us access to the best talent. Our global research and development center for production models is located in Shanghai. Our advanced vehicle manufacturing center is located in Hefei. Our global research and development center for software is located in Beijing. Our global research and development center for assisted and intelligent driving is located in San Jose. Our global design center is located in Munich. Our global research and development center for advanced engineering is located in Oxford.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All of our smart electric vehicles are equipped with proprietary battery swapping technologies, providing our users with a “chargeable, swappable, upgradable” experience. We also offer Battery as a Service, or BaaS, an industry-first innovative model which allows users to purchase electric vehicles and subscribe for the usage of batteries separately. BaaS enables our users to benefit from lower vehicle purchase prices, flexible battery upgrade options and assurance of battery performance.</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assisted and intelligent driving is the core of smart electric vehicles, and it has been our focus from day one. We are one of the first companies in China to offer enhanced ADAS capabilities and we have been dedicated to developing our proprietary full-stack assisted and intelligent driving capabilities.</w:t>
      </w:r>
    </w:p>
    <w:p>
      <w:pPr>
        <w:spacing w:after="0" w:line="10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NIO assisted and intelligent driving, or NAD, our full-stack in-house developed assisted and intelligent driving capabilities, is equipped with our proprietary perception algorithms, localization, control strategy and platform software. The technology comprises NIO Adam, a super computing platform with outstanding computing power, and NIO Aquila, a super sensing system equipped with high-performance sensors including LiDAR. With the gradual release of certain features of the NAD through Navigate on Pilot Plus, or NOP+, a driving assist feature based on NT2.0 to users, our generalization capability and collective intelligence capability have seen rapid growth. Currently, NOP+ has been made available for expressways, urban areas, parking and battery swapping and we expect to release it to all NT2.0 users in the future to deliver a safer and more relaxing assisted and intelligent driving experience for our users. Our NOP+ is available for user subscription.</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reach out to and engage with our users directly through our own offline and online platforms, including NIO Houses, NIO Spaces and NIO app, and aim to build a community where we share joy and grow together with our users. NIO app, our mobile application, is designed to serve as a comprehensive portal. It allows users to not only place orders for and configure all NIO vehicles, but also to access vehicle control, power and other service, as well as purchase NIO Life product. Most importantly, it functions as an online platform for our user community. NIO Houses and NIO Spaces serve as the offline channels for us to reach out to and serve our users, as well as the offline platforms for NIO user community. NIO Houses have showroom functions while serving as a clubhouse for our users and their friends. NIO Spaces are mainly showrooms for our brand, vehicles and services. Compared with NIO Houses, NIO Spaces are generally smaller in scale, more delicate and sales-focused.</w:t>
      </w:r>
    </w:p>
    <w:p>
      <w:pPr>
        <w:spacing w:after="0" w:line="11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offer a comprehensive and innovative suite of power solutions to address the charging and swapping needs of our users. Our power solutions include home charger called Power Home, battery swapping called Power Swap, supercharging piles called Power Charger, destination charging piles called Destination Charger, and mobile charging called Power Mobile, all of which are connected to cloud-enabled Power Cloud, which synchronizes users’ power consumption information and our power network, and intelligently suggests the appropriate services, according to the users’ locations and power consumption patterns. Our users not only get to check the availability of charging and swapping resources of NIO’s own network, but also have access to a network of public chargers and their real-time information through the Power Map on our NIO app. In addition, we offer our users our One Click for Power valet service where we pick up, charge and then return the vehicle. Our goal is to provide the most convenient power solutions to our users.</w:t>
      </w:r>
    </w:p>
    <w:p>
      <w:pPr>
        <w:spacing w:after="0" w:line="343"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users can access a full suite of innovative services on our NIO app, as part of our strategy of redefining the user experience. NIO Service, our one-stop service ecosystem marked by the innovative worry-free service plan, provides NIO users with a holistic end-to-end service experience. We believe our service capability is among the core competitiveness we possess.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more information about our company, please see “Item 4. Information on the Company” in our</w:t>
      </w:r>
    </w:p>
    <w:p>
      <w:pPr>
        <w:spacing w:after="0" w:line="27" w:lineRule="exact"/>
        <w:rPr>
          <w:sz w:val="20"/>
          <w:szCs w:val="20"/>
          <w:color w:val="auto"/>
        </w:rPr>
      </w:pPr>
    </w:p>
    <w:p>
      <w:pPr>
        <w:jc w:val="both"/>
        <w:ind w:left="1260" w:right="419"/>
        <w:spacing w:after="0" w:line="255" w:lineRule="auto"/>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u w:val="single" w:color="auto"/>
            <w:color w:val="0000EE"/>
          </w:rPr>
          <w:t>annual report on Form 20-F for the year ended December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is incorporated in this prospectus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and any accompanying prospectus supplement before investing in any securities that may be offered pursuant to this prospectus.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Building 19, No. 1355, Caobao Road, Minhang District, Shanghai, PRC. Our telephone number at this address is +86-21-6908-2018. Our registered office in the Cayman Islands is located at the offices of Maples Corporate Services Limited, PO Box 309, Ugland House,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Grand Cayman, KY1-1104, Cayman Islands. Our agent for service of process in the United States is Cogency Global Inc., located at 122 East 42nd Street, 18th Floor, New York, NY 10168.</w:t>
      </w:r>
    </w:p>
    <w:p>
      <w:pPr>
        <w:spacing w:after="0" w:line="9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All information that we file with or furnish to the SEC can be obtained over the internet on the SEC’s website at www.sec.gov. We also maintain a website at ir.nio.com, but information contained on, or linked from, our website is not incorporated by reference in this prospectus supplement or the accompanying prospectus. You should not regard any information on our website as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1260" w:right="419" w:firstLine="360"/>
        <w:spacing w:after="0" w:line="261" w:lineRule="auto"/>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auto"/>
          </w:rPr>
          <w:t xml:space="preserve">Please see the factors set forth in “Item 3. Key Information — D. Risk Factors” in our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Form 20-F for the year ended December 31, 2023</w:t>
        </w:r>
        <w:r>
          <w:rPr>
            <w:rFonts w:ascii="Times New Roman" w:cs="Times New Roman" w:eastAsia="Times New Roman" w:hAnsi="Times New Roman"/>
            <w:sz w:val="18"/>
            <w:szCs w:val="18"/>
            <w:color w:val="000000"/>
          </w:rPr>
          <w:t>, which is incorporated in this prospectus by reference, as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updated by our subsequent filings under the Exchange Act, and in any accompanying prospectus supplement before investing in any securities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we offer as set forth in the applicable prospectus supplement(s).</w:t>
      </w:r>
    </w:p>
    <w:p>
      <w:pPr>
        <w:spacing w:after="0" w:line="9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specific allocations of the proceeds we receive from the sale of our securities will be described in the applicable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and our affairs are governed by our current thirteenth amended and restated memorandum and articles of association, the Companies Act (As Revised) of the Cayman Islands, which we refer to as the Companies Act below, and the common law of the Cayman Islands.</w:t>
      </w:r>
    </w:p>
    <w:p>
      <w:pPr>
        <w:spacing w:after="0" w:line="11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As of April 30, 2024, our authorized share capital was US$1,000,000 divided into 4,000,000,000 shares comprising of (i) 2,632,030,222 Class A ordinary shares of a par value of US$0.00025 each, 1,938,669,026 of which were issued and outstanding, (ii) 148,500,000 Class C ordinary shares of a par value of US$0.00025 each, all of which were issued and outstanding, and (iii) 1,219,469,778 shares of a par value of US$0.00025 each of such class or classes (however designated) as our board of directors may determine in accordance with our thirteenth amended and restated memorandum and articles of association, none of which was issued and outstanding.</w:t>
      </w:r>
    </w:p>
    <w:p>
      <w:pPr>
        <w:spacing w:after="0" w:line="114" w:lineRule="exact"/>
        <w:rPr>
          <w:sz w:val="20"/>
          <w:szCs w:val="20"/>
          <w:color w:val="auto"/>
        </w:rPr>
      </w:pPr>
    </w:p>
    <w:p>
      <w:pPr>
        <w:jc w:val="both"/>
        <w:ind w:left="1260" w:right="419" w:firstLine="360"/>
        <w:spacing w:after="0" w:line="24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following are summaries of material provisions of our thirteenth amended and restated memorandum and articles of association, which became effective upon the completion of the initial public offering of our ADSs in September 2018, and the Companies Act insofar as they relate to the material terms of our ordinary shares. Capitalized terms not otherwise defined herein shall have the meanings assigned thereto in the thirteenth amended and restated memorandum and articles of association. Notwithstanding this, because it is a summary, it may not contain all the information that you may otherwise deem important. For more complete information, you should read our entire thirteenth amended and restated memorandum </w:t>
      </w:r>
      <w:hyperlink r:id="rId166">
        <w:r>
          <w:rPr>
            <w:rFonts w:ascii="Times New Roman" w:cs="Times New Roman" w:eastAsia="Times New Roman" w:hAnsi="Times New Roman"/>
            <w:sz w:val="18"/>
            <w:szCs w:val="18"/>
            <w:color w:val="auto"/>
          </w:rPr>
          <w:t xml:space="preserve">and articles of association, which was filed as an exhibit to our </w:t>
        </w:r>
        <w:r>
          <w:rPr>
            <w:rFonts w:ascii="Times New Roman" w:cs="Times New Roman" w:eastAsia="Times New Roman" w:hAnsi="Times New Roman"/>
            <w:sz w:val="18"/>
            <w:szCs w:val="18"/>
            <w:u w:val="single" w:color="auto"/>
            <w:color w:val="0000EE"/>
          </w:rPr>
          <w:t>annual report on Form 20-F for the year</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00"/>
          </w:rPr>
          <w:t>, which is incorporated in this prospectus by reference. For information on how to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obtain copies of our thirteenth amended and restated memorandum and articles of association, see “Where You Can Find More Information About Us.”</w:t>
      </w:r>
    </w:p>
    <w:p>
      <w:pPr>
        <w:spacing w:after="0" w:line="200" w:lineRule="exact"/>
        <w:rPr>
          <w:sz w:val="20"/>
          <w:szCs w:val="20"/>
          <w:color w:val="auto"/>
        </w:rPr>
      </w:pP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46"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ordinary shares are divided into Class A ordinary shares and Class C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Class A ordinary shares and Class C ordinary shares shall at all times vote together as one class on all resolutions submitted to a vote by the holders of ordinary shares. Each Class A ordinary share shall entitle the holder thereof to one vote on all matters subject to vote at general meetings of our company, and each Class C ordinary share shall entitle the holder thereof to eight votes on all matters subject to vote at general meetings of our company. During the Relevant Period, our company shall have only one class of shares that each of such share entitles the holder thereof to more than one vote on all matters subject to vote at general meetings of our company, which is Class C ordinary shares.</w:t>
      </w:r>
    </w:p>
    <w:p>
      <w:pPr>
        <w:spacing w:after="0" w:line="11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Class C ordinary share is convertible into one Class A ordinary share at any time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holder thereof. In no event shall Class A ordinary shares be convertible into Class C ordinary shares. Upon any sale, transfer, assignment or disposition of any Class C ordinary share by a shareholder to any person who is not an existing shareholder of Class C ordinary share and any affiliate of such shareholder or NIO Users Trust, or upon a change of ultimate beneficial ownership of any Class C ordinary share to any person who is not an existing shareholder of Class C ordinary shares and any affiliate of such shareholder or NIO Users Trust, each such Class C ordinary share shall be automatically and immediately converted into one Class A ordinary share.</w:t>
      </w:r>
    </w:p>
    <w:p>
      <w:pPr>
        <w:spacing w:after="0" w:line="11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subject to our thirteenth amended and restated memorandum articles of association. In addition, our shareholders may by ordinary resolution declare a dividend, but no dividend may exceed the amount recommended by our directors. In either case,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15"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Voting at any shareholders’ meeting is by show of hands unless a poll is demanded.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Class A ordinary share shall entitle the holder thereof to one vote on all matters subject to vote at general meetings of our company, and each Class C ordinary share shall entitle the holder thereof to eight votes on 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matters subject to vote at general meetings of our company. A poll may be demanded by the chairman of such meeting or any one or more shareholders present in person or by proxy at the meeting. However, during the Relevant Period, each Class A ordinary share and each Class C ordinary share shall entitle its holder to one vote on a poll at a general meeting in respect of a resolution on any of the following matters:</w:t>
      </w:r>
    </w:p>
    <w:p>
      <w:pPr>
        <w:spacing w:after="0" w:line="3" w:lineRule="exact"/>
        <w:rPr>
          <w:sz w:val="20"/>
          <w:szCs w:val="20"/>
          <w:color w:val="auto"/>
        </w:rPr>
      </w:pPr>
    </w:p>
    <w:p>
      <w:pPr>
        <w:jc w:val="both"/>
        <w:ind w:left="1260" w:right="419"/>
        <w:spacing w:after="0" w:line="243" w:lineRule="auto"/>
        <w:tabs>
          <w:tab w:leader="none" w:pos="15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our memorandum or articles of association, including the variation of the rights attached to any class of shares; (ii) the appointment, election or removal of any independent non-executive director; (iii) the appointment or removal of the auditors; or (iv) the voluntary liquidation or winding-up of our company.</w:t>
      </w:r>
    </w:p>
    <w:p>
      <w:pPr>
        <w:spacing w:after="0" w:line="325"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three-fourths of the votes cast attaching to the outstanding ordinary shares at a meeting. A special resolution will be required for important matters such as a change of name or making changes to our thirteenth amended and restated memorandum and articles of association.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thirteenth amended and restated memorandum and articles of association, and cancelling any unissued shares. Both ordinary resolution and special resolution may also be passed by a unanimous written resolution signed by all the shareholders of our company, as permitted by the Companies Act and our thirteenth amended and restated memorandum and articles of association.</w:t>
      </w:r>
    </w:p>
    <w:p>
      <w:pPr>
        <w:spacing w:after="0" w:line="12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Appointment and Removal of Directors</w:t>
      </w:r>
      <w:r>
        <w:rPr>
          <w:rFonts w:ascii="Times New Roman" w:cs="Times New Roman" w:eastAsia="Times New Roman" w:hAnsi="Times New Roman"/>
          <w:sz w:val="18"/>
          <w:szCs w:val="18"/>
          <w:color w:val="auto"/>
        </w:rPr>
        <w:t>. Our board of directors may, by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simple majority of the directors present and voting at a board meeting, (i) appoint any person as a director, to fill a casual vacancy on the board or, (ii) subject to the maximum size of the board of directors being nine directors, appoint any person as an addition to the existing board. Directors may be removed by ordinary resolution of our shareholders. Subject to the relevant code, rules and regulations applicable to us as a result of our listing in the United States applicable to the composition of the board and qualifications and appointment of directors, (i) NIO Users Trust shall be entitled to nominate one director to the board; and</w:t>
      </w:r>
    </w:p>
    <w:p>
      <w:pPr>
        <w:spacing w:after="0" w:line="6" w:lineRule="exact"/>
        <w:rPr>
          <w:sz w:val="20"/>
          <w:szCs w:val="20"/>
          <w:color w:val="auto"/>
        </w:rPr>
      </w:pPr>
    </w:p>
    <w:p>
      <w:pPr>
        <w:jc w:val="both"/>
        <w:ind w:left="1260" w:right="419"/>
        <w:spacing w:after="0" w:line="241" w:lineRule="auto"/>
        <w:tabs>
          <w:tab w:leader="none" w:pos="15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Mr. Bin Li is not an incumbent director and the board is composed of no less than six directors, NIO Users Trust shall be entitled to nominate one extra director to the Board. Such director nomination right of NIO Users Trust were ceased to be effective at the First AGM, and shall only be restored when our company is no longer listed on the Hong Kong Stock Exchange. In addition, for so long as CYVN Investments and its affiliates beneficially own no less than 15% of our total issued and outstanding share capital, CYVN Investments is entitled to nominate two directors; if the beneficial ownership of CYVN Investments and its affiliates decreases to less than 15% but remains above 5%, CYVN Investments retains the right to nominate one director. The foregoing director nomination rights of CYVN Investments are subject to compliance with our articles and the requirements of relevant stock exchanges.</w:t>
      </w:r>
    </w:p>
    <w:p>
      <w:pPr>
        <w:spacing w:after="0" w:line="11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to call shareholders’ annual general meetings. However, our thirteenth amended and restated memorandum and articles of association provide that we shall in each financial year hold a general meeting as our annual general meeting in addition to any other meeting in that year and shall specify the meeting as such in the notice calling it, and the annual general meeting shall be held at such time and place as may be determined by our directors.</w:t>
      </w:r>
    </w:p>
    <w:p>
      <w:pPr>
        <w:spacing w:after="0" w:line="11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board of directors or a majority of our board of directors. Advance notice of at least twenty one calendar days is required for the convening of our annual general shareholders’ meeting (if any) and advance notice of at least fourteen calendar days is required for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thirteenth amended and restated memorandum and articles of association provide that upon the requisition of shareholders representing in aggregate not less than one-tenth of all votes (on a one vote per share basis) attaching to the outstanding shares of our company entitled to vote at general meetings, our board will convene an extraordinary general</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meeting and put the resolutions so requisitioned to a vote at such meeting, and such shareholders may add resolutions to the meeting agenda.</w:t>
      </w:r>
    </w:p>
    <w:p>
      <w:pPr>
        <w:spacing w:after="0" w:line="79"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in our thirteenth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set out below, any of our shareholders may transfer all or any of his or her ordinary shares by an instrument of transfer in the usual or common form or any other form approved by our board of directors.</w:t>
      </w:r>
    </w:p>
    <w:p>
      <w:pPr>
        <w:spacing w:after="0" w:line="10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9" w:lineRule="exact"/>
        <w:rPr>
          <w:sz w:val="20"/>
          <w:szCs w:val="20"/>
          <w:color w:val="auto"/>
        </w:rPr>
      </w:pPr>
    </w:p>
    <w:p>
      <w:pPr>
        <w:jc w:val="both"/>
        <w:ind w:left="1800" w:right="41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New York Stock Exchange or the Hong Kong Stock Exchange may determine to be payable or such lesser sum as our directors may from time to time require is paid to us in respect thereof.</w:t>
      </w:r>
    </w:p>
    <w:p>
      <w:pPr>
        <w:spacing w:after="0" w:line="10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30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by the New York Stock Exchange or the Hong Kong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of directors may determine.</w:t>
      </w:r>
    </w:p>
    <w:p>
      <w:pPr>
        <w:spacing w:after="0" w:line="10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winding-up of our company, if the assets available for distribution among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shall be more than sufficient to repay the whole of the share capital at the commencement of the winding-up,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322"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0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 We may issue shares on terms that such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redemption, at our option or at the option of the holders of these shares, on such terms and in such manner as may be determined by our board of directors or by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would result in there being no shares outstanding or (c) if the company has commenced liquidation. In addition, our company may accept the surrender of any fully paid share for no consideration.</w:t>
      </w:r>
    </w:p>
    <w:p>
      <w:pPr>
        <w:spacing w:after="0" w:line="79"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rights attached to any class of shares (unless otherwise provided by the terms of issue of the shares of that class), may only be varied with the consent in writing of holders of not less than three-fourths of the issued shares of that class or with the sanction of a special resolution passed at a separate meeting of the holders of the shares of that class by holders of not less than three-fourths of the issued shares of that class present in person or by proxy and voting at such meeting. The rights conferred upon the holders of the shares of any class issued shall not, subject to any rights or restrictions for the time being attached to the shares of that class, be deemed to be varied by, inter alia, the creation, allotment or issue of further shares ranking pari passu with such existing class of shares.</w:t>
      </w:r>
    </w:p>
    <w:p>
      <w:pPr>
        <w:spacing w:after="0" w:line="12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thirteenth amended and restated memorandum of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101"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Our thirteenth amended and restated memorandum of association also authorizes our board of directors, at any time after the Relevant Period, to establish from time to time one or more series of preference shares and to determine, with respect to any series of preference shares, the terms and rights of that series, including:</w:t>
      </w:r>
    </w:p>
    <w:p>
      <w:pPr>
        <w:spacing w:after="0" w:line="282"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and voting rights;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At any time after the Relevant Period, our board of directors may issue preference shares without action by our shareholders to the extent authorized but unissued. Issuance of these shares may dilute the voting power of holders of ordinary shares.</w:t>
      </w:r>
    </w:p>
    <w:p>
      <w:pPr>
        <w:spacing w:after="0" w:line="100"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law to inspect or obtain copies of our list of shareholders or our corporate records. (except for our memorandum and articles of association and our register of mortgages and charges) except as conferred by law or authorized by the directors or by ordinary resolution. However, we will provide our shareholders with annual audited financial statements. See “Where You Can Find More Information About Us.”</w:t>
      </w:r>
    </w:p>
    <w:p>
      <w:pPr>
        <w:spacing w:after="0" w:line="321" w:lineRule="exact"/>
        <w:rPr>
          <w:sz w:val="20"/>
          <w:szCs w:val="20"/>
          <w:color w:val="auto"/>
        </w:rPr>
      </w:pPr>
    </w:p>
    <w:p>
      <w:pPr>
        <w:jc w:val="center"/>
        <w:ind w:right="159"/>
        <w:spacing w:after="0"/>
        <w:tabs>
          <w:tab w:leader="none" w:pos="140" w:val="left"/>
        </w:tabs>
        <w:rPr>
          <w:sz w:val="20"/>
          <w:szCs w:val="20"/>
          <w:color w:val="auto"/>
        </w:rPr>
      </w:pPr>
      <w:r>
        <w:rPr>
          <w:rFonts w:ascii="Times New Roman" w:cs="Times New Roman" w:eastAsia="Times New Roman" w:hAnsi="Times New Roman"/>
          <w:sz w:val="18"/>
          <w:szCs w:val="18"/>
          <w:i w:val="1"/>
          <w:iCs w:val="1"/>
          <w:color w:val="auto"/>
        </w:rPr>
        <w:t>Changes in Capital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shareholders may from time to time by ordinary resolution:</w:t>
      </w:r>
    </w:p>
    <w:p>
      <w:pPr>
        <w:spacing w:after="0" w:line="106" w:lineRule="exact"/>
        <w:rPr>
          <w:sz w:val="20"/>
          <w:szCs w:val="20"/>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classes and amount, as the resolution shall prescribe;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our share capital by the amount of the shares so cancelled.</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spacing w:after="0" w:line="10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thirteenth amended and restated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may discourage, delay or prevent a change of control of our company or management that shareholders may consider favorable, including provisions that:</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Relevant Period, 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Relevant Period, limit the ability of shareholders to requisition and convene general meetings of shareholders.</w:t>
      </w:r>
    </w:p>
    <w:p>
      <w:pPr>
        <w:spacing w:after="0" w:line="9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thirteenth amended and restated memorandum and articles of association for a proper purpose and for what they believe in good faith to be in the best interests of our company.</w:t>
      </w:r>
    </w:p>
    <w:p>
      <w:pPr>
        <w:spacing w:after="0" w:line="107"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distinguishes between ordinary resident companies, ordinary non-resident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resident/non-resident company except that an exempted company:</w:t>
      </w:r>
    </w:p>
    <w:p>
      <w:pPr>
        <w:spacing w:after="0" w:line="74" w:lineRule="exact"/>
        <w:rPr>
          <w:sz w:val="20"/>
          <w:szCs w:val="20"/>
          <w:color w:val="auto"/>
        </w:rPr>
      </w:pPr>
    </w:p>
    <w:p>
      <w:pPr>
        <w:ind w:left="1800" w:right="4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detailing its shareholders with the Registrar of Companies of the Cayman Islands;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PO Box 309, Ugland House, Grand Cayman, KY1-1104, Cayman Islands, or at such other location within the Cayman Islands as our directors may from time to time decide. Under our thirteenth amended and restated memorandum and articles of association, the objects of our company are unrestricted and we have the full power and authority to carry out any object not prohibited by the law of the Cayman Islands.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certain significant differences between the provisions of the Companies Act applicable to us and the laws applicable to companies incorporated in the State of Delaware.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0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1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287"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 month period commencing on the expiration of such four-month period, require the holders of the remaining shares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79"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acts or proposes to act illegally or ultra vires;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against the minority where the wrongdoers are themselves in control of the company.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4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thirteenth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2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thirteenth amended and restated memorandum and articles of association.</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03" w:lineRule="exact"/>
        <w:rPr>
          <w:sz w:val="20"/>
          <w:szCs w:val="20"/>
          <w:color w:val="auto"/>
        </w:rPr>
      </w:pPr>
    </w:p>
    <w:p>
      <w:pPr>
        <w:jc w:val="both"/>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03"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55"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thirteenth amended and restated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Companies Act does not provide shareholders with an express right to put forth any proposal before a general meeting of the shareholders. However, the Companies Act may provide shareholders with limited rights to requisition a general meeting but such rights must be stipulated in the articles of association of the company.</w:t>
      </w:r>
    </w:p>
    <w:p>
      <w:pPr>
        <w:spacing w:after="0" w:line="323"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Any one or more shareholders holding not less than one-tenth of the voting rights on a one vote per share basis, in the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thirteenth amended and restated memorandum and articles of association do not provide for cumulative voting. As a result, our shareholders are not afforded any less protections or rights on this issue than shareholders of a Delaware corporation.</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thirteenth amended and restated memorandum and articles of association, directors may be removed with or without cause, by an ordinary resolution of our shareholders. A director will also cease to be a director if he or she (i) becomes bankrupt or makes any arrangement or composition with his or her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thirteenth amended and restated articles of association.</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4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2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95" w:lineRule="exact"/>
        <w:rPr>
          <w:sz w:val="20"/>
          <w:szCs w:val="20"/>
          <w:color w:val="auto"/>
        </w:rPr>
      </w:pPr>
    </w:p>
    <w:p>
      <w:pPr>
        <w:ind w:left="1980" w:hanging="360"/>
        <w:spacing w:after="0"/>
        <w:tabs>
          <w:tab w:leader="none" w:pos="1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5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81"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325"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thirteenth amended and restated memorandum and articles of association, if our share capital is divided into more than one class of shares, we may vary the rights attached to any class with the sanction of a special resolution passed by a majority of not less than three-fourths of the votes cast at a separate meeting of the holders of the shares of that class.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Under Cayman Islands law, our thirteenth amended and restated memorandum and articles of association may only be amended with a special resolution of our shareholders.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48"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There are no limitations imposed by our thirteenth amended and restated memorandum and articles of association on the rights of non-resident or foreign shareholders to hold or exercise voting rights on our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addition, there are no provisions in our thirteenth amended and restated memorandum and articles of association governing the ownership threshold above which shareholder ownership must be disclosed.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31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However, we intend to provide our shareholders with annual reports containing audited financial statements.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securities issuances by us in the past three years.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From September 7 to November 19, 2021, we completed an at-the-market offering of ADSs, each representing one Class A ordinary share. Through this at-the-market offering, we sold 53,292,401 ADSs and raised gross proceeds of US$2 billion, before deducting commissions paid to the distribution agents of approximately US$26 million and certain offering expenses.</w:t>
      </w:r>
    </w:p>
    <w:p>
      <w:pPr>
        <w:spacing w:after="0" w:line="11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August 23, 2022, Huang River Investment Limited converted the senior convertible notes issued by us on September 5, 2019 into 8,805,770 Class A ordinary shares of our company.</w:t>
      </w:r>
    </w:p>
    <w:p>
      <w:pPr>
        <w:spacing w:after="0" w:line="8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From May 2021 to December 2021, we issued 316,979 Class A ordinary shares in the form of ADSs to the holders of our 4.50% convertible senior notes due 2024, or the 2024 Notes, upon conversion of the 2024 Notes.</w:t>
      </w:r>
    </w:p>
    <w:p>
      <w:pPr>
        <w:spacing w:after="0" w:line="31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November 4, 2022, we issued 18,000,000 Class A ordinary shares to Deutsche Bank Trust Company Americas, our depository bank, for bulk issuance of ADSs reserved for future issuance upon exercise or vesting of awards granted under our share incentive plans.</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From January 2022 to March 2022, we issued 172,421 Class A ordinary shares in the form of ADSs to the holders of the 2024 Notes upon conversion of the 2024 Notes.</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July 12, 2023, we issued 84,695,543 Class A ordinary shares to CYVN Investments RSC Ltd, or CYVN Investments, at a per share purchase price of US$8.72 to close the US$738.5 million strategic equity investment from CYVN Investments.</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December 27, 2023, we issued 294,000,000 Class A ordinary shares at a per share purchase price of US$7.50 to close the additional US$2.2 billion strategic equity investment from CYVN Investments.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September and October 2023, we issued US$ 575 million aggregate principal amount of 3.875% convertible senior notes due 2029, or the 2029 Notes, and US$575 million aggregate principal amount of 4.625% convertible senior notes due 2030, or the 2030 Notes. The 2029 Notes and the 2030 Notes are unsecured debt. The 2029 Notes will bear interest at a rate of 3.875% per year, and the 2030 Notes will bear interest at a rate of 4.625% per year. The 2029 Notes will mature on October 15, 2029 and the 2030 Notes will mature on October 15, 2030, unless repurchased, redeemed or converted in accordance with their terms prior to such date.</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Option and Restricted Share Grants</w:t>
      </w:r>
    </w:p>
    <w:p>
      <w:pPr>
        <w:spacing w:after="0" w:line="16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have granted options, restricted shares and other awards to purchase our ordinary shares to certain of our directors, executive officers, employees and consultants. See “Item 6. Directors, Senior Management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auto"/>
          </w:rPr>
          <w:t xml:space="preserve">Employees — B. Compensation of Directors and Executive Officers” in our </w:t>
        </w:r>
        <w:r>
          <w:rPr>
            <w:rFonts w:ascii="Times New Roman" w:cs="Times New Roman" w:eastAsia="Times New Roman" w:hAnsi="Times New Roman"/>
            <w:sz w:val="18"/>
            <w:szCs w:val="18"/>
            <w:u w:val="single" w:color="auto"/>
            <w:color w:val="0000EE"/>
          </w:rPr>
          <w:t>annual report on Form 20-F for</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the year ended December 31, 2023</w:t>
        </w:r>
        <w:r>
          <w:rPr>
            <w:rFonts w:ascii="Times New Roman" w:cs="Times New Roman" w:eastAsia="Times New Roman" w:hAnsi="Times New Roman"/>
            <w:sz w:val="18"/>
            <w:szCs w:val="18"/>
            <w:color w:val="000000"/>
          </w:rPr>
          <w:t>, which is incorporated in this prospectus by reference.</w:t>
        </w:r>
      </w:hyperlink>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Pursuant to our shareholders agreement dated November 10, 2017, we have granted certain registration rights to our then shareholders. Set forth below is a description of the registration rights granted under the agreement.</w:t>
      </w:r>
    </w:p>
    <w:p>
      <w:pPr>
        <w:spacing w:after="0" w:line="107"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Holders holding 10% or more of the voting power of the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registrable securities held by all holders are entitled to request in writing that we effect a registration statement for any or all of registrable securities of the initiating holders. We have the right to defer filing of a registration statement for a period of not more than 90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 We are not obligated to effect more than two demand registrations. Further, if the registrable securities are offered by means of an underwritten offering, and the managing underwriter advises us that marketing factors require a limitation of the number of securities to be underwritten, the underwriters may decide to exclude up to 75% of the registrable securities requested to be registered but only after first excluding all other equity securities from the registration and underwritten offering,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33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Registration on Form F-3 or Form S-3</w:t>
      </w:r>
      <w:r>
        <w:rPr>
          <w:rFonts w:ascii="Times New Roman" w:cs="Times New Roman" w:eastAsia="Times New Roman" w:hAnsi="Times New Roman"/>
          <w:sz w:val="18"/>
          <w:szCs w:val="18"/>
          <w:color w:val="auto"/>
        </w:rPr>
        <w:t>. Any holder is entitled to request us to file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on Form F-3 or Form S-3 if we qualify for registration on Form F-3 or Form S-3. The holders are entitled to an unlimited number of registrations on Form F-3 or Form S-3 so long as such registration offerings are in excess of US$5,000,000. We have the right to defer filing of a registration statement for a period of not more than 60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If we propose to register for our own account any of our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or for the account of any holder, other than current shareholders, of such equity securities, in connection with the public offering, we shall offer holders of our registrable securities an opportunity to be included in such registration. If the underwriters advise in writing that market factors require a limitation of the number of registrable securities to be underwritten, the underwriters may up to 75% of the registrable securities requested to be registered but only after first excluding all other equity securities (except for securities sold for the account of our company) from the registration and underwriting,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337"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bear all registration expenses, other than the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applicable to the sale of registrable securities, incurred in connection with registrations, filings or qualification pursuant to the shareholders agreement.</w:t>
      </w:r>
    </w:p>
    <w:p>
      <w:pPr>
        <w:spacing w:after="0" w:line="92"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Termination of Obligations</w:t>
      </w:r>
      <w:r>
        <w:rPr>
          <w:rFonts w:ascii="Times New Roman" w:cs="Times New Roman" w:eastAsia="Times New Roman" w:hAnsi="Times New Roman"/>
          <w:sz w:val="18"/>
          <w:szCs w:val="18"/>
          <w:color w:val="auto"/>
        </w:rPr>
        <w:t>. We have no obligation to effect any demand, piggyback or Form F-3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S-3 registration upon the earlier of (i) the tenth anniversary from the date of closing of a Qualified IPO as defined in the shareholders agreement, and (ii) with respect to any holder, the date on which such holder may sell without registration, all of such holder’ registrable securities Rule 144 of the Securities Act in any 90-day period.</w:t>
      </w:r>
    </w:p>
    <w:p>
      <w:pPr>
        <w:spacing w:after="0" w:line="33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addition, on June 20, 2023, we entered into a registration rights agreement with CYVN Holdings L.L.C. On July 11, 2023, CYVN Holdings L.L.C. assigned all of its rights, interests and obligations under the registration rights agreement to its affiliate, CYVN Investments, which executed a counterpart to the registration rights agreement and agreed to be treated as an investor under the registration rights agreement. Pursuant to the registration rights agreement, subject to certain exceptions, we undertook the obligation to</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prepare and file with the SEC, upon the occurrence of certain triggering events, a registration statement for an offering to be made on a continuous basis pursuant to Rule 415 of the Securities Act, registering the resale from time to time by CYVN Investments of all of the registrable securities, which include all Class A ordinary shares purchased pursuant to the share subscription agreement, and the stock purchase agreement entered into by and among CYVN Holdings L.L.C. and Image Frame Investment (HK) Limited dated June 20, 2023, and any shares purchased by CYVN Investments following the closing of the share subscription agreement, then held by CYVN Investments that are not covered by an effective registration statement. If our board of directors determines in good faith that it would be materially detrimental to our company or our members to effect such a registration, we have the right to defer such registration, not more than once in any 12-month period, for a period of up to 60 days. Additionally, pursuant to the registration rights agreement, in the event that we propose to register any of our equity securities under the Securities Act for our own account or for the account of any holder of our equity securities, CYVN Investments is entitled to certain piggyback registration rights. These registration rights terminate on the date that CYVN Investments owns less than 3% of our Class A ordinary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Deutsche Bank Trust Company Americas, as depositary, will register and deliver the ADSs. Each ADS will represent ownership of one Class A ordinary share,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 The principal executive office of the depositary is located at 60 Wall Street, New York, NY 10005, USA.</w:t>
      </w:r>
    </w:p>
    <w:p>
      <w:pPr>
        <w:spacing w:after="0" w:line="11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323"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will not treat ADS holders as our shareholders and accordingly, you, as an ADS holder, will not have shareholder rights. Cayman Islands law governs shareholder rights. The depositary will be the holder of the ordinary shares underlying your ADSs. Holder of ADSs have ADS holder rights. A deposit agreement among us, the depositary and the holders, and the beneficial owners of ADSs sets out ADS holder rights as well as the rights and obligations of the depositary. The laws of the State of New York govern the deposit agreement and the ADSs. See “— Jurisdiction and Arbitration.”</w:t>
      </w:r>
    </w:p>
    <w:p>
      <w:pPr>
        <w:spacing w:after="0" w:line="120"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More Information About Us.”</w:t>
      </w:r>
    </w:p>
    <w:p>
      <w:pPr>
        <w:spacing w:after="0" w:line="3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Holding the ADSs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will you hold your ADSs?</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71" w:lineRule="exact"/>
        <w:rPr>
          <w:sz w:val="20"/>
          <w:szCs w:val="20"/>
          <w:color w:val="auto"/>
        </w:rPr>
      </w:pPr>
    </w:p>
    <w:p>
      <w:pPr>
        <w:jc w:val="both"/>
        <w:ind w:left="1800" w:right="419" w:hanging="180"/>
        <w:spacing w:after="0" w:line="255"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w:t>
      </w:r>
      <w:r>
        <w:rPr>
          <w:rFonts w:ascii="Times New Roman" w:cs="Times New Roman" w:eastAsia="Times New Roman" w:hAnsi="Times New Roman"/>
          <w:sz w:val="18"/>
          <w:szCs w:val="18"/>
          <w:color w:val="auto"/>
        </w:rPr>
        <w:t>The depositary will convert or cause to be converted any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we pay on the ordinary shares or any net proceeds from the sale of any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0" w:lineRule="auto"/>
        <w:rPr>
          <w:sz w:val="20"/>
          <w:szCs w:val="20"/>
          <w:color w:val="auto"/>
        </w:rPr>
      </w:pPr>
      <w:r>
        <w:rPr>
          <w:rFonts w:ascii="Times New Roman" w:cs="Times New Roman" w:eastAsia="Times New Roman" w:hAnsi="Times New Roman"/>
          <w:sz w:val="18"/>
          <w:szCs w:val="18"/>
          <w:color w:val="auto"/>
        </w:rPr>
        <w:t>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p>
      <w:pPr>
        <w:spacing w:after="0" w:line="65" w:lineRule="exact"/>
        <w:rPr>
          <w:sz w:val="20"/>
          <w:szCs w:val="20"/>
          <w:color w:val="auto"/>
        </w:rPr>
      </w:pPr>
    </w:p>
    <w:p>
      <w:pPr>
        <w:jc w:val="both"/>
        <w:ind w:left="1800" w:right="419" w:hanging="180"/>
        <w:spacing w:after="0" w:line="254"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Shares. </w:t>
      </w:r>
      <w:r>
        <w:rPr>
          <w:rFonts w:ascii="Times New Roman" w:cs="Times New Roman" w:eastAsia="Times New Roman" w:hAnsi="Times New Roman"/>
          <w:sz w:val="18"/>
          <w:szCs w:val="18"/>
          <w:color w:val="auto"/>
        </w:rPr>
        <w:t>For any ordinary shares we distribute as a dividend or free distribution, either (1)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distribute additional ADSs 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282"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Elective Distributions in Cash or Shares. </w:t>
      </w:r>
      <w:r>
        <w:rPr>
          <w:rFonts w:ascii="Times New Roman" w:cs="Times New Roman" w:eastAsia="Times New Roman" w:hAnsi="Times New Roman"/>
          <w:sz w:val="18"/>
          <w:szCs w:val="18"/>
          <w:color w:val="auto"/>
        </w:rPr>
        <w:t>If we offer holders of our ordinary shares the option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Rights to Purchase Additional Shares. </w:t>
      </w:r>
      <w:r>
        <w:rPr>
          <w:rFonts w:ascii="Times New Roman" w:cs="Times New Roman" w:eastAsia="Times New Roman" w:hAnsi="Times New Roman"/>
          <w:sz w:val="18"/>
          <w:szCs w:val="18"/>
          <w:color w:val="auto"/>
        </w:rPr>
        <w:t>If we offer holders of our ordinary shares any rights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subscribe for additional 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1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There can be no assurance that you will be given the opportunity to exercise rights on the same terms and conditions as the holders of ordinary shares or be able to exercise such rights.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800" w:right="419" w:hanging="180"/>
        <w:spacing w:after="0" w:line="254"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Distributions. </w:t>
      </w:r>
      <w:r>
        <w:rPr>
          <w:rFonts w:ascii="Times New Roman" w:cs="Times New Roman" w:eastAsia="Times New Roman" w:hAnsi="Times New Roman"/>
          <w:sz w:val="18"/>
          <w:szCs w:val="18"/>
          <w:color w:val="auto"/>
        </w:rPr>
        <w:t>Subject to receipt of timely notice, as described in the deposit agreement,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1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cancel an American Depositary Share?</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Otherwise, you could exercise your right to vote directly if you withdraw the ordinary shares. However, you may not know about the meeting sufficiently enough in advance to withdraw the ordinary shares.</w:t>
      </w:r>
    </w:p>
    <w:p>
      <w:pPr>
        <w:spacing w:after="0" w:line="114"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If we ask for your instructions and upon timely notice from us by regular, ordinary mail delivery, or by electronic transmission, as described in the deposit agreement, the depositary will notify you of the upcoming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35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16"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depositary and its agents are not responsible for failing to carry out voting instructions or for the manner of carrying out voting instructions. This means that you may not be able to exercise your right to vote and you may have no recourse if the ordinary shares underlying your ADSs are not voted as you requested.</w:t>
      </w:r>
    </w:p>
    <w:p>
      <w:pPr>
        <w:spacing w:after="0" w:line="319"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3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Compliance with Regulations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Requests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w:t>
      </w:r>
    </w:p>
    <w:p>
      <w:pPr>
        <w:spacing w:after="0" w:line="1" w:lineRule="exact"/>
        <w:rPr>
          <w:sz w:val="20"/>
          <w:szCs w:val="20"/>
          <w:color w:val="auto"/>
        </w:rPr>
      </w:pPr>
    </w:p>
    <w:p>
      <w:pPr>
        <w:jc w:val="both"/>
        <w:ind w:left="1260" w:right="419"/>
        <w:spacing w:after="0" w:line="253" w:lineRule="auto"/>
        <w:tabs>
          <w:tab w:leader="none" w:pos="15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shares directly, in each case irrespective of whether or not they are ADS holders or beneficial owners at the time such request is made.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Interests</w:t>
      </w:r>
    </w:p>
    <w:p>
      <w:pPr>
        <w:spacing w:after="0" w:line="135"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Each ADS holder and beneficial owner shall comply with our requests pursuant to Cayman Islands law, the rules and requirements of the New York Stock Exchange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Up to US$0.05 per ADS issued</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To any person to which ADSs are issued or to any</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to which a distribution is made in respect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ADS distributions pursuant to stock dividends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other free distributions of stock, bonus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stock splits or other distributions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(except where converted to cash)</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Cancellation of ADSs, including the case of</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the deposit agreement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0" w:type="dxa"/>
            <w:vAlign w:val="bottom"/>
            <w:vMerge w:val="continue"/>
          </w:tcPr>
          <w:p>
            <w:pPr>
              <w:spacing w:after="0"/>
              <w:rPr>
                <w:sz w:val="12"/>
                <w:szCs w:val="12"/>
                <w:color w:val="auto"/>
              </w:rPr>
            </w:pPr>
          </w:p>
        </w:tc>
        <w:tc>
          <w:tcPr>
            <w:tcW w:w="3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Distribution of cash dividends</w:t>
            </w:r>
          </w:p>
        </w:tc>
        <w:tc>
          <w:tcPr>
            <w:tcW w:w="1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w:t>
            </w:r>
          </w:p>
        </w:tc>
        <w:tc>
          <w:tcPr>
            <w:tcW w:w="3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 and/or cash proceeds</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Distribution of cash entitlements (other than cash</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from the sale of rights, securities and other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entitlements</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Distribution of ADSs pursuant to exercise of</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 additional ADSs</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Distribution of securities other than ADSs or</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to purchase</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Depositary services</w:t>
            </w: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 on the applicable</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480"/>
        <w:spacing w:after="0"/>
        <w:rPr>
          <w:sz w:val="20"/>
          <w:szCs w:val="20"/>
          <w:color w:val="auto"/>
        </w:rPr>
      </w:pPr>
      <w:r>
        <w:rPr>
          <w:rFonts w:ascii="Times New Roman" w:cs="Times New Roman" w:eastAsia="Times New Roman" w:hAnsi="Times New Roman"/>
          <w:sz w:val="18"/>
          <w:szCs w:val="18"/>
          <w:color w:val="auto"/>
        </w:rPr>
        <w:t>record date(s) established by the depositary bank</w:t>
      </w:r>
    </w:p>
    <w:p>
      <w:pPr>
        <w:spacing w:after="0" w:line="12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269" w:lineRule="exact"/>
        <w:rPr>
          <w:sz w:val="20"/>
          <w:szCs w:val="20"/>
          <w:color w:val="auto"/>
        </w:rPr>
      </w:pPr>
    </w:p>
    <w:p>
      <w:pPr>
        <w:ind w:left="1800" w:right="4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Cayman Islands (i.e., upon deposit and withdrawal of ordinary shares).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30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Any applicable fees and penalties thereon.</w:t>
      </w:r>
    </w:p>
    <w:p>
      <w:pPr>
        <w:spacing w:after="0" w:line="15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2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1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ectPr>
          <w:pgSz w:w="11900" w:h="16838" w:orient="portrait"/>
          <w:cols w:equalWidth="0" w:num="1">
            <w:col w:w="9879"/>
          </w:cols>
          <w:pgMar w:left="580" w:top="97" w:right="1440" w:bottom="1440" w:gutter="0" w:footer="0" w:header="0"/>
        </w:sectPr>
      </w:pPr>
    </w:p>
    <w:p>
      <w:pPr>
        <w:ind w:left="1260"/>
        <w:spacing w:after="0" w:line="184" w:lineRule="auto"/>
        <w:tabs>
          <w:tab w:leader="none" w:pos="3060" w:val="left"/>
        </w:tabs>
        <w:rPr>
          <w:sz w:val="20"/>
          <w:szCs w:val="20"/>
          <w:color w:val="auto"/>
        </w:rPr>
      </w:pPr>
      <w:r>
        <w:rPr>
          <w:rFonts w:ascii="Times New Roman" w:cs="Times New Roman" w:eastAsia="Times New Roman" w:hAnsi="Times New Roman"/>
          <w:sz w:val="25"/>
          <w:szCs w:val="25"/>
          <w:b w:val="1"/>
          <w:bCs w:val="1"/>
          <w:color w:val="auto"/>
          <w:vertAlign w:val="subscript"/>
        </w:rPr>
        <w:t>​</w:t>
      </w:r>
      <w:r>
        <w:rPr>
          <w:sz w:val="20"/>
          <w:szCs w:val="20"/>
          <w:color w:val="auto"/>
        </w:rPr>
        <w:tab/>
      </w:r>
      <w:r>
        <w:rPr>
          <w:rFonts w:ascii="Times New Roman" w:cs="Times New Roman" w:eastAsia="Times New Roman" w:hAnsi="Times New Roman"/>
          <w:sz w:val="13"/>
          <w:szCs w:val="13"/>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25374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59" w:lineRule="exact"/>
        <w:rPr>
          <w:sz w:val="20"/>
          <w:szCs w:val="20"/>
          <w:color w:val="auto"/>
        </w:rPr>
      </w:pPr>
    </w:p>
    <w:p>
      <w:pPr>
        <w:ind w:left="1260" w:right="180"/>
        <w:spacing w:after="0" w:line="271" w:lineRule="auto"/>
        <w:rPr>
          <w:sz w:val="20"/>
          <w:szCs w:val="20"/>
          <w:color w:val="auto"/>
        </w:rPr>
      </w:pPr>
      <w:r>
        <w:rPr>
          <w:rFonts w:ascii="Times New Roman" w:cs="Times New Roman" w:eastAsia="Times New Roman" w:hAnsi="Times New Roman"/>
          <w:sz w:val="18"/>
          <w:szCs w:val="18"/>
          <w:color w:val="auto"/>
        </w:rPr>
        <w:t>​Change the nominal or par value of our ordinary shares</w:t>
      </w:r>
    </w:p>
    <w:p>
      <w:pPr>
        <w:spacing w:after="0" w:line="2" w:lineRule="exact"/>
        <w:rPr>
          <w:sz w:val="20"/>
          <w:szCs w:val="20"/>
          <w:color w:val="auto"/>
        </w:rPr>
      </w:pPr>
    </w:p>
    <w:p>
      <w:pPr>
        <w:ind w:left="1260" w:right="500"/>
        <w:spacing w:after="0" w:line="266" w:lineRule="auto"/>
        <w:rPr>
          <w:sz w:val="20"/>
          <w:szCs w:val="20"/>
          <w:color w:val="auto"/>
        </w:rPr>
      </w:pPr>
      <w:r>
        <w:rPr>
          <w:rFonts w:ascii="Times New Roman" w:cs="Times New Roman" w:eastAsia="Times New Roman" w:hAnsi="Times New Roman"/>
          <w:sz w:val="18"/>
          <w:szCs w:val="18"/>
          <w:color w:val="auto"/>
        </w:rPr>
        <w:t>​Reclassify, split up or consolidate any of the deposited securities</w:t>
      </w:r>
    </w:p>
    <w:p>
      <w:pPr>
        <w:ind w:left="1260"/>
        <w:spacing w:after="0" w:line="264" w:lineRule="auto"/>
        <w:rPr>
          <w:sz w:val="20"/>
          <w:szCs w:val="20"/>
          <w:color w:val="auto"/>
        </w:rPr>
      </w:pPr>
      <w:r>
        <w:rPr>
          <w:rFonts w:ascii="Times New Roman" w:cs="Times New Roman" w:eastAsia="Times New Roman" w:hAnsi="Times New Roman"/>
          <w:sz w:val="18"/>
          <w:szCs w:val="18"/>
          <w:color w:val="auto"/>
        </w:rPr>
        <w:t>​Distribute securities on the ordinary shares that are not distributed to you, or 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
        <w:spacing w:after="0"/>
        <w:tabs>
          <w:tab w:leader="none" w:pos="20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27305</wp:posOffset>
            </wp:positionV>
            <wp:extent cx="25374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6" w:lineRule="exact"/>
        <w:rPr>
          <w:sz w:val="20"/>
          <w:szCs w:val="20"/>
          <w:color w:val="auto"/>
        </w:rPr>
      </w:pPr>
    </w:p>
    <w:p>
      <w:pPr>
        <w:ind w:left="240" w:right="60" w:hanging="224"/>
        <w:spacing w:after="0" w:line="271" w:lineRule="auto"/>
        <w:tabs>
          <w:tab w:leader="none" w:pos="1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cash, shares or other securities received by the depositary will become deposited securities.</w:t>
      </w:r>
    </w:p>
    <w:p>
      <w:pPr>
        <w:spacing w:after="0" w:line="1" w:lineRule="exact"/>
        <w:rPr>
          <w:rFonts w:ascii="Times New Roman" w:cs="Times New Roman" w:eastAsia="Times New Roman" w:hAnsi="Times New Roman"/>
          <w:sz w:val="18"/>
          <w:szCs w:val="18"/>
          <w:color w:val="auto"/>
        </w:rPr>
      </w:pPr>
    </w:p>
    <w:p>
      <w:pPr>
        <w:ind w:left="240" w:right="280" w:hanging="224"/>
        <w:spacing w:after="0" w:line="266" w:lineRule="auto"/>
        <w:tabs>
          <w:tab w:leader="none" w:pos="1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ADS will automatically represent its equal share of the new deposited securities.</w:t>
      </w:r>
    </w:p>
    <w:p>
      <w:pPr>
        <w:ind w:left="240" w:hanging="224"/>
        <w:spacing w:after="0" w:line="260" w:lineRule="auto"/>
        <w:tabs>
          <w:tab w:leader="none" w:pos="1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depositary may distribute some or all of the cash, shares or other securities it received. It may also deliver new ADSs or ask you to surrender your outstanding ADRs in exchange for new ADRs identifying the new deposited securities.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5100" w:space="140"/>
            <w:col w:w="4140" w:space="80"/>
            <w:col w:w="41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our company, the ADRs and the deposit agreement.</w:t>
      </w:r>
    </w:p>
    <w:p>
      <w:pPr>
        <w:spacing w:after="0" w:line="1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depositary will maintain facilities in the Borough of Manhattan, The City of New York to record and process the issuance, cancellation, combination, split-up and transfer of ADRs.</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225" w:lineRule="exact"/>
        <w:rPr>
          <w:sz w:val="20"/>
          <w:szCs w:val="20"/>
          <w:color w:val="auto"/>
        </w:rPr>
      </w:pPr>
    </w:p>
    <w:p>
      <w:pPr>
        <w:ind w:left="162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and the Custodian; Limits on Liability to Holders of ADSs</w:t>
      </w:r>
    </w:p>
    <w:p>
      <w:pPr>
        <w:spacing w:after="0" w:line="9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54" w:lineRule="exact"/>
        <w:rPr>
          <w:sz w:val="20"/>
          <w:szCs w:val="20"/>
          <w:color w:val="auto"/>
        </w:rPr>
      </w:pPr>
    </w:p>
    <w:p>
      <w:pPr>
        <w:ind w:left="1800" w:right="41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gross negligence or willful misconduct;</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3"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302"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special, consequential, indirect or punitive damages for any breach of the terms of the deposit agreement, or otherwise;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party;</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32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w:t>
      </w:r>
    </w:p>
    <w:p>
      <w:pPr>
        <w:spacing w:after="0" w:line="1" w:lineRule="exact"/>
        <w:rPr>
          <w:sz w:val="20"/>
          <w:szCs w:val="20"/>
          <w:color w:val="auto"/>
        </w:rPr>
      </w:pPr>
    </w:p>
    <w:p>
      <w:pPr>
        <w:jc w:val="both"/>
        <w:ind w:left="1260" w:right="419"/>
        <w:spacing w:after="0" w:line="253"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32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200" w:lineRule="exact"/>
        <w:rPr>
          <w:sz w:val="20"/>
          <w:szCs w:val="20"/>
          <w:color w:val="auto"/>
        </w:rPr>
      </w:pP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Jurisdiction and Arbitration</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will have the right to refer any claim or dispute arising from the relationship created by the deposit agreement to arbitration in accordance with the Commercial Arbitration Rules of the American Arbitration Association. The fees of the arbitrator and other costs incurred by the parties in connection with such arbitration shall be paid by the party or parties that is (are) unsuccessful in such arbitration. The arbitration provisions of the deposit agreement do not preclude you from pursuing claims arising under the Securities Act or the Exchange Act in state or federal courts. The arbitration provision of the deposit agreement shall not relieve us or the depositary from our respective obligations to comply with the Securities Act and the Exchange Act and is not intended to be deemed a waiver by any holder or beneficial owner of ADSs of compliance with the U.S. federal securities laws and the rules and regulations promulgated thereunder.</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6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Before the depositary will issue, deliver or register a transfer of an ADS, split-up, subdivide or combine ADSs, make a distribution on an ADS, or permit withdrawal of ordinary shares, the depositary may require:</w:t>
      </w:r>
    </w:p>
    <w:p>
      <w:pPr>
        <w:spacing w:after="0" w:line="282" w:lineRule="exact"/>
        <w:rPr>
          <w:sz w:val="20"/>
          <w:szCs w:val="20"/>
          <w:color w:val="auto"/>
        </w:rPr>
      </w:pPr>
    </w:p>
    <w:p>
      <w:pPr>
        <w:jc w:val="both"/>
        <w:ind w:left="1800" w:right="41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any other matters contemplated in the deposit agreement;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9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have the right to cancel your ADSs and withdraw the underlying ordinary shares at any time except:</w:t>
      </w:r>
    </w:p>
    <w:p>
      <w:pPr>
        <w:spacing w:after="0" w:line="315" w:lineRule="exact"/>
        <w:rPr>
          <w:sz w:val="20"/>
          <w:szCs w:val="20"/>
          <w:color w:val="auto"/>
        </w:rPr>
      </w:pPr>
    </w:p>
    <w:p>
      <w:pPr>
        <w:jc w:val="both"/>
        <w:ind w:left="1800" w:right="419" w:hanging="180"/>
        <w:spacing w:after="0" w:line="26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specifically contemplated by Section I.A.(l) of the General Instructions to Form F-6 (as such General Instructions may be amended from time to time); or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if the depositary or we determine, in good faith, that it is necessary or advisable to prohibit withdrawals.</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incorporated in the Cayman Islands to take advantage of certain benefits associated with being 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Cayman Islands exempted company, such as:</w:t>
      </w:r>
    </w:p>
    <w:p>
      <w:pPr>
        <w:spacing w:after="0" w:line="84"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54" w:lineRule="exact"/>
        <w:rPr>
          <w:sz w:val="20"/>
          <w:szCs w:val="20"/>
          <w:color w:val="auto"/>
        </w:rPr>
      </w:pPr>
    </w:p>
    <w:p>
      <w:pPr>
        <w:ind w:left="1800" w:right="4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less protection to investors as compared to the United States;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may face special obstacles, including but not limited to those relating to jurisdiction and standing, in attempting to assert derivative claims in state or federal courts of the United States.</w:t>
      </w:r>
    </w:p>
    <w:p>
      <w:pPr>
        <w:spacing w:after="0" w:line="9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31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Substantially all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in the U.S. District Court for the Southern District of New York in connection with this offering under the federal securities laws of the United States or the securities laws of any State in the United States or any action brought against us in the Supreme Court of the State of New York in the County of New York in connection with this offering under the securities laws of the State of New York.</w:t>
      </w:r>
    </w:p>
    <w:p>
      <w:pPr>
        <w:spacing w:after="0" w:line="11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have been advised by our Cayman Islands legal counsel, Maples and Calder (Hong Kong) LLP, that the courts of the Cayman Islands are unlikely (i) to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of the Cayman Islands). A Cayman Islands Court may stay enforcement proceedings if concurrent proceedings are being brought elsewhere.</w:t>
      </w:r>
    </w:p>
    <w:p>
      <w:pPr>
        <w:spacing w:after="0" w:line="32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Han Kun Law Offices, our counsel as to PRC law, has advised us that there is uncertainty as to whether the courts of China would: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9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are no treaty and few other forms of reciprocity governing the recognition and enforcement of foreign judgments between China and the United States or between China and the Cayman Islands.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the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electing PRC courts for dispute resolution if such foreign shareholders can establish sufficient nexus to the PRC for a PRC court to have jurisdiction, and meet other procedural requirements, including, among others, that the plaintiff must have a direct interest in the case, and there must be a concrete claim, a factual basis and a cause for the case. The PRC court will determine whether to accept the complaint in accordance with the PRC Civil Procedures Law and PRC Law on the Application of Laws to Foreign-related Civil Relations.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35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the PRC in accordance with PRC laws because we are incorporated under the laws of the Cayman Islands and it will be difficult for U.S. shareholders, by virtue only of holding our ADSs or Class A ordinary shares, to establish a connection to the PRC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The following summary of the material Cayman Islands, PRC and U.S. federal income tax consequences of an investment in our ADSs or ordinary shares is based upon laws and relevant interpretations thereof in effect as of the date of this prospectus, all of which are subject to change or differing interpretation, possibly with retroactive effect. This summary does not deal with all possible tax consequences relating to an investment in our ADSs or ordinary shares, such as the tax consequences under U.S. state and local tax laws or under the tax laws of jurisdictions other than the Cayman Islands, PRC and the United States. To the extent that the discussion relates to matters of Cayman Islands tax law, it represents the opinion of Maples and Calder (Hong Kong) LLF, our Cayman Islands counsel, and to the extent that the discussion relates to matters of PRC tax law, it represents the opinion of Han Kun Law Offices, our PRC counsel.</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Cayman Islands currently has no form of income, corporate or capital gains tax and no estate duty, inheritance tax or gift tax.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spacing w:after="0" w:line="11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Taxation Administration issued the Circular on Issues Relating to Identification of PRC-Controlled Overseas Registered Enterprises as Resident Enterprises in Accordance With the De Facto Standards of Organizational Management, or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Taxation Administration issued the Bulletin on Promulgation of the Administrative Measures for Income Tax of Chinese-Controlled Offshore-Incorporated Resident Enterprises (Trial Implementation), which took effect in September 2011, to provide more guidance on the implementation of Circular 82. This bulletin provides for procedures and administration details of determination on resident status and administration on post-determination matters.</w:t>
      </w:r>
    </w:p>
    <w:p>
      <w:pPr>
        <w:spacing w:after="0" w:line="200" w:lineRule="exact"/>
        <w:rPr>
          <w:sz w:val="20"/>
          <w:szCs w:val="20"/>
          <w:color w:val="auto"/>
        </w:rPr>
      </w:pPr>
    </w:p>
    <w:p>
      <w:pPr>
        <w:spacing w:after="0" w:line="333"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NIO Inc.’s key assets are its ownership interests in its subsidiaries, and its key assets are located, and its records (including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10"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Enterprise Income Tax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Circular on Certain Issues with Respect to the Enforcement of Dividend Provisions in Tax Treaties, or Circular 81, issued by the State Taxation Administration in February 2009,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Treaties, which took effect in January 2020, require that non -resident enterprises must obtain approval from the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Circular 81 and other tax rules and regulations and obtain the approvals as required. However, according to Circular 81, if the relevant tax authorities determine our transactions or arrangements are for the primary purpose of enjoying a favorable tax treatment, the tax authorities may adjust the favorable tax rate on dividends in the future.</w:t>
      </w:r>
    </w:p>
    <w:p>
      <w:pPr>
        <w:spacing w:after="0" w:line="343" w:lineRule="exact"/>
        <w:rPr>
          <w:sz w:val="20"/>
          <w:szCs w:val="20"/>
          <w:color w:val="auto"/>
        </w:rPr>
      </w:pPr>
    </w:p>
    <w:p>
      <w:pPr>
        <w:jc w:val="both"/>
        <w:ind w:left="1260" w:right="419" w:firstLine="360"/>
        <w:spacing w:after="0" w:line="24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Provided that our Cayman Islands holding company, NIO Inc., is not deemed to be a PRC resident enterprise, holders of our ADSs and Class A ordinary shares who are not PRC residents will not be subject to PRC income tax on dividends that we distributed or gains realized from the sale or other disposition of our shares or ADSs. In February 2015, the State Taxation Administration issued the Circular on Issues of Enterprise Income Tax on Indirect Transfers of Assets by Non-PRC Resident Enterprises, or Circular 7, which was latest amended in December 2017.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“Item 3. Key Information — D. Risk Factors —  Risks Related to Doing Business in China — We face uncertainty with respect to indirect transfers of equity </w:t>
      </w:r>
      <w:hyperlink r:id="rId166">
        <w:r>
          <w:rPr>
            <w:rFonts w:ascii="Times New Roman" w:cs="Times New Roman" w:eastAsia="Times New Roman" w:hAnsi="Times New Roman"/>
            <w:sz w:val="18"/>
            <w:szCs w:val="18"/>
            <w:color w:val="auto"/>
          </w:rPr>
          <w:t xml:space="preserve">interests in PRC resident enterprises by their non-PRC holding companies” in our </w:t>
        </w:r>
        <w:r>
          <w:rPr>
            <w:rFonts w:ascii="Times New Roman" w:cs="Times New Roman" w:eastAsia="Times New Roman" w:hAnsi="Times New Roman"/>
            <w:sz w:val="18"/>
            <w:szCs w:val="18"/>
            <w:u w:val="single" w:color="auto"/>
            <w:color w:val="0000EE"/>
          </w:rPr>
          <w:t>annual report on Form 20-</w:t>
        </w:r>
      </w:hyperlink>
      <w:hyperlink r:id="rId166">
        <w:r>
          <w:rPr>
            <w:rFonts w:ascii="Times New Roman" w:cs="Times New Roman" w:eastAsia="Times New Roman" w:hAnsi="Times New Roman"/>
            <w:sz w:val="18"/>
            <w:szCs w:val="18"/>
            <w:u w:val="single" w:color="auto"/>
            <w:color w:val="0000EE"/>
          </w:rPr>
          <w:t>F for the year ended December 31, 2023</w:t>
        </w:r>
        <w:r>
          <w:rPr>
            <w:rFonts w:ascii="Times New Roman" w:cs="Times New Roman" w:eastAsia="Times New Roman" w:hAnsi="Times New Roman"/>
            <w:sz w:val="18"/>
            <w:szCs w:val="18"/>
            <w:color w:val="000000"/>
          </w:rPr>
          <w:t>, which is incorporated in this prospectus by reference.</w:t>
        </w:r>
      </w:hyperlink>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4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Class A ordinary shares by a U.S. Holder (as defined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There can be no assurance that the Internal Revenue Service (the “IRS”) or a court will not take a contrary position. This discussion, moreover, does not address the U.S. federal estate, gift, Medicare,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94" w:lineRule="exact"/>
        <w:rPr>
          <w:sz w:val="20"/>
          <w:szCs w:val="20"/>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Class A ordinary shares as part of a straddle, hedge, conversion, constructive sale or other integrated transaction for U.S. federal income tax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ADSs or Class A ordinary shares through such entities.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of the foregoing may be subject to tax rules that differ significantly from those discussed below.</w:t>
      </w:r>
    </w:p>
    <w:p>
      <w:pPr>
        <w:spacing w:after="0" w:line="14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Class A ordinary shares that is, for U.S. federal income tax purposes:</w:t>
      </w:r>
    </w:p>
    <w:p>
      <w:pPr>
        <w:spacing w:after="0" w:line="54" w:lineRule="exact"/>
        <w:rPr>
          <w:sz w:val="20"/>
          <w:szCs w:val="20"/>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our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11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Assuming that we are the owner of the VIEs for U.S. federal income tax purposes, and based upon our current and expected income and assets, we do not believe that we were a PFIC for the taxable year ended December 31, 2023.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or become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significantly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 passive income, or where we determine not to deploy significant amounts of cash for active purposes, our risk of becoming classified as a PFIC may substantially increase. If we were to be or become a PFIC for any taxable year during which a U.S. holder holds our ADSs or Class A ordinary shares, certain adverse U.S. federal income tax consequences could apply to such U.S. holders.</w:t>
      </w:r>
    </w:p>
    <w:p>
      <w:pPr>
        <w:spacing w:after="0" w:line="33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we are classified as a PFIC for any year during which a U.S. Holder holds our ADSs or Class A ordinary shares, the PFIC rules discussed below under “— Passive Foreign Investment Company Rules” generally will apply to such U.S. Holder for such taxable year, and unless the U.S. Holder makes certain elections, will apply in future years even if we cease to be a PFIC.</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The U.S. federal</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income tax rules that apply generally if we are treated as a PFIC are discussed below under “— Passive Foreign Investment Company Rules.”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(the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to be readily tradeable on the New York Stock Exchange, which is an established securities market in the United States. There can be no assurance, however, that our ADSs will be considered readily tradeable on an established securities market in later years.</w:t>
      </w:r>
    </w:p>
    <w:p>
      <w:pPr>
        <w:spacing w:after="0" w:line="34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 People’s Republic of China Taxation” above),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0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Treaty. Pursuant to Treasury Regulations, however, if a U.S. Holder is not eligible for the benefits of the Treaty or does not elect to apply the Treaty, then such holder may not be able to claim a foreign tax credit arising from any PRC tax imposed on the disposition of our ADSs or Class A ordinary shares. The deductibility of a capital loss may be subject to limitations. U.S. Holders are urged to consult their tax advisors regarding the tax consequences if a foreign tax is imposed on a disposition of our ADSs or Class A ordinary shares, including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availability of the foreign tax credit or deduction under their particular circumstances, their eligibility for benefits under the Treaty and the potential impact of the Treasury Regulations.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60" w:lineRule="exact"/>
        <w:rPr>
          <w:sz w:val="20"/>
          <w:szCs w:val="20"/>
          <w:color w:val="auto"/>
        </w:rPr>
      </w:pPr>
    </w:p>
    <w:p>
      <w:pPr>
        <w:ind w:left="1800" w:right="41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9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 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112"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on a qualified exchange, as defined in applicable U.S. Treasury Regulations. For those purposes, our ADSs, but not our Class A ordinary shares, are traded on the New York Stock Exchange which is a qualified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 -market election. The U.S. Holder’s adjusted tax basis in the ADSs would be adjusted to reflect any income or loss resulting from the mark-to- 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 to- 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33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Because a mark-to-market election technically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323"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Selling shareholders to be named in a prospectus supplement may, from time to time, offer and sell some or all of our Class A ordinary shares held by them pursuant to this prospectus and the applicable prospectus supplement. Such selling shareholders may sell our Class A ordinary shares held by them to or through underwriters, dealers or agents or directly to purchasers or as otherwise set forth in the applicable prospectus supplement. See “Plan of Distribution.” Such selling shareholders may also sell, transfer or otherwise dispose of some or all of our ordinary shares held by them in transactions exempt from the registration requirements of the Securities Act.</w:t>
      </w:r>
    </w:p>
    <w:p>
      <w:pPr>
        <w:spacing w:after="0" w:line="121"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any selling shareholder is to offer and sell some or all of our Class A ordinary shares held by them pursuant to this prospectus, we will provide you with a prospectus supplement that sets forth the name of each selling shareholder and the number of our Class A ordinary shares beneficially owned by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sell the securities described in this prospectus from time to time in one or more transactions, including without limitation:</w:t>
      </w:r>
    </w:p>
    <w:p>
      <w:pPr>
        <w:spacing w:after="0" w:line="54" w:lineRule="exact"/>
        <w:rPr>
          <w:sz w:val="20"/>
          <w:szCs w:val="20"/>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exchange on which the securities offered by this prospectus are listed or any automatic quotation system through which the securities may be quoted;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19"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1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sell the securities offered by this prospectus at:</w:t>
      </w:r>
    </w:p>
    <w:p>
      <w:pPr>
        <w:spacing w:after="0" w:line="40" w:lineRule="exact"/>
        <w:rPr>
          <w:sz w:val="20"/>
          <w:szCs w:val="20"/>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5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 may also receive commissions from purchasers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12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offering of the securities, including the following:</w:t>
      </w:r>
    </w:p>
    <w:p>
      <w:pPr>
        <w:spacing w:after="0" w:line="54" w:lineRule="exact"/>
        <w:rPr>
          <w:sz w:val="20"/>
          <w:szCs w:val="20"/>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0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may pay expenses incurred with respect to the registration of shares owned by any selling shareholders.</w:t>
      </w:r>
    </w:p>
    <w:p>
      <w:pPr>
        <w:spacing w:after="0" w:line="35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underwriters, dealers and agents, as well as their associates, may be customers of or lenders to, and may engage in transactions with and perform services for, NIO Inc.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34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being represented by Skadden, Arps, Slate, Meagher &amp; Flom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ordinary shares represented by the ADSs and certain legal matters as to Cayman Islands law will be passed upon for us by Maples and Calder (Hong Kong) LLP. Certain legal matters as to PRC law will be passed upon for us by Han Kun Law Offices and for the underwriters by a law firm named in the applicable prospectus supplement. Skadden, Arps, Slate, Meagher &amp; Flom LLP may rely upon Maples and Calder (Hong Kong) LLP with respect to matters governed by Cayman Islands law and Han Kun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41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166">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20-F for the year</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Zhong Tian LLP, an independent registered public accounting firm, given on the authority of said firm as experts in auditing and accounting.</w:t>
      </w:r>
    </w:p>
    <w:p>
      <w:pPr>
        <w:spacing w:after="0" w:line="33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PricewaterhouseCoopers Zhong Tian LLP is 6/F DBS Bank Tower, 1318, Lu Jia Zui Ring Road, Pudong New Area, Shanghai,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that are applicable to a foreign private issuer. We file reports, including annual reports on Form 20-F, and other information with the SEC pursuant to the rules and regulations of the SEC that apply to foreign private issuers. All information that we file with or furnish to the SEC can be obtained over the internet on the SEC’s website at www.sec.gov. We also maintain a website at ir.nio.com, but information contained on, or linked from, our website is not incorporated by reference in this prospectus or any prospectus supplement. You should not regard any information on our website as a part of this prospectus or any prospectus supplement.</w:t>
      </w:r>
    </w:p>
    <w:p>
      <w:pPr>
        <w:spacing w:after="0" w:line="12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on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listed below:</w:t>
      </w:r>
    </w:p>
    <w:p>
      <w:pPr>
        <w:spacing w:after="0" w:line="117" w:lineRule="exact"/>
        <w:rPr>
          <w:sz w:val="20"/>
          <w:szCs w:val="20"/>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66">
        <w:r>
          <w:rPr>
            <w:rFonts w:ascii="Times New Roman" w:cs="Times New Roman" w:eastAsia="Times New Roman" w:hAnsi="Times New Roman"/>
            <w:sz w:val="18"/>
            <w:szCs w:val="18"/>
            <w:u w:val="single" w:color="auto"/>
            <w:color w:val="0000EE"/>
          </w:rPr>
          <w:t>annual report on Form 20-F for the fiscal year ended December 31, 2023 filed on April 9, 2024;</w:t>
        </w:r>
      </w:hyperlink>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77"/>
        </w:numPr>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auto"/>
          </w:rPr>
          <w:t xml:space="preserve">the description of the securities contained in our registration statement on </w:t>
        </w:r>
        <w:r>
          <w:rPr>
            <w:rFonts w:ascii="Times New Roman" w:cs="Times New Roman" w:eastAsia="Times New Roman" w:hAnsi="Times New Roman"/>
            <w:sz w:val="18"/>
            <w:szCs w:val="18"/>
            <w:u w:val="single" w:color="auto"/>
            <w:color w:val="0000EE"/>
          </w:rPr>
          <w:t>Form 8-A filed on</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EE"/>
          </w:rPr>
          <w:t>August 28, 2018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Section 12 of the Exchange Act, together with all amendments and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filed for the purpose of updating that description; and</w:t>
      </w:r>
    </w:p>
    <w:p>
      <w:pPr>
        <w:spacing w:after="0" w:line="67" w:lineRule="exact"/>
        <w:rPr>
          <w:rFonts w:ascii="Times New Roman" w:cs="Times New Roman" w:eastAsia="Times New Roman" w:hAnsi="Times New Roman"/>
          <w:sz w:val="18"/>
          <w:szCs w:val="18"/>
          <w:color w:val="0000EE"/>
        </w:rPr>
      </w:pPr>
    </w:p>
    <w:p>
      <w:pPr>
        <w:jc w:val="both"/>
        <w:ind w:left="1800" w:right="419" w:hanging="180"/>
        <w:spacing w:after="0" w:line="261"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securities under this prospectus, all reports on Form 20-F and any report on Form 6-K that so indicates it is being incorporated by reference, in each case, that we file with or furnish to the SEC on or after the date on which the registration statement is first filed with the SEC and until the termination or completion of that offering under this prospectus.</w:t>
      </w:r>
    </w:p>
    <w:p>
      <w:pPr>
        <w:spacing w:after="0" w:line="99" w:lineRule="exact"/>
        <w:rPr>
          <w:rFonts w:ascii="Times New Roman" w:cs="Times New Roman" w:eastAsia="Times New Roman" w:hAnsi="Times New Roman"/>
          <w:sz w:val="18"/>
          <w:szCs w:val="18"/>
          <w:color w:val="auto"/>
        </w:rPr>
      </w:pPr>
    </w:p>
    <w:p>
      <w:pPr>
        <w:jc w:val="both"/>
        <w:ind w:left="1260" w:right="419" w:firstLine="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66">
        <w:r>
          <w:rPr>
            <w:rFonts w:ascii="Times New Roman" w:cs="Times New Roman" w:eastAsia="Times New Roman" w:hAnsi="Times New Roman"/>
            <w:sz w:val="18"/>
            <w:szCs w:val="18"/>
            <w:u w:val="single" w:color="auto"/>
            <w:color w:val="0000EE"/>
          </w:rPr>
          <w:t>annual report on Form 20-F for the fiscal year ended December 31, 2023 filed on April 9, 2024</w:t>
        </w:r>
      </w:hyperlink>
      <w:r>
        <w:rPr>
          <w:rFonts w:ascii="Times New Roman" w:cs="Times New Roman" w:eastAsia="Times New Roman" w:hAnsi="Times New Roman"/>
          <w:sz w:val="18"/>
          <w:szCs w:val="18"/>
          <w:color w:val="auto"/>
        </w:rPr>
        <w:t>, contains a description of our business and audited consolidated financial statements with a report by our independent registered public accounting firm. These financial statements are prepared in accordance with U.S. GAAP.</w:t>
      </w:r>
    </w:p>
    <w:p>
      <w:pPr>
        <w:spacing w:after="0" w:line="112" w:lineRule="exact"/>
        <w:rPr>
          <w:rFonts w:ascii="Times New Roman" w:cs="Times New Roman" w:eastAsia="Times New Roman" w:hAnsi="Times New Roman"/>
          <w:sz w:val="18"/>
          <w:szCs w:val="18"/>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12"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NIO Inc.</w:t>
      </w:r>
    </w:p>
    <w:p>
      <w:pPr>
        <w:spacing w:after="0" w:line="27"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Building 19, No. 1355, Caobao Road</w:t>
      </w:r>
    </w:p>
    <w:p>
      <w:pPr>
        <w:spacing w:after="0" w:line="9"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Minhang District, Shanghai</w:t>
      </w:r>
    </w:p>
    <w:p>
      <w:pPr>
        <w:spacing w:after="0" w:line="9"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Tel: +86 21 6908-2018</w:t>
      </w:r>
    </w:p>
    <w:p>
      <w:pPr>
        <w:spacing w:after="0" w:line="9"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Investor Relations Department</w:t>
      </w:r>
    </w:p>
    <w:p>
      <w:pPr>
        <w:spacing w:after="0" w:line="126" w:lineRule="exact"/>
        <w:rPr>
          <w:rFonts w:ascii="Times New Roman" w:cs="Times New Roman" w:eastAsia="Times New Roman" w:hAnsi="Times New Roman"/>
          <w:sz w:val="18"/>
          <w:szCs w:val="18"/>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
      <w:numFmt w:val="bullet"/>
      <w:start w:val="1"/>
    </w:lvl>
    <w:lvl w:ilvl="1">
      <w:lvlJc w:val="left"/>
      <w:lvlText w:val=" "/>
      <w:numFmt w:val="bullet"/>
      <w:start w:val="1"/>
    </w:lvl>
  </w:abstractNum>
  <w:abstractNum w:abstractNumId="1">
    <w:nsid w:val="51EAD36B"/>
    <w:multiLevelType w:val="hybridMultilevel"/>
    <w:lvl w:ilvl="0">
      <w:lvlJc w:val="left"/>
      <w:lvlText w:val="(%1)"/>
      <w:numFmt w:val="lowerRoman"/>
      <w:start w:val="2"/>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lowerRoman"/>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decimal"/>
      <w:start w:val="3"/>
    </w:lvl>
    <w:lvl w:ilvl="1">
      <w:lvlJc w:val="left"/>
      <w:lvlText w:val="(%2)"/>
      <w:numFmt w:val="lowerLetter"/>
      <w:start w:val="2"/>
    </w:lvl>
  </w:abstractNum>
  <w:abstractNum w:abstractNumId="13">
    <w:nsid w:val="7A6D8D3C"/>
    <w:multiLevelType w:val="hybridMultilevel"/>
    <w:lvl w:ilvl="0">
      <w:lvlJc w:val="left"/>
      <w:lvlText w:val=" "/>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lowerRoman"/>
      <w:start w:val="3"/>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lowerLetter"/>
      <w:start w:val="2"/>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
      <w:numFmt w:val="bullet"/>
      <w:start w:val="1"/>
    </w:lvl>
    <w:lvl w:ilvl="1">
      <w:lvlJc w:val="left"/>
      <w:lvlText w:val="(%2)"/>
      <w:numFmt w:val="lowerRoman"/>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lowerRoman"/>
      <w:start w:val="1"/>
    </w:lvl>
  </w:abstractNum>
  <w:abstractNum w:abstractNumId="46">
    <w:nsid w:val="61574095"/>
    <w:multiLevelType w:val="hybridMultilevel"/>
    <w:lvl w:ilvl="0">
      <w:lvlJc w:val="left"/>
      <w:lvlText w:val="(%1)"/>
      <w:numFmt w:val="lowerRoman"/>
      <w:start w:val="2"/>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lowerLetter"/>
      <w:start w:val="2"/>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lowerRoman"/>
      <w:start w:val="5"/>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jpe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jpe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jpeg"/><Relationship Id="rId165"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11" Type="http://schemas.openxmlformats.org/officeDocument/2006/relationships/hyperlink" Target="https://www.sec.gov/ix?doc=/Archives/edgar/data/1736541/000141057825000661/nio-20241231x20f.htm" TargetMode="External"/><Relationship Id="rId36" Type="http://schemas.openxmlformats.org/officeDocument/2006/relationships/hyperlink" Target="https://www.sec.gov/Archives/edgar/data/1736541/000110465924063824/tm2414718-1_f3asr.htm" TargetMode="External"/><Relationship Id="rId149" Type="http://schemas.openxmlformats.org/officeDocument/2006/relationships/hyperlink" Target="https://www.sec.gov/Archives/edgar/data/1736541/000119312518260361/d614798d8a12b.htm" TargetMode="External"/><Relationship Id="rId166" Type="http://schemas.openxmlformats.org/officeDocument/2006/relationships/hyperlink" Target="https://www.sec.gov/ix?doc=/Archives/edgar/data/1736541/000110465924044923/nio-20231231x20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2025-09-10T06:13:43Z</dcterms:created>
  <dcterms:modified xsi:type="dcterms:W3CDTF">2025-09-10T06:13:43Z</dcterms:modified>
</cp:coreProperties>
</file>