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685d1_6k.htm"/>
      <w:bookmarkStart w:id="1" w:name="kstm262368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
        <w:gridCol w:w="60"/>
        <w:gridCol w:w="9178"/>
      </w:tblGrid>
      <w:tr>
        <w:trPr/>
        <w:tc>
          <w:tcPr>
            <w:tcW w:w="96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917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67" w:type="dxa"/>
            <w:tcBorders/>
            <w:vAlign w:val="center"/>
          </w:tcPr>
          <w:p>
            <w:pPr>
              <w:pStyle w:val="TableContents"/>
              <w:bidi w:val="0"/>
              <w:spacing w:before="0" w:after="283"/>
              <w:jc w:val="center"/>
              <w:rPr/>
            </w:pPr>
            <w:hyperlink w:anchor="tm2623685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9178" w:type="dxa"/>
            <w:tcBorders/>
            <w:vAlign w:val="center"/>
          </w:tcPr>
          <w:p>
            <w:pPr>
              <w:pStyle w:val="TableContents"/>
              <w:bidi w:val="0"/>
              <w:spacing w:before="0" w:after="283"/>
              <w:jc w:val="left"/>
              <w:rPr/>
            </w:pPr>
            <w:hyperlink w:anchor="tm2623685d1_ex99-1.htm">
              <w:r>
                <w:rPr>
                  <w:rStyle w:val="InternetLink"/>
                  <w:rFonts w:ascii="Times New Roman;Times;Serif" w:hAnsi="Times New Roman;Times;Serif"/>
                  <w:sz w:val="20"/>
                </w:rPr>
                <w:t>Announcement on The Stock Exchange of Hong Kong Limited Regarding Date of Board Meeting, dated August 20,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709" w:type="dxa"/>
        <w:jc w:val="left"/>
        <w:tblInd w:w="0" w:type="dxa"/>
        <w:tblLayout w:type="fixed"/>
        <w:tblCellMar>
          <w:top w:w="0" w:type="dxa"/>
          <w:left w:w="0" w:type="dxa"/>
          <w:bottom w:w="0" w:type="dxa"/>
          <w:right w:w="0" w:type="dxa"/>
        </w:tblCellMar>
      </w:tblPr>
      <w:tblGrid>
        <w:gridCol w:w="75"/>
        <w:gridCol w:w="635"/>
        <w:gridCol w:w="104"/>
        <w:gridCol w:w="1895"/>
      </w:tblGrid>
      <w:tr>
        <w:trPr/>
        <w:tc>
          <w:tcPr>
            <w:tcW w:w="75"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b/>
                <w:sz w:val="20"/>
              </w:rPr>
            </w:pPr>
            <w:r>
              <w:rPr>
                <w:b/>
                <w:sz w:val="20"/>
              </w:rPr>
              <w:t>NIO Inc.</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Yu Qu</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0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0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 w:name="tm2623685d1_ex99-1.htm"/>
      <w:bookmarkStart w:id="3" w:name="kstm2623685d1_ex991"/>
      <w:bookmarkEnd w:id="2"/>
      <w:bookmarkEnd w:id="3"/>
      <w:r>
        <w:rPr>
          <w:b/>
          <w:sz w:val="20"/>
        </w:rPr>
        <w:t>Exhibit 99.1</w:t>
      </w:r>
      <w:r>
        <w:br w:type="page"/>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152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1525" cy="714375"/>
                    </a:xfrm>
                    <a:prstGeom prst="rect">
                      <a:avLst/>
                    </a:prstGeom>
                  </pic:spPr>
                </pic:pic>
              </a:graphicData>
            </a:graphic>
          </wp:inline>
        </w:drawing>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9866)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NIO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hold a Board meeting on Tuesday, September 1, 2026 (Beijing/Hong Kong/Singapore Time) for the purposes of, among other things, approving the Company’s unaudited financial results and announcement for the three months and six months ended June 30, 2026 (“</w:t>
      </w:r>
      <w:r>
        <w:rPr>
          <w:rFonts w:ascii="Times New Roman;Times;Serif" w:hAnsi="Times New Roman;Times;Serif"/>
          <w:b/>
          <w:i w:val="false"/>
          <w:caps w:val="false"/>
          <w:smallCaps w:val="false"/>
          <w:sz w:val="20"/>
        </w:rPr>
        <w:t>Q2 2026 Results</w:t>
      </w:r>
      <w:r>
        <w:rPr>
          <w:rFonts w:ascii="Times New Roman;Times;Serif" w:hAnsi="Times New Roman;Times;Serif"/>
          <w:b w:val="false"/>
          <w:i w:val="false"/>
          <w:caps w:val="false"/>
          <w:smallCaps w:val="false"/>
          <w:sz w:val="20"/>
        </w:rPr>
        <w:t xml:space="preserve">”). The Company will publish its Q2 2026 Results on Tuesday, September 1, 2026 (Beijing/Hong Kong/Singapore Time) on the website of The Stock Exchange of Hong Kong Limited at </w:t>
      </w:r>
      <w:r>
        <w:rPr>
          <w:rFonts w:ascii="Times New Roman;Times;Serif" w:hAnsi="Times New Roman;Times;Serif"/>
          <w:b/>
          <w:i w:val="false"/>
          <w:caps w:val="false"/>
          <w:smallCaps w:val="false"/>
          <w:sz w:val="20"/>
          <w:u w:val="single"/>
        </w:rPr>
        <w:t>www.hkexnews.hk</w:t>
      </w:r>
      <w:r>
        <w:rPr>
          <w:rFonts w:ascii="Times New Roman;Times;Serif" w:hAnsi="Times New Roman;Times;Serif"/>
          <w:b w:val="false"/>
          <w:i w:val="false"/>
          <w:caps w:val="false"/>
          <w:smallCaps w:val="false"/>
          <w:sz w:val="20"/>
        </w:rPr>
        <w:t xml:space="preserve"> and the website of the Company at </w:t>
      </w:r>
      <w:r>
        <w:rPr>
          <w:rFonts w:ascii="Times New Roman;Times;Serif" w:hAnsi="Times New Roman;Times;Serif"/>
          <w:b/>
          <w:i w:val="false"/>
          <w:caps w:val="false"/>
          <w:smallCaps w:val="false"/>
          <w:sz w:val="20"/>
          <w:u w:val="single"/>
        </w:rPr>
        <w:t>ir.nio.com</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8:00 p.m. Beijing/Hong Kong/Singapore Time on September 1, 2026 (8:00 a.m. U.S. Eastern Time on September 1,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be available on the Company’s investor relations website at </w:t>
      </w:r>
      <w:r>
        <w:rPr>
          <w:rFonts w:ascii="Times New Roman;Times;Serif" w:hAnsi="Times New Roman;Times;Serif"/>
          <w:b/>
          <w:i w:val="false"/>
          <w:caps w:val="false"/>
          <w:smallCaps w:val="false"/>
          <w:sz w:val="20"/>
          <w:u w:val="single"/>
        </w:rPr>
        <w:t>https://ir.nio.com/news-events/events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conference using dial-in numbers, please register in advance using the link provided below and dial in 10 minutes prior to the call. Dial-in numbers, passcode and unique access PIN would be provided upon registering.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https://s1.c-conf.com/diamondpass/10056744-ju876y.html</w:t>
      </w:r>
    </w:p>
    <w:p>
      <w:pPr>
        <w:pStyle w:val="TextBody"/>
        <w:bidi w:val="0"/>
        <w:spacing w:before="0" w:after="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 Li</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Chairman 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20,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of directors of the Company comprises Mr. Bin Li as the chairman, Mr. Lihong Qin as the director, Mr. Eddy Georges Skaf and Mr. Nicholas Paul Collins as the non- executive directors, and Mr. Hai Wu, Mr. Denny Ting Bun Lee, Ms. Yu Long and Mr. Yonggang Wen as the independent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3412</Characters>
  <CharactersWithSpaces>4080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